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34F38" w14:textId="77777777" w:rsidR="00DB20FD" w:rsidRPr="00DB20FD" w:rsidRDefault="00DB20FD" w:rsidP="00DB20FD">
      <w:pPr>
        <w:spacing w:before="100" w:beforeAutospacing="1" w:after="100" w:afterAutospacing="1" w:line="240" w:lineRule="auto"/>
        <w:outlineLvl w:val="1"/>
        <w:rPr>
          <w:rFonts w:eastAsia="Times New Roman" w:cs="Times New Roman"/>
          <w:b/>
          <w:bCs/>
          <w:kern w:val="0"/>
          <w:sz w:val="36"/>
          <w:szCs w:val="36"/>
          <w:lang w:eastAsia="de-DE"/>
          <w14:ligatures w14:val="none"/>
        </w:rPr>
      </w:pPr>
      <w:r w:rsidRPr="00DB20FD">
        <w:rPr>
          <w:rFonts w:eastAsia="Times New Roman" w:cs="Times New Roman"/>
          <w:b/>
          <w:bCs/>
          <w:kern w:val="0"/>
          <w:sz w:val="36"/>
          <w:szCs w:val="36"/>
          <w:lang w:eastAsia="de-DE"/>
          <w14:ligatures w14:val="none"/>
        </w:rPr>
        <w:t>Verbesserte Sprechfassung Vortrag 3 – ANERKENNEN</w:t>
      </w:r>
    </w:p>
    <w:p w14:paraId="24F2DA68"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b/>
          <w:bCs/>
          <w:kern w:val="0"/>
          <w:lang w:eastAsia="de-DE"/>
          <w14:ligatures w14:val="none"/>
        </w:rPr>
        <w:t>Frage:</w:t>
      </w:r>
      <w:r w:rsidRPr="00DB20FD">
        <w:rPr>
          <w:rFonts w:eastAsia="Times New Roman" w:cs="Times New Roman"/>
          <w:kern w:val="0"/>
          <w:lang w:eastAsia="de-DE"/>
          <w14:ligatures w14:val="none"/>
        </w:rPr>
        <w:t xml:space="preserve"> Unter welchen relationalen Bedingungen werden die Potenziale von S. sichtbar, und welche Rolle spielt soziale Teilhabe dabei?</w:t>
      </w:r>
      <w:r w:rsidRPr="00DB20FD">
        <w:rPr>
          <w:rFonts w:eastAsia="Times New Roman" w:cs="Times New Roman"/>
          <w:kern w:val="0"/>
          <w:lang w:eastAsia="de-DE"/>
          <w14:ligatures w14:val="none"/>
        </w:rPr>
        <w:br/>
      </w:r>
      <w:r w:rsidRPr="00DB20FD">
        <w:rPr>
          <w:rFonts w:eastAsia="Times New Roman" w:cs="Times New Roman"/>
          <w:b/>
          <w:bCs/>
          <w:kern w:val="0"/>
          <w:lang w:eastAsia="de-DE"/>
          <w14:ligatures w14:val="none"/>
        </w:rPr>
        <w:t>Umfang:</w:t>
      </w:r>
      <w:r w:rsidRPr="00DB20FD">
        <w:rPr>
          <w:rFonts w:eastAsia="Times New Roman" w:cs="Times New Roman"/>
          <w:kern w:val="0"/>
          <w:lang w:eastAsia="de-DE"/>
          <w14:ligatures w14:val="none"/>
        </w:rPr>
        <w:t xml:space="preserve"> ca. 620 Wörter</w:t>
      </w:r>
      <w:r w:rsidRPr="00DB20FD">
        <w:rPr>
          <w:rFonts w:eastAsia="Times New Roman" w:cs="Times New Roman"/>
          <w:kern w:val="0"/>
          <w:lang w:eastAsia="de-DE"/>
          <w14:ligatures w14:val="none"/>
        </w:rPr>
        <w:br/>
        <w:t>Grundlage ist Ihr bisheriger Vortrag_3 mit dem Fokus auf Sicherheit, Anerkennung, Stress, Peerbeziehungen, Teilhabe und Begabungsbilder.</w:t>
      </w:r>
    </w:p>
    <w:p w14:paraId="13B19110" w14:textId="77777777" w:rsidR="00DB20FD" w:rsidRPr="00DB20FD" w:rsidRDefault="003C7930" w:rsidP="00DB20FD">
      <w:pPr>
        <w:spacing w:after="0" w:line="240" w:lineRule="auto"/>
        <w:rPr>
          <w:rFonts w:eastAsia="Times New Roman" w:cs="Times New Roman"/>
          <w:kern w:val="0"/>
          <w:lang w:eastAsia="de-DE"/>
          <w14:ligatures w14:val="none"/>
        </w:rPr>
      </w:pPr>
      <w:r w:rsidRPr="003C7930">
        <w:rPr>
          <w:rFonts w:eastAsia="Times New Roman" w:cs="Times New Roman"/>
          <w:noProof/>
          <w:kern w:val="0"/>
          <w:lang w:eastAsia="de-DE"/>
        </w:rPr>
        <w:pict w14:anchorId="6D724814">
          <v:rect id="_x0000_i1025" alt="" style="width:453.6pt;height:.05pt;mso-width-percent:0;mso-height-percent:0;mso-width-percent:0;mso-height-percent:0" o:hralign="center" o:hrstd="t" o:hr="t" fillcolor="#a0a0a0" stroked="f"/>
        </w:pict>
      </w:r>
    </w:p>
    <w:p w14:paraId="1E16DF04"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 xml:space="preserve">Ich gehe nun zum Südwesten des Plakats: </w:t>
      </w:r>
      <w:r w:rsidRPr="00DB20FD">
        <w:rPr>
          <w:rFonts w:eastAsia="Times New Roman" w:cs="Times New Roman"/>
          <w:b/>
          <w:bCs/>
          <w:kern w:val="0"/>
          <w:lang w:eastAsia="de-DE"/>
          <w14:ligatures w14:val="none"/>
        </w:rPr>
        <w:t>ANERKENNEN</w:t>
      </w:r>
      <w:r w:rsidRPr="00DB20FD">
        <w:rPr>
          <w:rFonts w:eastAsia="Times New Roman" w:cs="Times New Roman"/>
          <w:kern w:val="0"/>
          <w:lang w:eastAsia="de-DE"/>
          <w14:ligatures w14:val="none"/>
        </w:rPr>
        <w:t>.</w:t>
      </w:r>
    </w:p>
    <w:p w14:paraId="6E766BE0"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 xml:space="preserve">Der Deckel zeigt zuerst die sichtbare Oberfläche: ein Kind im Rückzug, kaum Peerinteraktion, Verweigerung, Weinen, Gemiedenwerden. Diese Darstellung ist bewusst nicht als Charakterbeschreibung gemeint. Sie zeigt eine </w:t>
      </w:r>
      <w:r w:rsidRPr="00DB20FD">
        <w:rPr>
          <w:rFonts w:eastAsia="Times New Roman" w:cs="Times New Roman"/>
          <w:b/>
          <w:bCs/>
          <w:kern w:val="0"/>
          <w:lang w:eastAsia="de-DE"/>
          <w14:ligatures w14:val="none"/>
        </w:rPr>
        <w:t>relationale Notlage</w:t>
      </w:r>
      <w:r w:rsidRPr="00DB20FD">
        <w:rPr>
          <w:rFonts w:eastAsia="Times New Roman" w:cs="Times New Roman"/>
          <w:kern w:val="0"/>
          <w:lang w:eastAsia="de-DE"/>
          <w14:ligatures w14:val="none"/>
        </w:rPr>
        <w:t xml:space="preserve">. Meine These lautet deshalb: Begabung zeigt sich nicht nur in Aufgaben, sondern auch in Beziehungen. Oder zugespitzt: </w:t>
      </w:r>
      <w:r w:rsidRPr="00DB20FD">
        <w:rPr>
          <w:rFonts w:eastAsia="Times New Roman" w:cs="Times New Roman"/>
          <w:b/>
          <w:bCs/>
          <w:kern w:val="0"/>
          <w:lang w:eastAsia="de-DE"/>
          <w14:ligatures w14:val="none"/>
        </w:rPr>
        <w:t>Sicherheit macht Potenzial zeigbar.</w:t>
      </w:r>
      <w:r w:rsidRPr="00DB20FD">
        <w:rPr>
          <w:rFonts w:eastAsia="Times New Roman" w:cs="Times New Roman"/>
          <w:kern w:val="0"/>
          <w:lang w:eastAsia="de-DE"/>
          <w14:ligatures w14:val="none"/>
        </w:rPr>
        <w:t xml:space="preserve"> Das ist keine pädagogische Nettigkeit, sondern eine diagnostische Bedingung.</w:t>
      </w:r>
    </w:p>
    <w:p w14:paraId="50155EE5"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Bei S. wird dieser Kontrast besonders deutlich. In der Klassenübergabe erscheint er als „eher auffällig, sehr weinerlich und etwas störend“. Im Regelunterricht hat er kaum Anschluss an Peers und wird mehrheitlich gemieden. Im SOLUX-Setting dagegen zeigt dasselbe Kind strategisches Denken im Schach, Konzentration, Regelverständnis und erhält erstmals positive Aufmerksamkeit anderer Kinder. Die Visualisierung zeigt also nicht zwei verschiedene Kinder. Sie zeigt zwei verschiedene Bedingungen des Gesehenwerdens. Nicht S. verändert sich plötzlich grundsätzlich — das Setting verändert, was sichtbar werden kann.</w:t>
      </w:r>
    </w:p>
    <w:p w14:paraId="5EE64E08"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 xml:space="preserve">Wenn ich den Deckel öffne, erscheinen darunter die drei zentralen Filter dieser Station: </w:t>
      </w:r>
      <w:r w:rsidRPr="00DB20FD">
        <w:rPr>
          <w:rFonts w:eastAsia="Times New Roman" w:cs="Times New Roman"/>
          <w:b/>
          <w:bCs/>
          <w:kern w:val="0"/>
          <w:lang w:eastAsia="de-DE"/>
          <w14:ligatures w14:val="none"/>
        </w:rPr>
        <w:t>Sicherheit, Anerkennung und Teilhabe</w:t>
      </w:r>
      <w:r w:rsidRPr="00DB20FD">
        <w:rPr>
          <w:rFonts w:eastAsia="Times New Roman" w:cs="Times New Roman"/>
          <w:kern w:val="0"/>
          <w:lang w:eastAsia="de-DE"/>
          <w14:ligatures w14:val="none"/>
        </w:rPr>
        <w:t>.</w:t>
      </w:r>
    </w:p>
    <w:p w14:paraId="444C76C0"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 xml:space="preserve">Der erste Filter ist </w:t>
      </w:r>
      <w:r w:rsidRPr="00DB20FD">
        <w:rPr>
          <w:rFonts w:eastAsia="Times New Roman" w:cs="Times New Roman"/>
          <w:b/>
          <w:bCs/>
          <w:kern w:val="0"/>
          <w:lang w:eastAsia="de-DE"/>
          <w14:ligatures w14:val="none"/>
        </w:rPr>
        <w:t>emotionale Sicherheit</w:t>
      </w:r>
      <w:r w:rsidRPr="00DB20FD">
        <w:rPr>
          <w:rFonts w:eastAsia="Times New Roman" w:cs="Times New Roman"/>
          <w:kern w:val="0"/>
          <w:lang w:eastAsia="de-DE"/>
          <w14:ligatures w14:val="none"/>
        </w:rPr>
        <w:t xml:space="preserve">. Evers zeigt neurobiologisch, dass chronischer Stress kognitive Ressourcen bindet: Die Amygdala wird stärker aktiviert, der präfrontale Cortex wird in Selbstregulation, Arbeitsgedächtnis und Problemlösen eingeschränkt. Kuhl und Hofmann erklären mit der PSI-Theorie ergänzend, dass negativer Affekt den Selbstzugang blockieren kann. Das ist für S. zentral: Wenn er weint, erstarrt oder sich verweigert, lese ich das nicht vorschnell als Trotz. Mit Behrensen frage ich nach dem </w:t>
      </w:r>
      <w:r w:rsidRPr="00DB20FD">
        <w:rPr>
          <w:rFonts w:eastAsia="Times New Roman" w:cs="Times New Roman"/>
          <w:b/>
          <w:bCs/>
          <w:kern w:val="0"/>
          <w:lang w:eastAsia="de-DE"/>
          <w14:ligatures w14:val="none"/>
        </w:rPr>
        <w:t>guten Grund</w:t>
      </w:r>
      <w:r w:rsidRPr="00DB20FD">
        <w:rPr>
          <w:rFonts w:eastAsia="Times New Roman" w:cs="Times New Roman"/>
          <w:kern w:val="0"/>
          <w:lang w:eastAsia="de-DE"/>
          <w14:ligatures w14:val="none"/>
        </w:rPr>
        <w:t xml:space="preserve"> dieses Verhaltens: Migration, Sprachisolation, Mobbingerfahrungen, unterbrochener Schriftspracherwerb und schulische Beschämung können sich kumulativ verdichten. Sicherheit ist deshalb nicht Vorstufe zur Förderung. Sie ist Teil der Förderung.</w:t>
      </w:r>
    </w:p>
    <w:p w14:paraId="44748887"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 xml:space="preserve">Der zweite Filter ist </w:t>
      </w:r>
      <w:r w:rsidRPr="00DB20FD">
        <w:rPr>
          <w:rFonts w:eastAsia="Times New Roman" w:cs="Times New Roman"/>
          <w:b/>
          <w:bCs/>
          <w:kern w:val="0"/>
          <w:lang w:eastAsia="de-DE"/>
          <w14:ligatures w14:val="none"/>
        </w:rPr>
        <w:t>Anerkennung</w:t>
      </w:r>
      <w:r w:rsidRPr="00DB20FD">
        <w:rPr>
          <w:rFonts w:eastAsia="Times New Roman" w:cs="Times New Roman"/>
          <w:kern w:val="0"/>
          <w:lang w:eastAsia="de-DE"/>
          <w14:ligatures w14:val="none"/>
        </w:rPr>
        <w:t xml:space="preserve">. Grossrieder unterscheidet Anerkennung erster Ordnung — Lob, Zuwendung, sichtbare Bestätigung — von Anerkennung zweiter Ordnung: dem voraussetzungslosen Respekt vor dem Kind als Person, unabhängig von momentaner Leistung oder Anpassung. Genau hier liegt die heilpädagogische Pointe. „Auffällig, weinerlich, störend“ beschreibt Verhalten. Es darf aber nicht die Person ersetzen. Anerkennung zweiter Ordnung fragt: Wer ist S. jenseits dieser </w:t>
      </w:r>
      <w:r w:rsidRPr="00DB20FD">
        <w:rPr>
          <w:rFonts w:eastAsia="Times New Roman" w:cs="Times New Roman"/>
          <w:kern w:val="0"/>
          <w:lang w:eastAsia="de-DE"/>
          <w14:ligatures w14:val="none"/>
        </w:rPr>
        <w:lastRenderedPageBreak/>
        <w:t>Zuschreibungen? Was interessiert ihn? Wo erlebt er sich wirksam? Unter welchen Bedingungen kann er zeigen, was er kann?</w:t>
      </w:r>
    </w:p>
    <w:p w14:paraId="45A688A5"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 xml:space="preserve">Der dritte Filter ist </w:t>
      </w:r>
      <w:r w:rsidRPr="00DB20FD">
        <w:rPr>
          <w:rFonts w:eastAsia="Times New Roman" w:cs="Times New Roman"/>
          <w:b/>
          <w:bCs/>
          <w:kern w:val="0"/>
          <w:lang w:eastAsia="de-DE"/>
          <w14:ligatures w14:val="none"/>
        </w:rPr>
        <w:t>soziale Teilhabe</w:t>
      </w:r>
      <w:r w:rsidRPr="00DB20FD">
        <w:rPr>
          <w:rFonts w:eastAsia="Times New Roman" w:cs="Times New Roman"/>
          <w:kern w:val="0"/>
          <w:lang w:eastAsia="de-DE"/>
          <w14:ligatures w14:val="none"/>
        </w:rPr>
        <w:t>. Teilhabe bedeutet nicht, dass S. im gleichen Raum sitzt. Teilhabe bedeutet, dass er als möglicher Spiel-, Lern- und Gesprächspartner wahrgenommen wird. Peerbeziehungen sind für Selbstkonzept, Wohlbefinden und schulische Leistung zentral. Tschopp, Buholzer und Grütter zeigen, dass Intergruppenkontakt besonders dann wirksam wird, wenn er strukturiert ist, Kooperation ermöglicht, gemeinsame Ziele setzt und möglichst gleichen Status schafft. Genau das leistet das Schachbrett im SOLUX-Setting: Es ist ein sprachentlastetes Medium, ein gemeinsamer Gegenstand und ein Statusraum. S. ist dort nicht primär der Junge mit Deutsch A1, sondern ein kompetenter Mitspieler.</w:t>
      </w:r>
    </w:p>
    <w:p w14:paraId="20D50779"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Darum gehört auch die Reflexion von Begabungsbildern zu dieser Station. Baudson zeigt, dass Sprache häufig als Hinweis auf kognitive Fähigkeit gelesen wird und dass Lehrkräfte vom Disharmonie-Stereotyp beeinflusst sein können: hohe Intelligenz wird dann mit sozial-emotionaler Auffälligkeit verknüpft. Wagner ergänzt mit dem Pygmalion-Effekt, dass Erwartungen Unterricht und Wahrnehmung mitsteuern. Bei S. besteht also die doppelte Gefahr: Sprachliche Unsicherheit wird als kognitive Schwäche gelesen, und emotionales Verhalten wird als stabiles Persönlichkeitsmerkmal festgeschrieben.</w:t>
      </w:r>
    </w:p>
    <w:p w14:paraId="278C6528"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kern w:val="0"/>
          <w:lang w:eastAsia="de-DE"/>
          <w14:ligatures w14:val="none"/>
        </w:rPr>
        <w:t xml:space="preserve">Meine heilpädagogische Konsequenz lautet deshalb: </w:t>
      </w:r>
      <w:r w:rsidRPr="00DB20FD">
        <w:rPr>
          <w:rFonts w:eastAsia="Times New Roman" w:cs="Times New Roman"/>
          <w:b/>
          <w:bCs/>
          <w:kern w:val="0"/>
          <w:lang w:eastAsia="de-DE"/>
          <w14:ligatures w14:val="none"/>
        </w:rPr>
        <w:t>Beziehung vor Anforderung — aber nicht statt Anforderung.</w:t>
      </w:r>
      <w:r w:rsidRPr="00DB20FD">
        <w:rPr>
          <w:rFonts w:eastAsia="Times New Roman" w:cs="Times New Roman"/>
          <w:kern w:val="0"/>
          <w:lang w:eastAsia="de-DE"/>
          <w14:ligatures w14:val="none"/>
        </w:rPr>
        <w:t xml:space="preserve"> Ich schaffe verlässliche Beziehungssignale, Rückzugsmöglichkeiten, nonverbale Beteiligungsformen und strukturierte Peer-Arrangements. Mit der Klasse baue ich Anerkennungsgelegenheiten auf, in denen S. einen sichtbaren Beitrag leisten kann. In der Beratung verschiebe ich die Frage von „Wie stoppen wir das störende Verhalten?“ zu „Welche Bedingungen machen Lernen, Sicherheit und Teilhabe möglich?“</w:t>
      </w:r>
    </w:p>
    <w:p w14:paraId="50116BD9" w14:textId="77777777" w:rsidR="00DB20FD" w:rsidRPr="00DB20FD" w:rsidRDefault="00DB20FD" w:rsidP="00DB20FD">
      <w:pPr>
        <w:spacing w:before="100" w:beforeAutospacing="1" w:after="100" w:afterAutospacing="1" w:line="240" w:lineRule="auto"/>
        <w:rPr>
          <w:rFonts w:eastAsia="Times New Roman" w:cs="Times New Roman"/>
          <w:kern w:val="0"/>
          <w:lang w:eastAsia="de-DE"/>
          <w14:ligatures w14:val="none"/>
        </w:rPr>
      </w:pPr>
      <w:r w:rsidRPr="00DB20FD">
        <w:rPr>
          <w:rFonts w:eastAsia="Times New Roman" w:cs="Times New Roman"/>
          <w:b/>
          <w:bCs/>
          <w:kern w:val="0"/>
          <w:lang w:eastAsia="de-DE"/>
          <w14:ligatures w14:val="none"/>
        </w:rPr>
        <w:t>Schlusssatz:</w:t>
      </w:r>
      <w:r w:rsidRPr="00DB20FD">
        <w:rPr>
          <w:rFonts w:eastAsia="Times New Roman" w:cs="Times New Roman"/>
          <w:kern w:val="0"/>
          <w:lang w:eastAsia="de-DE"/>
          <w14:ligatures w14:val="none"/>
        </w:rPr>
        <w:br/>
      </w:r>
      <w:r w:rsidRPr="00DB20FD">
        <w:rPr>
          <w:rFonts w:eastAsia="Times New Roman" w:cs="Times New Roman"/>
          <w:b/>
          <w:bCs/>
          <w:kern w:val="0"/>
          <w:lang w:eastAsia="de-DE"/>
          <w14:ligatures w14:val="none"/>
        </w:rPr>
        <w:t>„Frage 3 fragt nicht, ob S. sozial schwierig ist. Sie fragt, unter welchen relationalen Bedingungen derselbe Schüler anders sichtbar wird. Darum zeigt der Südwesten zuerst Rückzug und Defizitdeutung — und darunter die drei Filter Sicherheit, Anerkennung und Teilhabe. Wo diese Filter klar sind, wird sichtbar, was sonst verdeckt bleibt.“</w:t>
      </w:r>
    </w:p>
    <w:p w14:paraId="385ACEC7" w14:textId="77777777" w:rsidR="006A29F0" w:rsidRPr="00DB20FD" w:rsidRDefault="006A29F0"/>
    <w:sectPr w:rsidR="006A29F0" w:rsidRPr="00DB20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FD"/>
    <w:rsid w:val="003C7930"/>
    <w:rsid w:val="006A29F0"/>
    <w:rsid w:val="00DB20FD"/>
    <w:rsid w:val="00DD4576"/>
    <w:rsid w:val="00FA5CDB"/>
    <w:rsid w:val="00FE35E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8207"/>
  <w15:chartTrackingRefBased/>
  <w15:docId w15:val="{21681359-CB38-F349-99C5-745B688F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B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B20F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20F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20F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20F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20F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20F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20F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20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B20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B20F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20F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20F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20F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20F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20F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20FD"/>
    <w:rPr>
      <w:rFonts w:eastAsiaTheme="majorEastAsia" w:cstheme="majorBidi"/>
      <w:color w:val="272727" w:themeColor="text1" w:themeTint="D8"/>
    </w:rPr>
  </w:style>
  <w:style w:type="paragraph" w:styleId="Titel">
    <w:name w:val="Title"/>
    <w:basedOn w:val="Standard"/>
    <w:next w:val="Standard"/>
    <w:link w:val="TitelZchn"/>
    <w:uiPriority w:val="10"/>
    <w:qFormat/>
    <w:rsid w:val="00DB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20F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20F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20F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20F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20FD"/>
    <w:rPr>
      <w:i/>
      <w:iCs/>
      <w:color w:val="404040" w:themeColor="text1" w:themeTint="BF"/>
    </w:rPr>
  </w:style>
  <w:style w:type="paragraph" w:styleId="Listenabsatz">
    <w:name w:val="List Paragraph"/>
    <w:basedOn w:val="Standard"/>
    <w:uiPriority w:val="34"/>
    <w:qFormat/>
    <w:rsid w:val="00DB20FD"/>
    <w:pPr>
      <w:ind w:left="720"/>
      <w:contextualSpacing/>
    </w:pPr>
  </w:style>
  <w:style w:type="character" w:styleId="IntensiveHervorhebung">
    <w:name w:val="Intense Emphasis"/>
    <w:basedOn w:val="Absatz-Standardschriftart"/>
    <w:uiPriority w:val="21"/>
    <w:qFormat/>
    <w:rsid w:val="00DB20FD"/>
    <w:rPr>
      <w:i/>
      <w:iCs/>
      <w:color w:val="0F4761" w:themeColor="accent1" w:themeShade="BF"/>
    </w:rPr>
  </w:style>
  <w:style w:type="paragraph" w:styleId="IntensivesZitat">
    <w:name w:val="Intense Quote"/>
    <w:basedOn w:val="Standard"/>
    <w:next w:val="Standard"/>
    <w:link w:val="IntensivesZitatZchn"/>
    <w:uiPriority w:val="30"/>
    <w:qFormat/>
    <w:rsid w:val="00DB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20FD"/>
    <w:rPr>
      <w:i/>
      <w:iCs/>
      <w:color w:val="0F4761" w:themeColor="accent1" w:themeShade="BF"/>
    </w:rPr>
  </w:style>
  <w:style w:type="character" w:styleId="IntensiverVerweis">
    <w:name w:val="Intense Reference"/>
    <w:basedOn w:val="Absatz-Standardschriftart"/>
    <w:uiPriority w:val="32"/>
    <w:qFormat/>
    <w:rsid w:val="00DB20FD"/>
    <w:rPr>
      <w:b/>
      <w:bCs/>
      <w:smallCaps/>
      <w:color w:val="0F4761" w:themeColor="accent1" w:themeShade="BF"/>
      <w:spacing w:val="5"/>
    </w:rPr>
  </w:style>
  <w:style w:type="character" w:styleId="Fett">
    <w:name w:val="Strong"/>
    <w:basedOn w:val="Absatz-Standardschriftart"/>
    <w:uiPriority w:val="22"/>
    <w:qFormat/>
    <w:rsid w:val="00DB20FD"/>
    <w:rPr>
      <w:b/>
      <w:bCs/>
    </w:rPr>
  </w:style>
  <w:style w:type="paragraph" w:styleId="StandardWeb">
    <w:name w:val="Normal (Web)"/>
    <w:basedOn w:val="Standard"/>
    <w:uiPriority w:val="99"/>
    <w:semiHidden/>
    <w:unhideWhenUsed/>
    <w:rsid w:val="00DB20FD"/>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701</Words>
  <Characters>4421</Characters>
  <Application>Microsoft Office Word</Application>
  <DocSecurity>0</DocSecurity>
  <Lines>36</Lines>
  <Paragraphs>10</Paragraphs>
  <ScaleCrop>false</ScaleCrop>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Schmid</dc:creator>
  <cp:keywords/>
  <dc:description/>
  <cp:lastModifiedBy>Pascal Schmid</cp:lastModifiedBy>
  <cp:revision>1</cp:revision>
  <dcterms:created xsi:type="dcterms:W3CDTF">2026-05-23T15:56:00Z</dcterms:created>
  <dcterms:modified xsi:type="dcterms:W3CDTF">2026-05-23T15:56:00Z</dcterms:modified>
</cp:coreProperties>
</file>