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76D1" w14:textId="77777777" w:rsidR="002D579A" w:rsidRPr="002D579A" w:rsidRDefault="002D579A" w:rsidP="002D579A">
      <w:pPr>
        <w:spacing w:before="100" w:beforeAutospacing="1" w:after="100" w:afterAutospacing="1" w:line="240" w:lineRule="auto"/>
        <w:outlineLvl w:val="1"/>
        <w:rPr>
          <w:rFonts w:eastAsia="Times New Roman" w:cs="Times New Roman"/>
          <w:b/>
          <w:bCs/>
          <w:kern w:val="0"/>
          <w:sz w:val="36"/>
          <w:szCs w:val="36"/>
          <w:lang w:eastAsia="de-DE"/>
          <w14:ligatures w14:val="none"/>
        </w:rPr>
      </w:pPr>
      <w:r w:rsidRPr="002D579A">
        <w:rPr>
          <w:rFonts w:eastAsia="Times New Roman" w:cs="Times New Roman"/>
          <w:b/>
          <w:bCs/>
          <w:kern w:val="0"/>
          <w:sz w:val="36"/>
          <w:szCs w:val="36"/>
          <w:lang w:eastAsia="de-DE"/>
          <w14:ligatures w14:val="none"/>
        </w:rPr>
        <w:t>Verbesserte Sprechfassung Vortrag 4 – SICHTBAR MACHEN</w:t>
      </w:r>
    </w:p>
    <w:p w14:paraId="7B4D3765"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b/>
          <w:bCs/>
          <w:kern w:val="0"/>
          <w:lang w:eastAsia="de-DE"/>
          <w14:ligatures w14:val="none"/>
        </w:rPr>
        <w:t>Frage:</w:t>
      </w:r>
      <w:r w:rsidRPr="002D579A">
        <w:rPr>
          <w:rFonts w:eastAsia="Times New Roman" w:cs="Times New Roman"/>
          <w:kern w:val="0"/>
          <w:lang w:eastAsia="de-DE"/>
          <w14:ligatures w14:val="none"/>
        </w:rPr>
        <w:t xml:space="preserve"> Inwiefern können offene, enrichment-orientierte Begabungsförderungssettings wie SOLUX Potenziale sichtbar machen, die im Regelunterricht systematisch übersehen werden?</w:t>
      </w:r>
      <w:r w:rsidRPr="002D579A">
        <w:rPr>
          <w:rFonts w:eastAsia="Times New Roman" w:cs="Times New Roman"/>
          <w:kern w:val="0"/>
          <w:lang w:eastAsia="de-DE"/>
          <w14:ligatures w14:val="none"/>
        </w:rPr>
        <w:br/>
      </w:r>
      <w:r w:rsidRPr="002D579A">
        <w:rPr>
          <w:rFonts w:eastAsia="Times New Roman" w:cs="Times New Roman"/>
          <w:b/>
          <w:bCs/>
          <w:kern w:val="0"/>
          <w:lang w:eastAsia="de-DE"/>
          <w14:ligatures w14:val="none"/>
        </w:rPr>
        <w:t>Umfang:</w:t>
      </w:r>
      <w:r w:rsidRPr="002D579A">
        <w:rPr>
          <w:rFonts w:eastAsia="Times New Roman" w:cs="Times New Roman"/>
          <w:kern w:val="0"/>
          <w:lang w:eastAsia="de-DE"/>
          <w14:ligatures w14:val="none"/>
        </w:rPr>
        <w:t xml:space="preserve"> ca. 620 Wörter</w:t>
      </w:r>
      <w:r w:rsidRPr="002D579A">
        <w:rPr>
          <w:rFonts w:eastAsia="Times New Roman" w:cs="Times New Roman"/>
          <w:kern w:val="0"/>
          <w:lang w:eastAsia="de-DE"/>
          <w14:ligatures w14:val="none"/>
        </w:rPr>
        <w:br/>
        <w:t xml:space="preserve">Grundlage ist dein Vortrag_4 mit der Leitidee </w:t>
      </w:r>
      <w:r w:rsidRPr="002D579A">
        <w:rPr>
          <w:rFonts w:eastAsia="Times New Roman" w:cs="Times New Roman"/>
          <w:b/>
          <w:bCs/>
          <w:kern w:val="0"/>
          <w:lang w:eastAsia="de-DE"/>
          <w14:ligatures w14:val="none"/>
        </w:rPr>
        <w:t>SOLUX als diagnostisches Fenster</w:t>
      </w:r>
      <w:r w:rsidRPr="002D579A">
        <w:rPr>
          <w:rFonts w:eastAsia="Times New Roman" w:cs="Times New Roman"/>
          <w:kern w:val="0"/>
          <w:lang w:eastAsia="de-DE"/>
          <w14:ligatures w14:val="none"/>
        </w:rPr>
        <w:t xml:space="preserve">, den vier Fensterquadranten </w:t>
      </w:r>
      <w:r w:rsidRPr="002D579A">
        <w:rPr>
          <w:rFonts w:eastAsia="Times New Roman" w:cs="Times New Roman"/>
          <w:b/>
          <w:bCs/>
          <w:kern w:val="0"/>
          <w:lang w:eastAsia="de-DE"/>
          <w14:ligatures w14:val="none"/>
        </w:rPr>
        <w:t>interessengeleitet, notenfrei, adaptiv, dokumentiert</w:t>
      </w:r>
      <w:r w:rsidRPr="002D579A">
        <w:rPr>
          <w:rFonts w:eastAsia="Times New Roman" w:cs="Times New Roman"/>
          <w:kern w:val="0"/>
          <w:lang w:eastAsia="de-DE"/>
          <w14:ligatures w14:val="none"/>
        </w:rPr>
        <w:t xml:space="preserve"> sowie der Chimäre als Symbol für mehrperspektivische Begabung.</w:t>
      </w:r>
    </w:p>
    <w:p w14:paraId="5C53071D" w14:textId="77777777" w:rsidR="002D579A" w:rsidRPr="002D579A" w:rsidRDefault="00167A5C" w:rsidP="002D579A">
      <w:pPr>
        <w:spacing w:after="0" w:line="240" w:lineRule="auto"/>
        <w:rPr>
          <w:rFonts w:eastAsia="Times New Roman" w:cs="Times New Roman"/>
          <w:kern w:val="0"/>
          <w:lang w:eastAsia="de-DE"/>
          <w14:ligatures w14:val="none"/>
        </w:rPr>
      </w:pPr>
      <w:r w:rsidRPr="00167A5C">
        <w:rPr>
          <w:rFonts w:eastAsia="Times New Roman" w:cs="Times New Roman"/>
          <w:noProof/>
          <w:kern w:val="0"/>
          <w:lang w:eastAsia="de-DE"/>
        </w:rPr>
        <w:pict w14:anchorId="6B9CA9F3">
          <v:rect id="_x0000_i1025" alt="" style="width:453.6pt;height:.05pt;mso-width-percent:0;mso-height-percent:0;mso-width-percent:0;mso-height-percent:0" o:hralign="center" o:hrstd="t" o:hr="t" fillcolor="#a0a0a0" stroked="f"/>
        </w:pict>
      </w:r>
    </w:p>
    <w:p w14:paraId="7844D340"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t xml:space="preserve">Ich gehe nun ins </w:t>
      </w:r>
      <w:r w:rsidRPr="002D579A">
        <w:rPr>
          <w:rFonts w:eastAsia="Times New Roman" w:cs="Times New Roman"/>
          <w:b/>
          <w:bCs/>
          <w:kern w:val="0"/>
          <w:lang w:eastAsia="de-DE"/>
          <w14:ligatures w14:val="none"/>
        </w:rPr>
        <w:t>Zentrum des Plakats</w:t>
      </w:r>
      <w:r w:rsidRPr="002D579A">
        <w:rPr>
          <w:rFonts w:eastAsia="Times New Roman" w:cs="Times New Roman"/>
          <w:kern w:val="0"/>
          <w:lang w:eastAsia="de-DE"/>
          <w14:ligatures w14:val="none"/>
        </w:rPr>
        <w:t xml:space="preserve">: </w:t>
      </w:r>
      <w:r w:rsidRPr="002D579A">
        <w:rPr>
          <w:rFonts w:eastAsia="Times New Roman" w:cs="Times New Roman"/>
          <w:b/>
          <w:bCs/>
          <w:kern w:val="0"/>
          <w:lang w:eastAsia="de-DE"/>
          <w14:ligatures w14:val="none"/>
        </w:rPr>
        <w:t>SICHTBAR MACHEN</w:t>
      </w:r>
      <w:r w:rsidRPr="002D579A">
        <w:rPr>
          <w:rFonts w:eastAsia="Times New Roman" w:cs="Times New Roman"/>
          <w:kern w:val="0"/>
          <w:lang w:eastAsia="de-DE"/>
          <w14:ligatures w14:val="none"/>
        </w:rPr>
        <w:t>.</w:t>
      </w:r>
    </w:p>
    <w:p w14:paraId="036937CA"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t xml:space="preserve">Diese Station hat bewusst </w:t>
      </w:r>
      <w:r w:rsidRPr="002D579A">
        <w:rPr>
          <w:rFonts w:eastAsia="Times New Roman" w:cs="Times New Roman"/>
          <w:b/>
          <w:bCs/>
          <w:kern w:val="0"/>
          <w:lang w:eastAsia="de-DE"/>
          <w14:ligatures w14:val="none"/>
        </w:rPr>
        <w:t>keinen Deckel</w:t>
      </w:r>
      <w:r w:rsidRPr="002D579A">
        <w:rPr>
          <w:rFonts w:eastAsia="Times New Roman" w:cs="Times New Roman"/>
          <w:kern w:val="0"/>
          <w:lang w:eastAsia="de-DE"/>
          <w14:ligatures w14:val="none"/>
        </w:rPr>
        <w:t xml:space="preserve">. Bei den äusseren Fragen öffne ich Klappen, um verdeckte Bedingungen freizulegen. Im Zentrum aber steht die Grundthese der ganzen Arbeit offen sichtbar: </w:t>
      </w:r>
      <w:r w:rsidRPr="002D579A">
        <w:rPr>
          <w:rFonts w:eastAsia="Times New Roman" w:cs="Times New Roman"/>
          <w:b/>
          <w:bCs/>
          <w:kern w:val="0"/>
          <w:lang w:eastAsia="de-DE"/>
          <w14:ligatures w14:val="none"/>
        </w:rPr>
        <w:t>Begabung wird nicht erzeugt, sondern unter passenden Bedingungen sichtbar.</w:t>
      </w:r>
      <w:r w:rsidRPr="002D579A">
        <w:rPr>
          <w:rFonts w:eastAsia="Times New Roman" w:cs="Times New Roman"/>
          <w:kern w:val="0"/>
          <w:lang w:eastAsia="de-DE"/>
          <w14:ligatures w14:val="none"/>
        </w:rPr>
        <w:t xml:space="preserve"> Genau deshalb zeige ich hier ein Fenster. SOLUX ist kein zusätzlicher Test und kein nettes Nebenprojekt. SOLUX verändert die Bedingungen des Sehens. Förderung und Beobachtung fallen hier zusammen.</w:t>
      </w:r>
    </w:p>
    <w:p w14:paraId="768DE552"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t>Am Fall S. wird das deutlich. Im Regelunterricht erscheint er vor allem über Schwierigkeiten: Deutsch A1, Schrift, geringe Passung zu schulischen Erwartungen, Rückzug und auffälliges Verhalten. Im SOLUX-Setting zeigt sich dagegen ein anderes Bild: mathematisches Verständnis, strategisches Schachdenken, Mustererkennung, eigenständige Strategien, ausdauernde Konzentration und nachvollziehbare Zugerklärungen. Das heisst nicht: SOLUX macht S. begabt. Es heisst: SOLUX öffnet ein Fenster, durch das sichtbar wird, was im Regelunterricht verdeckt bleibt.</w:t>
      </w:r>
    </w:p>
    <w:p w14:paraId="3CA369AF"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t xml:space="preserve">Theoretisch stütze ich mich hier auf ein </w:t>
      </w:r>
      <w:r w:rsidRPr="002D579A">
        <w:rPr>
          <w:rFonts w:eastAsia="Times New Roman" w:cs="Times New Roman"/>
          <w:b/>
          <w:bCs/>
          <w:kern w:val="0"/>
          <w:lang w:eastAsia="de-DE"/>
          <w14:ligatures w14:val="none"/>
        </w:rPr>
        <w:t>dynamisch-systemisches Begabungsverständnis</w:t>
      </w:r>
      <w:r w:rsidRPr="002D579A">
        <w:rPr>
          <w:rFonts w:eastAsia="Times New Roman" w:cs="Times New Roman"/>
          <w:kern w:val="0"/>
          <w:lang w:eastAsia="de-DE"/>
          <w14:ligatures w14:val="none"/>
        </w:rPr>
        <w:t xml:space="preserve">. Hoyer zeigt, dass Begabung nicht isoliert im Kind liegt, sondern kulturell und sozial gerahmt ist. Bei Csikszentmihalyi wird Entwicklung ebenfalls als Zusammenspiel von Person, Aufgabe und Umwelt verstanden. Genau daran schliesst das Schoolwide Enrichment Model von Renzulli und Reis in der deutschsprachigen Fassung von Müller-Oppliger an: Man wartet nicht, bis Begabung eindeutig bewiesen ist; man schafft Enrichment-Situationen, in denen Interessen, Denkwege und Potenziale beobachtbar werden. SOLUX ist deshalb ein </w:t>
      </w:r>
      <w:r w:rsidRPr="002D579A">
        <w:rPr>
          <w:rFonts w:eastAsia="Times New Roman" w:cs="Times New Roman"/>
          <w:b/>
          <w:bCs/>
          <w:kern w:val="0"/>
          <w:lang w:eastAsia="de-DE"/>
          <w14:ligatures w14:val="none"/>
        </w:rPr>
        <w:t>diagnostisches Fenster</w:t>
      </w:r>
      <w:r w:rsidRPr="002D579A">
        <w:rPr>
          <w:rFonts w:eastAsia="Times New Roman" w:cs="Times New Roman"/>
          <w:kern w:val="0"/>
          <w:lang w:eastAsia="de-DE"/>
          <w14:ligatures w14:val="none"/>
        </w:rPr>
        <w:t>, nicht bloss ein Förderangebot.</w:t>
      </w:r>
    </w:p>
    <w:p w14:paraId="641A31D1"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t>Auf dem Plakat besteht dieses Fenster aus vier Feldern.</w:t>
      </w:r>
    </w:p>
    <w:p w14:paraId="5BF6178F"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t xml:space="preserve">Das erste Feld ist </w:t>
      </w:r>
      <w:r w:rsidRPr="002D579A">
        <w:rPr>
          <w:rFonts w:eastAsia="Times New Roman" w:cs="Times New Roman"/>
          <w:b/>
          <w:bCs/>
          <w:kern w:val="0"/>
          <w:lang w:eastAsia="de-DE"/>
          <w14:ligatures w14:val="none"/>
        </w:rPr>
        <w:t>Interessenorientierung</w:t>
      </w:r>
      <w:r w:rsidRPr="002D579A">
        <w:rPr>
          <w:rFonts w:eastAsia="Times New Roman" w:cs="Times New Roman"/>
          <w:kern w:val="0"/>
          <w:lang w:eastAsia="de-DE"/>
          <w14:ligatures w14:val="none"/>
        </w:rPr>
        <w:t>. Bei S. ist der Zugang Schach. Über Schach kann er planen, vergleichen, Muster erkennen und Strategien erklären, ohne zuerst an Deutsch oder Schrift zu scheitern. Interesse ist hier kein Bonus, sondern der Zugang zum Potenzial.</w:t>
      </w:r>
    </w:p>
    <w:p w14:paraId="0AF2B3BA"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lastRenderedPageBreak/>
        <w:t xml:space="preserve">Das zweite Feld ist </w:t>
      </w:r>
      <w:r w:rsidRPr="002D579A">
        <w:rPr>
          <w:rFonts w:eastAsia="Times New Roman" w:cs="Times New Roman"/>
          <w:b/>
          <w:bCs/>
          <w:kern w:val="0"/>
          <w:lang w:eastAsia="de-DE"/>
          <w14:ligatures w14:val="none"/>
        </w:rPr>
        <w:t>Notenfreiheit</w:t>
      </w:r>
      <w:r w:rsidRPr="002D579A">
        <w:rPr>
          <w:rFonts w:eastAsia="Times New Roman" w:cs="Times New Roman"/>
          <w:kern w:val="0"/>
          <w:lang w:eastAsia="de-DE"/>
          <w14:ligatures w14:val="none"/>
        </w:rPr>
        <w:t>. Ohne Note wird S. nicht sofort in gut oder schlecht sortiert. Beobachtbar werden stattdessen Strategie, Ausdauer, Originalität, Problemlösen und Prozessqualität. Das ist zentral, weil gerade diese Dimensionen bei S. stark sind.</w:t>
      </w:r>
    </w:p>
    <w:p w14:paraId="1BE593D4"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t xml:space="preserve">Das dritte Feld ist </w:t>
      </w:r>
      <w:r w:rsidRPr="002D579A">
        <w:rPr>
          <w:rFonts w:eastAsia="Times New Roman" w:cs="Times New Roman"/>
          <w:b/>
          <w:bCs/>
          <w:kern w:val="0"/>
          <w:lang w:eastAsia="de-DE"/>
          <w14:ligatures w14:val="none"/>
        </w:rPr>
        <w:t>Adaptivität</w:t>
      </w:r>
      <w:r w:rsidRPr="002D579A">
        <w:rPr>
          <w:rFonts w:eastAsia="Times New Roman" w:cs="Times New Roman"/>
          <w:kern w:val="0"/>
          <w:lang w:eastAsia="de-DE"/>
          <w14:ligatures w14:val="none"/>
        </w:rPr>
        <w:t>. Müller-Oppliger spricht von adaptiven Lernarchitekturen: Aufgaben, Zugänge und Ausdrucksformen werden so gestaltet, dass unterschiedliche Lernvoraussetzungen nicht zum Ausschluss führen. Bei S. bedeutete das konkret: sprachliche Entlastung, vorgelesene Inhalte, handlungsorientierte Zugänge und Schach als kognitiv anspruchsvolles Medium.</w:t>
      </w:r>
    </w:p>
    <w:p w14:paraId="5164FAC4"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t xml:space="preserve">Das vierte Feld ist </w:t>
      </w:r>
      <w:r w:rsidRPr="002D579A">
        <w:rPr>
          <w:rFonts w:eastAsia="Times New Roman" w:cs="Times New Roman"/>
          <w:b/>
          <w:bCs/>
          <w:kern w:val="0"/>
          <w:lang w:eastAsia="de-DE"/>
          <w14:ligatures w14:val="none"/>
        </w:rPr>
        <w:t>Dokumentation und Reflexion</w:t>
      </w:r>
      <w:r w:rsidRPr="002D579A">
        <w:rPr>
          <w:rFonts w:eastAsia="Times New Roman" w:cs="Times New Roman"/>
          <w:kern w:val="0"/>
          <w:lang w:eastAsia="de-DE"/>
          <w14:ligatures w14:val="none"/>
        </w:rPr>
        <w:t>. Sichtbarkeit muss gesichert werden. Beobachtungen aus SOLUX dürfen nicht im Projekt verschwinden. Sie müssen kriteriengestützt dokumentiert, in ein Kompetenzportfolio übersetzt und in Förder- und Übertrittsgespräche eingebracht werden. Sonst bleibt SOLUX eine Insel — und eine Insel verändert das Festland nicht.</w:t>
      </w:r>
    </w:p>
    <w:p w14:paraId="29F5075F"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t xml:space="preserve">Im Fenster steht auf meinem Plakat die </w:t>
      </w:r>
      <w:r w:rsidRPr="002D579A">
        <w:rPr>
          <w:rFonts w:eastAsia="Times New Roman" w:cs="Times New Roman"/>
          <w:b/>
          <w:bCs/>
          <w:kern w:val="0"/>
          <w:lang w:eastAsia="de-DE"/>
          <w14:ligatures w14:val="none"/>
        </w:rPr>
        <w:t>Chimäre</w:t>
      </w:r>
      <w:r w:rsidRPr="002D579A">
        <w:rPr>
          <w:rFonts w:eastAsia="Times New Roman" w:cs="Times New Roman"/>
          <w:kern w:val="0"/>
          <w:lang w:eastAsia="de-DE"/>
          <w14:ligatures w14:val="none"/>
        </w:rPr>
        <w:t>. Dieses Symbol ist wichtig. Nach Müller-Oppliger und Borland ist Hochbegabung kein einfaches, einheitliches Merkmal, sondern ein mehrperspektivisches Phänomen. Genau so verstehe ich S.: nicht reduziert auf Defizite, aber auch nicht romantisiert als „Schachwunder“. Er ist ein Kind mit kognitivem Potenzial, Sprachbarrieren, graphomotorischen Schwierigkeiten, biografischer Belastung und sozialen Resonanzen. Die Chimäre verhindert also eine eindimensionale Lesart.</w:t>
      </w:r>
    </w:p>
    <w:p w14:paraId="38289D01"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kern w:val="0"/>
          <w:lang w:eastAsia="de-DE"/>
          <w14:ligatures w14:val="none"/>
        </w:rPr>
        <w:t xml:space="preserve">Damit wird SOLUX auch zur Frage der </w:t>
      </w:r>
      <w:r w:rsidRPr="002D579A">
        <w:rPr>
          <w:rFonts w:eastAsia="Times New Roman" w:cs="Times New Roman"/>
          <w:b/>
          <w:bCs/>
          <w:kern w:val="0"/>
          <w:lang w:eastAsia="de-DE"/>
          <w14:ligatures w14:val="none"/>
        </w:rPr>
        <w:t>Bildungsgerechtigkeit</w:t>
      </w:r>
      <w:r w:rsidRPr="002D579A">
        <w:rPr>
          <w:rFonts w:eastAsia="Times New Roman" w:cs="Times New Roman"/>
          <w:kern w:val="0"/>
          <w:lang w:eastAsia="de-DE"/>
          <w14:ligatures w14:val="none"/>
        </w:rPr>
        <w:t>. Wenn Schule Begabung vor allem über schnelle Sprache, Schrift, Noten und Anpassung erkennt, werden jene Kinder bevorzugt, die im Standardsystem ohnehin sichtbar sind. Kinder wie S. brauchen Settings, die andere Ausdrucksformen zulassen. Grossenbacher und Tettenborn zeigen für den Schweizer Kontext, dass Begabungsförderung stark von Schulkultur und SHP-Engagement abhängt. Im Kanton Luzern ist integrative Begabungs- und Begabtenförderung aber kein Extra, sondern Regelauftrag. SOLUX ist deshalb die strukturierte Einlösung dieses Auftrags.</w:t>
      </w:r>
    </w:p>
    <w:p w14:paraId="091C12DF" w14:textId="77777777" w:rsidR="002D579A" w:rsidRPr="002D579A" w:rsidRDefault="002D579A" w:rsidP="002D579A">
      <w:pPr>
        <w:spacing w:before="100" w:beforeAutospacing="1" w:after="100" w:afterAutospacing="1" w:line="240" w:lineRule="auto"/>
        <w:rPr>
          <w:rFonts w:eastAsia="Times New Roman" w:cs="Times New Roman"/>
          <w:kern w:val="0"/>
          <w:lang w:eastAsia="de-DE"/>
          <w14:ligatures w14:val="none"/>
        </w:rPr>
      </w:pPr>
      <w:r w:rsidRPr="002D579A">
        <w:rPr>
          <w:rFonts w:eastAsia="Times New Roman" w:cs="Times New Roman"/>
          <w:b/>
          <w:bCs/>
          <w:kern w:val="0"/>
          <w:lang w:eastAsia="de-DE"/>
          <w14:ligatures w14:val="none"/>
        </w:rPr>
        <w:t>Schlusssatz:</w:t>
      </w:r>
      <w:r w:rsidRPr="002D579A">
        <w:rPr>
          <w:rFonts w:eastAsia="Times New Roman" w:cs="Times New Roman"/>
          <w:kern w:val="0"/>
          <w:lang w:eastAsia="de-DE"/>
          <w14:ligatures w14:val="none"/>
        </w:rPr>
        <w:br/>
      </w:r>
      <w:r w:rsidRPr="002D579A">
        <w:rPr>
          <w:rFonts w:eastAsia="Times New Roman" w:cs="Times New Roman"/>
          <w:b/>
          <w:bCs/>
          <w:kern w:val="0"/>
          <w:lang w:eastAsia="de-DE"/>
          <w14:ligatures w14:val="none"/>
        </w:rPr>
        <w:t>„Frage 4 fragt nicht, ob SOLUX ein schönes Zusatzprojekt ist. Sie fragt, was an SOLUX anders ist, dass S. dort zeigen kann, was im Regelunterricht verdeckt bleibt. Darum steht im Zentrum das Fenster: interessengeleitet, notenfrei, adaptiv und dokumentiert. SOLUX erzeugt keine Begabung. Es unterbricht die Bedingungen des Regelunterrichts lang genug, damit aus einem als auffällig beschriebenen Schüler ein strategisch denkendes, ausdauernd konzentriertes und sozial sichtbares Kind hervortreten kann.“</w:t>
      </w:r>
    </w:p>
    <w:p w14:paraId="7E61D653" w14:textId="77777777" w:rsidR="006A29F0" w:rsidRPr="002D579A" w:rsidRDefault="006A29F0"/>
    <w:sectPr w:rsidR="006A29F0" w:rsidRPr="002D57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9A"/>
    <w:rsid w:val="00167A5C"/>
    <w:rsid w:val="002D579A"/>
    <w:rsid w:val="006A29F0"/>
    <w:rsid w:val="00DD4576"/>
    <w:rsid w:val="00FA5CDB"/>
    <w:rsid w:val="00FE35E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306B7"/>
  <w15:chartTrackingRefBased/>
  <w15:docId w15:val="{C6F64DDD-7F7B-D14B-A86A-38FD6C707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D5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D5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D57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D57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57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57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57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57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57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579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D579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D57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57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57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57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57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57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579A"/>
    <w:rPr>
      <w:rFonts w:eastAsiaTheme="majorEastAsia" w:cstheme="majorBidi"/>
      <w:color w:val="272727" w:themeColor="text1" w:themeTint="D8"/>
    </w:rPr>
  </w:style>
  <w:style w:type="paragraph" w:styleId="Titel">
    <w:name w:val="Title"/>
    <w:basedOn w:val="Standard"/>
    <w:next w:val="Standard"/>
    <w:link w:val="TitelZchn"/>
    <w:uiPriority w:val="10"/>
    <w:qFormat/>
    <w:rsid w:val="002D5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57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57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57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57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D579A"/>
    <w:rPr>
      <w:i/>
      <w:iCs/>
      <w:color w:val="404040" w:themeColor="text1" w:themeTint="BF"/>
    </w:rPr>
  </w:style>
  <w:style w:type="paragraph" w:styleId="Listenabsatz">
    <w:name w:val="List Paragraph"/>
    <w:basedOn w:val="Standard"/>
    <w:uiPriority w:val="34"/>
    <w:qFormat/>
    <w:rsid w:val="002D579A"/>
    <w:pPr>
      <w:ind w:left="720"/>
      <w:contextualSpacing/>
    </w:pPr>
  </w:style>
  <w:style w:type="character" w:styleId="IntensiveHervorhebung">
    <w:name w:val="Intense Emphasis"/>
    <w:basedOn w:val="Absatz-Standardschriftart"/>
    <w:uiPriority w:val="21"/>
    <w:qFormat/>
    <w:rsid w:val="002D579A"/>
    <w:rPr>
      <w:i/>
      <w:iCs/>
      <w:color w:val="0F4761" w:themeColor="accent1" w:themeShade="BF"/>
    </w:rPr>
  </w:style>
  <w:style w:type="paragraph" w:styleId="IntensivesZitat">
    <w:name w:val="Intense Quote"/>
    <w:basedOn w:val="Standard"/>
    <w:next w:val="Standard"/>
    <w:link w:val="IntensivesZitatZchn"/>
    <w:uiPriority w:val="30"/>
    <w:qFormat/>
    <w:rsid w:val="002D5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579A"/>
    <w:rPr>
      <w:i/>
      <w:iCs/>
      <w:color w:val="0F4761" w:themeColor="accent1" w:themeShade="BF"/>
    </w:rPr>
  </w:style>
  <w:style w:type="character" w:styleId="IntensiverVerweis">
    <w:name w:val="Intense Reference"/>
    <w:basedOn w:val="Absatz-Standardschriftart"/>
    <w:uiPriority w:val="32"/>
    <w:qFormat/>
    <w:rsid w:val="002D579A"/>
    <w:rPr>
      <w:b/>
      <w:bCs/>
      <w:smallCaps/>
      <w:color w:val="0F4761" w:themeColor="accent1" w:themeShade="BF"/>
      <w:spacing w:val="5"/>
    </w:rPr>
  </w:style>
  <w:style w:type="character" w:styleId="Fett">
    <w:name w:val="Strong"/>
    <w:basedOn w:val="Absatz-Standardschriftart"/>
    <w:uiPriority w:val="22"/>
    <w:qFormat/>
    <w:rsid w:val="002D579A"/>
    <w:rPr>
      <w:b/>
      <w:bCs/>
    </w:rPr>
  </w:style>
  <w:style w:type="paragraph" w:styleId="StandardWeb">
    <w:name w:val="Normal (Web)"/>
    <w:basedOn w:val="Standard"/>
    <w:uiPriority w:val="99"/>
    <w:semiHidden/>
    <w:unhideWhenUsed/>
    <w:rsid w:val="002D579A"/>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4456</Characters>
  <Application>Microsoft Office Word</Application>
  <DocSecurity>0</DocSecurity>
  <Lines>37</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Schmid</dc:creator>
  <cp:keywords/>
  <dc:description/>
  <cp:lastModifiedBy>Pascal Schmid</cp:lastModifiedBy>
  <cp:revision>1</cp:revision>
  <dcterms:created xsi:type="dcterms:W3CDTF">2026-05-23T16:17:00Z</dcterms:created>
  <dcterms:modified xsi:type="dcterms:W3CDTF">2026-05-23T16:17:00Z</dcterms:modified>
</cp:coreProperties>
</file>