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0756" w14:textId="77777777" w:rsidR="00FC1FD7" w:rsidRPr="00FC1FD7" w:rsidRDefault="00FC1FD7" w:rsidP="00FC1FD7">
      <w:pPr>
        <w:spacing w:before="100" w:beforeAutospacing="1" w:after="100" w:afterAutospacing="1" w:line="240" w:lineRule="auto"/>
        <w:outlineLvl w:val="1"/>
        <w:rPr>
          <w:rFonts w:eastAsia="Times New Roman" w:cs="Times New Roman"/>
          <w:b/>
          <w:bCs/>
          <w:kern w:val="0"/>
          <w:sz w:val="36"/>
          <w:szCs w:val="36"/>
          <w:lang w:eastAsia="de-DE"/>
          <w14:ligatures w14:val="none"/>
        </w:rPr>
      </w:pPr>
      <w:r w:rsidRPr="00FC1FD7">
        <w:rPr>
          <w:rFonts w:eastAsia="Times New Roman" w:cs="Times New Roman"/>
          <w:b/>
          <w:bCs/>
          <w:kern w:val="0"/>
          <w:sz w:val="36"/>
          <w:szCs w:val="36"/>
          <w:lang w:eastAsia="de-DE"/>
          <w14:ligatures w14:val="none"/>
        </w:rPr>
        <w:t>Verbesserte Sprechfassung Vortrag 5 – SICHERN</w:t>
      </w:r>
    </w:p>
    <w:p w14:paraId="1AFA4BC1"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b/>
          <w:bCs/>
          <w:kern w:val="0"/>
          <w:lang w:eastAsia="de-DE"/>
          <w14:ligatures w14:val="none"/>
        </w:rPr>
        <w:t>Frage:</w:t>
      </w:r>
      <w:r w:rsidRPr="00FC1FD7">
        <w:rPr>
          <w:rFonts w:eastAsia="Times New Roman" w:cs="Times New Roman"/>
          <w:kern w:val="0"/>
          <w:lang w:eastAsia="de-DE"/>
          <w14:ligatures w14:val="none"/>
        </w:rPr>
        <w:t xml:space="preserve"> Wie gestalte ich als SHP Beratung und Zusammenarbeit so, dass defizitorientierte Wahrnehmungen von Schüler:innen mit verdeckten Begabungen gemeinsam reflektiert und ressourcenorientiert erweitert werden?</w:t>
      </w:r>
      <w:r w:rsidRPr="00FC1FD7">
        <w:rPr>
          <w:rFonts w:eastAsia="Times New Roman" w:cs="Times New Roman"/>
          <w:kern w:val="0"/>
          <w:lang w:eastAsia="de-DE"/>
          <w14:ligatures w14:val="none"/>
        </w:rPr>
        <w:br/>
      </w:r>
      <w:r w:rsidRPr="00FC1FD7">
        <w:rPr>
          <w:rFonts w:eastAsia="Times New Roman" w:cs="Times New Roman"/>
          <w:b/>
          <w:bCs/>
          <w:kern w:val="0"/>
          <w:lang w:eastAsia="de-DE"/>
          <w14:ligatures w14:val="none"/>
        </w:rPr>
        <w:t>Umfang:</w:t>
      </w:r>
      <w:r w:rsidRPr="00FC1FD7">
        <w:rPr>
          <w:rFonts w:eastAsia="Times New Roman" w:cs="Times New Roman"/>
          <w:kern w:val="0"/>
          <w:lang w:eastAsia="de-DE"/>
          <w14:ligatures w14:val="none"/>
        </w:rPr>
        <w:t xml:space="preserve"> ca. 630 Wörter</w:t>
      </w:r>
      <w:r w:rsidRPr="00FC1FD7">
        <w:rPr>
          <w:rFonts w:eastAsia="Times New Roman" w:cs="Times New Roman"/>
          <w:kern w:val="0"/>
          <w:lang w:eastAsia="de-DE"/>
          <w14:ligatures w14:val="none"/>
        </w:rPr>
        <w:br/>
        <w:t xml:space="preserve">Grundlage ist dein Vortrag_5 mit der Leitidee: </w:t>
      </w:r>
      <w:r w:rsidRPr="00FC1FD7">
        <w:rPr>
          <w:rFonts w:eastAsia="Times New Roman" w:cs="Times New Roman"/>
          <w:b/>
          <w:bCs/>
          <w:kern w:val="0"/>
          <w:lang w:eastAsia="de-DE"/>
          <w14:ligatures w14:val="none"/>
        </w:rPr>
        <w:t>Ich handle nicht gegen ein Team, sondern gegen eine verengte Datenbasis.</w:t>
      </w:r>
    </w:p>
    <w:p w14:paraId="0F38F8F8" w14:textId="77777777" w:rsidR="00FC1FD7" w:rsidRPr="00FC1FD7" w:rsidRDefault="007F5B57" w:rsidP="00FC1FD7">
      <w:pPr>
        <w:spacing w:after="0" w:line="240" w:lineRule="auto"/>
        <w:rPr>
          <w:rFonts w:eastAsia="Times New Roman" w:cs="Times New Roman"/>
          <w:kern w:val="0"/>
          <w:lang w:eastAsia="de-DE"/>
          <w14:ligatures w14:val="none"/>
        </w:rPr>
      </w:pPr>
      <w:r w:rsidRPr="007F5B57">
        <w:rPr>
          <w:rFonts w:eastAsia="Times New Roman" w:cs="Times New Roman"/>
          <w:noProof/>
          <w:kern w:val="0"/>
          <w:lang w:eastAsia="de-DE"/>
        </w:rPr>
        <w:pict w14:anchorId="50445A45">
          <v:rect id="_x0000_i1025" alt="" style="width:453.6pt;height:.05pt;mso-width-percent:0;mso-height-percent:0;mso-width-percent:0;mso-height-percent:0" o:hralign="center" o:hrstd="t" o:hr="t" fillcolor="#a0a0a0" stroked="f"/>
        </w:pict>
      </w:r>
    </w:p>
    <w:p w14:paraId="17B3EB02"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Ich gehe nun zum </w:t>
      </w:r>
      <w:r w:rsidRPr="00FC1FD7">
        <w:rPr>
          <w:rFonts w:eastAsia="Times New Roman" w:cs="Times New Roman"/>
          <w:b/>
          <w:bCs/>
          <w:kern w:val="0"/>
          <w:lang w:eastAsia="de-DE"/>
          <w14:ligatures w14:val="none"/>
        </w:rPr>
        <w:t>Nordwesten des Plakats</w:t>
      </w:r>
      <w:r w:rsidRPr="00FC1FD7">
        <w:rPr>
          <w:rFonts w:eastAsia="Times New Roman" w:cs="Times New Roman"/>
          <w:kern w:val="0"/>
          <w:lang w:eastAsia="de-DE"/>
          <w14:ligatures w14:val="none"/>
        </w:rPr>
        <w:t xml:space="preserve">: </w:t>
      </w:r>
      <w:r w:rsidRPr="00FC1FD7">
        <w:rPr>
          <w:rFonts w:eastAsia="Times New Roman" w:cs="Times New Roman"/>
          <w:b/>
          <w:bCs/>
          <w:kern w:val="0"/>
          <w:lang w:eastAsia="de-DE"/>
          <w14:ligatures w14:val="none"/>
        </w:rPr>
        <w:t>SICHERN</w:t>
      </w:r>
      <w:r w:rsidRPr="00FC1FD7">
        <w:rPr>
          <w:rFonts w:eastAsia="Times New Roman" w:cs="Times New Roman"/>
          <w:kern w:val="0"/>
          <w:lang w:eastAsia="de-DE"/>
          <w14:ligatures w14:val="none"/>
        </w:rPr>
        <w:t>.</w:t>
      </w:r>
    </w:p>
    <w:p w14:paraId="6C4B65F2"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Diese Station steht bewusst am Ende der äusseren Ringstruktur. Nach </w:t>
      </w:r>
      <w:r w:rsidRPr="00FC1FD7">
        <w:rPr>
          <w:rFonts w:eastAsia="Times New Roman" w:cs="Times New Roman"/>
          <w:b/>
          <w:bCs/>
          <w:kern w:val="0"/>
          <w:lang w:eastAsia="de-DE"/>
          <w14:ligatures w14:val="none"/>
        </w:rPr>
        <w:t>Erkennen</w:t>
      </w:r>
      <w:r w:rsidRPr="00FC1FD7">
        <w:rPr>
          <w:rFonts w:eastAsia="Times New Roman" w:cs="Times New Roman"/>
          <w:kern w:val="0"/>
          <w:lang w:eastAsia="de-DE"/>
          <w14:ligatures w14:val="none"/>
        </w:rPr>
        <w:t xml:space="preserve">, </w:t>
      </w:r>
      <w:r w:rsidRPr="00FC1FD7">
        <w:rPr>
          <w:rFonts w:eastAsia="Times New Roman" w:cs="Times New Roman"/>
          <w:b/>
          <w:bCs/>
          <w:kern w:val="0"/>
          <w:lang w:eastAsia="de-DE"/>
          <w14:ligatures w14:val="none"/>
        </w:rPr>
        <w:t>Entlasten</w:t>
      </w:r>
      <w:r w:rsidRPr="00FC1FD7">
        <w:rPr>
          <w:rFonts w:eastAsia="Times New Roman" w:cs="Times New Roman"/>
          <w:kern w:val="0"/>
          <w:lang w:eastAsia="de-DE"/>
          <w14:ligatures w14:val="none"/>
        </w:rPr>
        <w:t xml:space="preserve">, </w:t>
      </w:r>
      <w:r w:rsidRPr="00FC1FD7">
        <w:rPr>
          <w:rFonts w:eastAsia="Times New Roman" w:cs="Times New Roman"/>
          <w:b/>
          <w:bCs/>
          <w:kern w:val="0"/>
          <w:lang w:eastAsia="de-DE"/>
          <w14:ligatures w14:val="none"/>
        </w:rPr>
        <w:t>Anerkennen</w:t>
      </w:r>
      <w:r w:rsidRPr="00FC1FD7">
        <w:rPr>
          <w:rFonts w:eastAsia="Times New Roman" w:cs="Times New Roman"/>
          <w:kern w:val="0"/>
          <w:lang w:eastAsia="de-DE"/>
          <w14:ligatures w14:val="none"/>
        </w:rPr>
        <w:t xml:space="preserve"> und dem zentralen </w:t>
      </w:r>
      <w:r w:rsidRPr="00FC1FD7">
        <w:rPr>
          <w:rFonts w:eastAsia="Times New Roman" w:cs="Times New Roman"/>
          <w:b/>
          <w:bCs/>
          <w:kern w:val="0"/>
          <w:lang w:eastAsia="de-DE"/>
          <w14:ligatures w14:val="none"/>
        </w:rPr>
        <w:t>Sichtbar-Machen</w:t>
      </w:r>
      <w:r w:rsidRPr="00FC1FD7">
        <w:rPr>
          <w:rFonts w:eastAsia="Times New Roman" w:cs="Times New Roman"/>
          <w:kern w:val="0"/>
          <w:lang w:eastAsia="de-DE"/>
          <w14:ligatures w14:val="none"/>
        </w:rPr>
        <w:t xml:space="preserve"> stellt sich die professionelle Anschlussfrage: Wie verhindere ich, dass S.s sichtbar gewordenes Potenzial nach SOLUX wieder verschwindet? Genau deshalb zeigt die Visualisierung hier nicht mehr ein einzelnes Kind, sondern ein </w:t>
      </w:r>
      <w:r w:rsidRPr="00FC1FD7">
        <w:rPr>
          <w:rFonts w:eastAsia="Times New Roman" w:cs="Times New Roman"/>
          <w:b/>
          <w:bCs/>
          <w:kern w:val="0"/>
          <w:lang w:eastAsia="de-DE"/>
          <w14:ligatures w14:val="none"/>
        </w:rPr>
        <w:t>Teamnetz</w:t>
      </w:r>
      <w:r w:rsidRPr="00FC1FD7">
        <w:rPr>
          <w:rFonts w:eastAsia="Times New Roman" w:cs="Times New Roman"/>
          <w:kern w:val="0"/>
          <w:lang w:eastAsia="de-DE"/>
          <w14:ligatures w14:val="none"/>
        </w:rPr>
        <w:t xml:space="preserve">, einen </w:t>
      </w:r>
      <w:r w:rsidRPr="00FC1FD7">
        <w:rPr>
          <w:rFonts w:eastAsia="Times New Roman" w:cs="Times New Roman"/>
          <w:b/>
          <w:bCs/>
          <w:kern w:val="0"/>
          <w:lang w:eastAsia="de-DE"/>
          <w14:ligatures w14:val="none"/>
        </w:rPr>
        <w:t>Leuchtturm</w:t>
      </w:r>
      <w:r w:rsidRPr="00FC1FD7">
        <w:rPr>
          <w:rFonts w:eastAsia="Times New Roman" w:cs="Times New Roman"/>
          <w:kern w:val="0"/>
          <w:lang w:eastAsia="de-DE"/>
          <w14:ligatures w14:val="none"/>
        </w:rPr>
        <w:t xml:space="preserve">, ein </w:t>
      </w:r>
      <w:r w:rsidRPr="00FC1FD7">
        <w:rPr>
          <w:rFonts w:eastAsia="Times New Roman" w:cs="Times New Roman"/>
          <w:b/>
          <w:bCs/>
          <w:kern w:val="0"/>
          <w:lang w:eastAsia="de-DE"/>
          <w14:ligatures w14:val="none"/>
        </w:rPr>
        <w:t>Warnschild</w:t>
      </w:r>
      <w:r w:rsidRPr="00FC1FD7">
        <w:rPr>
          <w:rFonts w:eastAsia="Times New Roman" w:cs="Times New Roman"/>
          <w:kern w:val="0"/>
          <w:lang w:eastAsia="de-DE"/>
          <w14:ligatures w14:val="none"/>
        </w:rPr>
        <w:t xml:space="preserve"> und die </w:t>
      </w:r>
      <w:r w:rsidRPr="00FC1FD7">
        <w:rPr>
          <w:rFonts w:eastAsia="Times New Roman" w:cs="Times New Roman"/>
          <w:b/>
          <w:bCs/>
          <w:kern w:val="0"/>
          <w:lang w:eastAsia="de-DE"/>
          <w14:ligatures w14:val="none"/>
        </w:rPr>
        <w:t>SHP-Trias</w:t>
      </w:r>
      <w:r w:rsidRPr="00FC1FD7">
        <w:rPr>
          <w:rFonts w:eastAsia="Times New Roman" w:cs="Times New Roman"/>
          <w:kern w:val="0"/>
          <w:lang w:eastAsia="de-DE"/>
          <w14:ligatures w14:val="none"/>
        </w:rPr>
        <w:t>. Es geht nicht mehr nur um Diagnostik am Kind, sondern um die Sicherung des Blicks im System.</w:t>
      </w:r>
    </w:p>
    <w:p w14:paraId="2392D3ED"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Auf dem Deckel steht zuerst die Gefahr: </w:t>
      </w:r>
      <w:r w:rsidRPr="00FC1FD7">
        <w:rPr>
          <w:rFonts w:eastAsia="Times New Roman" w:cs="Times New Roman"/>
          <w:b/>
          <w:bCs/>
          <w:kern w:val="0"/>
          <w:lang w:eastAsia="de-DE"/>
          <w14:ligatures w14:val="none"/>
        </w:rPr>
        <w:t>Abwarten, Defizitblick, unvollständige Datenbasis und institutionelle Routinen</w:t>
      </w:r>
      <w:r w:rsidRPr="00FC1FD7">
        <w:rPr>
          <w:rFonts w:eastAsia="Times New Roman" w:cs="Times New Roman"/>
          <w:kern w:val="0"/>
          <w:lang w:eastAsia="de-DE"/>
          <w14:ligatures w14:val="none"/>
        </w:rPr>
        <w:t xml:space="preserve">. Bei S. war diese Gefahr konkret: In der Übergabe erschien er vor allem als auffällig, weinerlich, störend, mit wenig Peer-Kontakt und Deutsch auf A1-Niveau. Die Empfehlung, zunächst abzuwarten, war als Einzelaussage nachvollziehbar. In der Summe hätte sie aber bedeuten können, dass S.s Potenzial dauerhaft unsichtbar bleibt. Darum lautet meine These: </w:t>
      </w:r>
      <w:r w:rsidRPr="00FC1FD7">
        <w:rPr>
          <w:rFonts w:eastAsia="Times New Roman" w:cs="Times New Roman"/>
          <w:b/>
          <w:bCs/>
          <w:kern w:val="0"/>
          <w:lang w:eastAsia="de-DE"/>
          <w14:ligatures w14:val="none"/>
        </w:rPr>
        <w:t>Ich arbeite als SHP nicht gegen das Team. Ich arbeite gegen eine verengte Datenbasis.</w:t>
      </w:r>
    </w:p>
    <w:p w14:paraId="52D8EADC"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Der </w:t>
      </w:r>
      <w:r w:rsidRPr="00FC1FD7">
        <w:rPr>
          <w:rFonts w:eastAsia="Times New Roman" w:cs="Times New Roman"/>
          <w:b/>
          <w:bCs/>
          <w:kern w:val="0"/>
          <w:lang w:eastAsia="de-DE"/>
          <w14:ligatures w14:val="none"/>
        </w:rPr>
        <w:t>Leuchtturm</w:t>
      </w:r>
      <w:r w:rsidRPr="00FC1FD7">
        <w:rPr>
          <w:rFonts w:eastAsia="Times New Roman" w:cs="Times New Roman"/>
          <w:kern w:val="0"/>
          <w:lang w:eastAsia="de-DE"/>
          <w14:ligatures w14:val="none"/>
        </w:rPr>
        <w:t xml:space="preserve"> auf dem Plakat steht für diese professionelle Orientierungsfunktion. Die SHP beleuchtet nicht das Kind als Problem, sondern die Frage: Welche Daten haben wir? Welche fehlen? Und welche Deutungsmuster strukturieren unseren Blick? Baudson zeigt, dass hochbegabte Underachiever leicht übersehen werden, wenn ihre Leistungen nicht erwartungsgemäss erscheinen. Koop ergänzt, dass Lehrkräfte sich stark an gezeigter Schulleistung orientieren und Herkunft in prognostische Annahmen eingehen kann. Der Leuchtturm heisst deshalb: Ich bringe Orientierung in Unsicherheit — nicht durch Behauptung, sondern durch strukturierte Reflexion.</w:t>
      </w:r>
    </w:p>
    <w:p w14:paraId="66B6E9DD"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Wenn ich den Deckel öffne, erscheint die </w:t>
      </w:r>
      <w:r w:rsidRPr="00FC1FD7">
        <w:rPr>
          <w:rFonts w:eastAsia="Times New Roman" w:cs="Times New Roman"/>
          <w:b/>
          <w:bCs/>
          <w:kern w:val="0"/>
          <w:lang w:eastAsia="de-DE"/>
          <w14:ligatures w14:val="none"/>
        </w:rPr>
        <w:t>SHP-Trias</w:t>
      </w:r>
      <w:r w:rsidRPr="00FC1FD7">
        <w:rPr>
          <w:rFonts w:eastAsia="Times New Roman" w:cs="Times New Roman"/>
          <w:kern w:val="0"/>
          <w:lang w:eastAsia="de-DE"/>
          <w14:ligatures w14:val="none"/>
        </w:rPr>
        <w:t>.</w:t>
      </w:r>
    </w:p>
    <w:p w14:paraId="1236AB5D"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Der erste Pfeiler ist </w:t>
      </w:r>
      <w:r w:rsidRPr="00FC1FD7">
        <w:rPr>
          <w:rFonts w:eastAsia="Times New Roman" w:cs="Times New Roman"/>
          <w:b/>
          <w:bCs/>
          <w:kern w:val="0"/>
          <w:lang w:eastAsia="de-DE"/>
          <w14:ligatures w14:val="none"/>
        </w:rPr>
        <w:t>fachliche Unabhängigkeit</w:t>
      </w:r>
      <w:r w:rsidRPr="00FC1FD7">
        <w:rPr>
          <w:rFonts w:eastAsia="Times New Roman" w:cs="Times New Roman"/>
          <w:kern w:val="0"/>
          <w:lang w:eastAsia="de-DE"/>
          <w14:ligatures w14:val="none"/>
        </w:rPr>
        <w:t>. Mit Weigands Personenprinzip reduziere ich S. weder auf Migration, Sprache, Verhalten noch vorschnell auf Hochbegabung. Das Kind ist Person, nicht Summe von Defiziten. Fachliche Unabhängigkeit bedeutet deshalb: Ich übernehme die dominante Teamdeutung nicht ungeprüft. Ich irritiere sie begründet durch weitere Beobachtungen.</w:t>
      </w:r>
    </w:p>
    <w:p w14:paraId="5658CDB9"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Der zweite Pfeiler ist </w:t>
      </w:r>
      <w:r w:rsidRPr="00FC1FD7">
        <w:rPr>
          <w:rFonts w:eastAsia="Times New Roman" w:cs="Times New Roman"/>
          <w:b/>
          <w:bCs/>
          <w:kern w:val="0"/>
          <w:lang w:eastAsia="de-DE"/>
          <w14:ligatures w14:val="none"/>
        </w:rPr>
        <w:t>institutionelle Wachsamkeit</w:t>
      </w:r>
      <w:r w:rsidRPr="00FC1FD7">
        <w:rPr>
          <w:rFonts w:eastAsia="Times New Roman" w:cs="Times New Roman"/>
          <w:kern w:val="0"/>
          <w:lang w:eastAsia="de-DE"/>
          <w14:ligatures w14:val="none"/>
        </w:rPr>
        <w:t xml:space="preserve">. Horváth hilft, Defizitorientierung nicht zu moralisieren, sondern als mögliche Folge institutioneller Routinen zu </w:t>
      </w:r>
      <w:r w:rsidRPr="00FC1FD7">
        <w:rPr>
          <w:rFonts w:eastAsia="Times New Roman" w:cs="Times New Roman"/>
          <w:kern w:val="0"/>
          <w:lang w:eastAsia="de-DE"/>
          <w14:ligatures w14:val="none"/>
        </w:rPr>
        <w:lastRenderedPageBreak/>
        <w:t xml:space="preserve">verstehen. Gerade bei S. bündeln sich Merkmale, die Schule oft schlecht sieht: Migration, Deutsch als Zweitsprache, graphomotorische Schwierigkeiten, soziale Unsicherheit und auffälliges Verhalten. Macha zeigt, dass implizite Bilder von Begabung — sprachlich stark, angepasst, bildungsnah — reflektiert werden müssen. Deshalb frage ich im Team nicht: „Ihr seht S. falsch.“ Ich frage: </w:t>
      </w:r>
      <w:r w:rsidRPr="00FC1FD7">
        <w:rPr>
          <w:rFonts w:eastAsia="Times New Roman" w:cs="Times New Roman"/>
          <w:b/>
          <w:bCs/>
          <w:kern w:val="0"/>
          <w:lang w:eastAsia="de-DE"/>
          <w14:ligatures w14:val="none"/>
        </w:rPr>
        <w:t>„Welche Daten fehlen uns, wenn wir nur das Störende sehen?“</w:t>
      </w:r>
    </w:p>
    <w:p w14:paraId="27D9223A"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Der dritte Pfeiler ist </w:t>
      </w:r>
      <w:r w:rsidRPr="00FC1FD7">
        <w:rPr>
          <w:rFonts w:eastAsia="Times New Roman" w:cs="Times New Roman"/>
          <w:b/>
          <w:bCs/>
          <w:kern w:val="0"/>
          <w:lang w:eastAsia="de-DE"/>
          <w14:ligatures w14:val="none"/>
        </w:rPr>
        <w:t>reflexive Partnerschaftlichkeit</w:t>
      </w:r>
      <w:r w:rsidRPr="00FC1FD7">
        <w:rPr>
          <w:rFonts w:eastAsia="Times New Roman" w:cs="Times New Roman"/>
          <w:kern w:val="0"/>
          <w:lang w:eastAsia="de-DE"/>
          <w14:ligatures w14:val="none"/>
        </w:rPr>
        <w:t xml:space="preserve">. Beratung darf nicht als Belehrung auftreten. Mit Grosche, Fussangel und Gräsel verstehe ich Zusammenarbeit als Kokonstruktion: Fachpersonen entwickeln gemeinsam ein tragfähigeres Fallverständnis. Die zentrale Kontrastfrage lautet deshalb: </w:t>
      </w:r>
      <w:r w:rsidRPr="00FC1FD7">
        <w:rPr>
          <w:rFonts w:eastAsia="Times New Roman" w:cs="Times New Roman"/>
          <w:b/>
          <w:bCs/>
          <w:kern w:val="0"/>
          <w:lang w:eastAsia="de-DE"/>
          <w14:ligatures w14:val="none"/>
        </w:rPr>
        <w:t>Was ist an SOLUX anders, dass S. dort Stärken zeigt?</w:t>
      </w:r>
      <w:r w:rsidRPr="00FC1FD7">
        <w:rPr>
          <w:rFonts w:eastAsia="Times New Roman" w:cs="Times New Roman"/>
          <w:kern w:val="0"/>
          <w:lang w:eastAsia="de-DE"/>
          <w14:ligatures w14:val="none"/>
        </w:rPr>
        <w:t xml:space="preserve"> Diese Frage verbindet Frage 5 direkt mit dem Zentrum des Plakats. SOLUX-Beobachtungen stehen nicht gegen den Regelunterricht. Sie erweitern die Datenbasis.</w:t>
      </w:r>
    </w:p>
    <w:p w14:paraId="5002D3C0"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Unter der Trias zeigt das Plakat die vier Handlungsschritte. Erstens: </w:t>
      </w:r>
      <w:r w:rsidRPr="00FC1FD7">
        <w:rPr>
          <w:rFonts w:eastAsia="Times New Roman" w:cs="Times New Roman"/>
          <w:b/>
          <w:bCs/>
          <w:kern w:val="0"/>
          <w:lang w:eastAsia="de-DE"/>
          <w14:ligatures w14:val="none"/>
        </w:rPr>
        <w:t>Beobachtungen sichern</w:t>
      </w:r>
      <w:r w:rsidRPr="00FC1FD7">
        <w:rPr>
          <w:rFonts w:eastAsia="Times New Roman" w:cs="Times New Roman"/>
          <w:kern w:val="0"/>
          <w:lang w:eastAsia="de-DE"/>
          <w14:ligatures w14:val="none"/>
        </w:rPr>
        <w:t xml:space="preserve"> — aus SOLUX, Regelunterricht, DaZ, SPD, PMT, Eltern und biografischen Gesprächen. Zweitens: </w:t>
      </w:r>
      <w:r w:rsidRPr="00FC1FD7">
        <w:rPr>
          <w:rFonts w:eastAsia="Times New Roman" w:cs="Times New Roman"/>
          <w:b/>
          <w:bCs/>
          <w:kern w:val="0"/>
          <w:lang w:eastAsia="de-DE"/>
          <w14:ligatures w14:val="none"/>
        </w:rPr>
        <w:t>Kontrastfrage einbringen</w:t>
      </w:r>
      <w:r w:rsidRPr="00FC1FD7">
        <w:rPr>
          <w:rFonts w:eastAsia="Times New Roman" w:cs="Times New Roman"/>
          <w:kern w:val="0"/>
          <w:lang w:eastAsia="de-DE"/>
          <w14:ligatures w14:val="none"/>
        </w:rPr>
        <w:t xml:space="preserve"> — nicht als Gegenbeweis, sondern als Öffnung. Drittens: </w:t>
      </w:r>
      <w:r w:rsidRPr="00FC1FD7">
        <w:rPr>
          <w:rFonts w:eastAsia="Times New Roman" w:cs="Times New Roman"/>
          <w:b/>
          <w:bCs/>
          <w:kern w:val="0"/>
          <w:lang w:eastAsia="de-DE"/>
          <w14:ligatures w14:val="none"/>
        </w:rPr>
        <w:t>Barrieren analysieren</w:t>
      </w:r>
      <w:r w:rsidRPr="00FC1FD7">
        <w:rPr>
          <w:rFonts w:eastAsia="Times New Roman" w:cs="Times New Roman"/>
          <w:kern w:val="0"/>
          <w:lang w:eastAsia="de-DE"/>
          <w14:ligatures w14:val="none"/>
        </w:rPr>
        <w:t xml:space="preserve"> — mit Universal Design for Learning: Welche Zugänge, Ausdrucksformen und Beteiligungsmöglichkeiten bietet der Unterricht, welche versperrt er? Viertens: </w:t>
      </w:r>
      <w:r w:rsidRPr="00FC1FD7">
        <w:rPr>
          <w:rFonts w:eastAsia="Times New Roman" w:cs="Times New Roman"/>
          <w:b/>
          <w:bCs/>
          <w:kern w:val="0"/>
          <w:lang w:eastAsia="de-DE"/>
          <w14:ligatures w14:val="none"/>
        </w:rPr>
        <w:t>Förderplanung gemeinsam entwickeln</w:t>
      </w:r>
      <w:r w:rsidRPr="00FC1FD7">
        <w:rPr>
          <w:rFonts w:eastAsia="Times New Roman" w:cs="Times New Roman"/>
          <w:kern w:val="0"/>
          <w:lang w:eastAsia="de-DE"/>
          <w14:ligatures w14:val="none"/>
        </w:rPr>
        <w:t xml:space="preserve"> — mit Klassenlehrperson, SHP, DaZ, Fachstellen, Schulleitung und Eltern. Widmer-Wolf betont dafür Rollenklarheit und Kooperationsstrukturen; Nguyen und Sliwka rahmen Begabungsförderung als Schulentwicklung, nicht als Einzelinitiative.</w:t>
      </w:r>
    </w:p>
    <w:p w14:paraId="17824DEF"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kern w:val="0"/>
          <w:lang w:eastAsia="de-DE"/>
          <w14:ligatures w14:val="none"/>
        </w:rPr>
        <w:t xml:space="preserve">Gerade die </w:t>
      </w:r>
      <w:r w:rsidRPr="00FC1FD7">
        <w:rPr>
          <w:rFonts w:eastAsia="Times New Roman" w:cs="Times New Roman"/>
          <w:b/>
          <w:bCs/>
          <w:kern w:val="0"/>
          <w:lang w:eastAsia="de-DE"/>
          <w14:ligatures w14:val="none"/>
        </w:rPr>
        <w:t>Eltern</w:t>
      </w:r>
      <w:r w:rsidRPr="00FC1FD7">
        <w:rPr>
          <w:rFonts w:eastAsia="Times New Roman" w:cs="Times New Roman"/>
          <w:kern w:val="0"/>
          <w:lang w:eastAsia="de-DE"/>
          <w14:ligatures w14:val="none"/>
        </w:rPr>
        <w:t xml:space="preserve"> gehören ins Netzwerk. Sie sind nicht nur Adressat:innen, sondern Wissensquelle. Bei S. wurden Mobbingerfahrungen und der unterbrochene Schriftspracherwerb erst durch ein strukturiertes Dolmetschgespräch verständlich. Ohne Elternwissen bleibt Diagnostik unvollständig.</w:t>
      </w:r>
    </w:p>
    <w:p w14:paraId="7CF493DA" w14:textId="77777777" w:rsidR="00FC1FD7" w:rsidRPr="00FC1FD7" w:rsidRDefault="00FC1FD7" w:rsidP="00FC1FD7">
      <w:pPr>
        <w:spacing w:before="100" w:beforeAutospacing="1" w:after="100" w:afterAutospacing="1" w:line="240" w:lineRule="auto"/>
        <w:rPr>
          <w:rFonts w:eastAsia="Times New Roman" w:cs="Times New Roman"/>
          <w:kern w:val="0"/>
          <w:lang w:eastAsia="de-DE"/>
          <w14:ligatures w14:val="none"/>
        </w:rPr>
      </w:pPr>
      <w:r w:rsidRPr="00FC1FD7">
        <w:rPr>
          <w:rFonts w:eastAsia="Times New Roman" w:cs="Times New Roman"/>
          <w:b/>
          <w:bCs/>
          <w:kern w:val="0"/>
          <w:lang w:eastAsia="de-DE"/>
          <w14:ligatures w14:val="none"/>
        </w:rPr>
        <w:t>Schlusssatz:</w:t>
      </w:r>
      <w:r w:rsidRPr="00FC1FD7">
        <w:rPr>
          <w:rFonts w:eastAsia="Times New Roman" w:cs="Times New Roman"/>
          <w:kern w:val="0"/>
          <w:lang w:eastAsia="de-DE"/>
          <w14:ligatures w14:val="none"/>
        </w:rPr>
        <w:br/>
      </w:r>
      <w:r w:rsidRPr="00FC1FD7">
        <w:rPr>
          <w:rFonts w:eastAsia="Times New Roman" w:cs="Times New Roman"/>
          <w:b/>
          <w:bCs/>
          <w:kern w:val="0"/>
          <w:lang w:eastAsia="de-DE"/>
          <w14:ligatures w14:val="none"/>
        </w:rPr>
        <w:t>„Frage 5 fragt nicht, wie ich das Team überrede. Sie fragt, wie ich Sichtbarkeit sichere. Darum zeigt der Nordwesten Warnschild, Leuchtturm, Teamnetz und SHP-Trias. Was nur eine Person sieht, bleibt fragil. Was ein Team gemeinsam versteht, kann Bildungswege verändern. Sichern heisst: dokumentieren, kontrastieren, Barrieren analysieren und gemeinsam handeln.“</w:t>
      </w:r>
    </w:p>
    <w:p w14:paraId="248E5414" w14:textId="77777777" w:rsidR="006A29F0" w:rsidRPr="00FC1FD7" w:rsidRDefault="006A29F0"/>
    <w:sectPr w:rsidR="006A29F0" w:rsidRPr="00FC1FD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D7"/>
    <w:rsid w:val="006A29F0"/>
    <w:rsid w:val="007F5B57"/>
    <w:rsid w:val="00DD4576"/>
    <w:rsid w:val="00FA5CDB"/>
    <w:rsid w:val="00FC1FD7"/>
    <w:rsid w:val="00FE35E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1BB1"/>
  <w15:chartTrackingRefBased/>
  <w15:docId w15:val="{2B567EEC-C112-EC49-9F95-63E58538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C1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C1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C1F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C1F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C1F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C1F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1F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1F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1F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1F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C1F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C1F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C1F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C1F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C1F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1F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1F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1FD7"/>
    <w:rPr>
      <w:rFonts w:eastAsiaTheme="majorEastAsia" w:cstheme="majorBidi"/>
      <w:color w:val="272727" w:themeColor="text1" w:themeTint="D8"/>
    </w:rPr>
  </w:style>
  <w:style w:type="paragraph" w:styleId="Titel">
    <w:name w:val="Title"/>
    <w:basedOn w:val="Standard"/>
    <w:next w:val="Standard"/>
    <w:link w:val="TitelZchn"/>
    <w:uiPriority w:val="10"/>
    <w:qFormat/>
    <w:rsid w:val="00FC1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1F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1F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1F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1F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C1FD7"/>
    <w:rPr>
      <w:i/>
      <w:iCs/>
      <w:color w:val="404040" w:themeColor="text1" w:themeTint="BF"/>
    </w:rPr>
  </w:style>
  <w:style w:type="paragraph" w:styleId="Listenabsatz">
    <w:name w:val="List Paragraph"/>
    <w:basedOn w:val="Standard"/>
    <w:uiPriority w:val="34"/>
    <w:qFormat/>
    <w:rsid w:val="00FC1FD7"/>
    <w:pPr>
      <w:ind w:left="720"/>
      <w:contextualSpacing/>
    </w:pPr>
  </w:style>
  <w:style w:type="character" w:styleId="IntensiveHervorhebung">
    <w:name w:val="Intense Emphasis"/>
    <w:basedOn w:val="Absatz-Standardschriftart"/>
    <w:uiPriority w:val="21"/>
    <w:qFormat/>
    <w:rsid w:val="00FC1FD7"/>
    <w:rPr>
      <w:i/>
      <w:iCs/>
      <w:color w:val="0F4761" w:themeColor="accent1" w:themeShade="BF"/>
    </w:rPr>
  </w:style>
  <w:style w:type="paragraph" w:styleId="IntensivesZitat">
    <w:name w:val="Intense Quote"/>
    <w:basedOn w:val="Standard"/>
    <w:next w:val="Standard"/>
    <w:link w:val="IntensivesZitatZchn"/>
    <w:uiPriority w:val="30"/>
    <w:qFormat/>
    <w:rsid w:val="00FC1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C1FD7"/>
    <w:rPr>
      <w:i/>
      <w:iCs/>
      <w:color w:val="0F4761" w:themeColor="accent1" w:themeShade="BF"/>
    </w:rPr>
  </w:style>
  <w:style w:type="character" w:styleId="IntensiverVerweis">
    <w:name w:val="Intense Reference"/>
    <w:basedOn w:val="Absatz-Standardschriftart"/>
    <w:uiPriority w:val="32"/>
    <w:qFormat/>
    <w:rsid w:val="00FC1FD7"/>
    <w:rPr>
      <w:b/>
      <w:bCs/>
      <w:smallCaps/>
      <w:color w:val="0F4761" w:themeColor="accent1" w:themeShade="BF"/>
      <w:spacing w:val="5"/>
    </w:rPr>
  </w:style>
  <w:style w:type="character" w:styleId="Fett">
    <w:name w:val="Strong"/>
    <w:basedOn w:val="Absatz-Standardschriftart"/>
    <w:uiPriority w:val="22"/>
    <w:qFormat/>
    <w:rsid w:val="00FC1FD7"/>
    <w:rPr>
      <w:b/>
      <w:bCs/>
    </w:rPr>
  </w:style>
  <w:style w:type="paragraph" w:styleId="StandardWeb">
    <w:name w:val="Normal (Web)"/>
    <w:basedOn w:val="Standard"/>
    <w:uiPriority w:val="99"/>
    <w:semiHidden/>
    <w:unhideWhenUsed/>
    <w:rsid w:val="00FC1FD7"/>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4380</Characters>
  <Application>Microsoft Office Word</Application>
  <DocSecurity>0</DocSecurity>
  <Lines>36</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Schmid</dc:creator>
  <cp:keywords/>
  <dc:description/>
  <cp:lastModifiedBy>Pascal Schmid</cp:lastModifiedBy>
  <cp:revision>1</cp:revision>
  <dcterms:created xsi:type="dcterms:W3CDTF">2026-05-23T16:34:00Z</dcterms:created>
  <dcterms:modified xsi:type="dcterms:W3CDTF">2026-05-23T16:35:00Z</dcterms:modified>
</cp:coreProperties>
</file>