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120" w:after="60"/>
      </w:pPr>
      <w:r>
        <w:rPr>
          <w:rFonts w:ascii="Calibri" w:hAnsi="Calibri"/>
          <w:b/>
          <w:color w:val="0D366B"/>
          <w:sz w:val="36"/>
        </w:rPr>
        <w:t>Breathe India: What Really Drives Air Pollution in Indian Cities?</w:t>
      </w:r>
    </w:p>
    <w:p>
      <w:pPr>
        <w:spacing w:after="80" w:before="0" w:line="259" w:lineRule="auto"/>
      </w:pPr>
      <w:r>
        <w:rPr>
          <w:b w:val="0"/>
          <w:i w:val="0"/>
          <w:color w:val="1A1A1A"/>
          <w:sz w:val="20"/>
        </w:rPr>
        <w:t>Data Wrangling Group Project · Mahak Wadhawan (L074) · Yash Shah (L056) · 14 October 2026</w:t>
      </w:r>
    </w:p>
    <w:p>
      <w:pPr>
        <w:pStyle w:val="Heading2"/>
        <w:keepNext/>
        <w:spacing w:before="200" w:after="60"/>
      </w:pPr>
      <w:r>
        <w:rPr>
          <w:rFonts w:ascii="Calibri" w:hAnsi="Calibri"/>
          <w:b/>
          <w:color w:val="0D366B"/>
          <w:sz w:val="26"/>
        </w:rPr>
        <w:t>1. Objective</w:t>
      </w:r>
    </w:p>
    <w:p>
      <w:pPr>
        <w:spacing w:after="80" w:before="0" w:line="259" w:lineRule="auto"/>
      </w:pPr>
      <w:r>
        <w:rPr>
          <w:b w:val="0"/>
          <w:i w:val="0"/>
          <w:color w:val="1A1A1A"/>
          <w:sz w:val="20"/>
        </w:rPr>
        <w:t>About a third of the PM2.5 drop credited to India's 2020 lockdown was actually favourable weather, and tomorrow's air-quality category can be predicted correctly 75% of the time. Those are the two answers this project gives to one question: how much of a city's daily air quality comes from weather and season, and how much from people?</w:t>
      </w:r>
    </w:p>
    <w:p>
      <w:pPr>
        <w:spacing w:after="80" w:before="0" w:line="259" w:lineRule="auto"/>
      </w:pPr>
      <w:r>
        <w:rPr>
          <w:b w:val="0"/>
          <w:i w:val="0"/>
          <w:color w:val="1A1A1A"/>
          <w:sz w:val="20"/>
        </w:rPr>
        <w:t>The 2020 COVID-19 lockdown is our natural experiment. On 25 March 2020 traffic and most industry stopped almost overnight, a change no policy could make on purpose. But the weather also changed that spring, so the headline "pollution fell by 40%" mixes two effects. We separate them with a weather-normalised model.</w:t>
      </w:r>
    </w:p>
    <w:p>
      <w:pPr>
        <w:spacing w:after="80" w:before="0" w:line="259" w:lineRule="auto"/>
      </w:pPr>
      <w:r>
        <w:rPr>
          <w:b w:val="0"/>
          <w:i w:val="0"/>
          <w:color w:val="1A1A1A"/>
          <w:sz w:val="20"/>
        </w:rPr>
        <w:t xml:space="preserve">The project takes five years of government data for 26 cities through the full pipeline: extraction, cleaning, transformation and loading. It then carries the data into three machine-learning tasks and a five-page Power BI dashboard. Everything is reproducible from the repository </w:t>
      </w:r>
      <w:hyperlink r:id="rId10">
        <w:r>
          <w:rPr>
            <w:color w:val="256ABF"/>
            <w:sz w:val="20"/>
          </w:rPr>
          <w:t xml:space="preserve">mahak2604/breathe-india</w:t>
        </w:r>
      </w:hyperlink>
      <w:r>
        <w:rPr>
          <w:b w:val="0"/>
          <w:i w:val="0"/>
          <w:color w:val="1A1A1A"/>
          <w:sz w:val="20"/>
        </w:rPr>
        <w:t>.</w:t>
      </w:r>
    </w:p>
    <w:p>
      <w:pPr>
        <w:pStyle w:val="Heading2"/>
        <w:keepNext/>
        <w:spacing w:before="200" w:after="60"/>
      </w:pPr>
      <w:r>
        <w:rPr>
          <w:rFonts w:ascii="Calibri" w:hAnsi="Calibri"/>
          <w:b/>
          <w:color w:val="0D366B"/>
          <w:sz w:val="26"/>
        </w:rPr>
        <w:t>2. Dataset</w:t>
      </w:r>
    </w:p>
    <w:p>
      <w:pPr>
        <w:spacing w:after="80" w:before="0" w:line="259" w:lineRule="auto"/>
      </w:pPr>
      <w:r>
        <w:rPr>
          <w:b w:val="0"/>
          <w:i w:val="0"/>
          <w:color w:val="1A1A1A"/>
          <w:sz w:val="20"/>
        </w:rPr>
        <w:t>Four sources were joined into one star schema of 28,260 city-days for 26 cities, 1 January 2015 to 1 July 2020. The government air-quality data is the core; weather and city locations come from two public APIs, and an event calendar was typed in from public records.</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1950"/>
        <w:gridCol w:w="1950"/>
        <w:gridCol w:w="1950"/>
        <w:gridCol w:w="1950"/>
        <w:gridCol w:w="1950"/>
      </w:tblGrid>
      <w:tr>
        <w:tc>
          <w:tcPr>
            <w:tcW w:type="dxa" w:w="1950"/>
            <w:shd w:val="clear" w:color="auto" w:fill="E8EEF7"/>
          </w:tcPr>
          <w:p>
            <w:pPr>
              <w:spacing w:after="0" w:line="240" w:lineRule="auto"/>
            </w:pPr>
            <w:r/>
            <w:r>
              <w:rPr>
                <w:b/>
                <w:i w:val="0"/>
                <w:color w:val="1A1A1A"/>
                <w:sz w:val="17"/>
              </w:rPr>
              <w:t>Source</w:t>
            </w:r>
          </w:p>
        </w:tc>
        <w:tc>
          <w:tcPr>
            <w:tcW w:type="dxa" w:w="1950"/>
            <w:shd w:val="clear" w:color="auto" w:fill="E8EEF7"/>
          </w:tcPr>
          <w:p>
            <w:pPr>
              <w:spacing w:after="0" w:line="240" w:lineRule="auto"/>
            </w:pPr>
            <w:r/>
            <w:r>
              <w:rPr>
                <w:b/>
                <w:i w:val="0"/>
                <w:color w:val="1A1A1A"/>
                <w:sz w:val="17"/>
              </w:rPr>
              <w:t>How obtained</w:t>
            </w:r>
          </w:p>
        </w:tc>
        <w:tc>
          <w:tcPr>
            <w:tcW w:type="dxa" w:w="1950"/>
            <w:shd w:val="clear" w:color="auto" w:fill="E8EEF7"/>
          </w:tcPr>
          <w:p>
            <w:pPr>
              <w:spacing w:after="0" w:line="240" w:lineRule="auto"/>
            </w:pPr>
            <w:r/>
            <w:r>
              <w:rPr>
                <w:b/>
                <w:i w:val="0"/>
                <w:color w:val="1A1A1A"/>
                <w:sz w:val="17"/>
              </w:rPr>
              <w:t>Rows × columns</w:t>
            </w:r>
          </w:p>
        </w:tc>
        <w:tc>
          <w:tcPr>
            <w:tcW w:type="dxa" w:w="1950"/>
            <w:shd w:val="clear" w:color="auto" w:fill="E8EEF7"/>
          </w:tcPr>
          <w:p>
            <w:pPr>
              <w:spacing w:after="0" w:line="240" w:lineRule="auto"/>
            </w:pPr>
            <w:r/>
            <w:r>
              <w:rPr>
                <w:b/>
                <w:i w:val="0"/>
                <w:color w:val="1A1A1A"/>
                <w:sz w:val="17"/>
              </w:rPr>
              <w:t>Grain</w:t>
            </w:r>
          </w:p>
        </w:tc>
        <w:tc>
          <w:tcPr>
            <w:tcW w:type="dxa" w:w="1950"/>
            <w:shd w:val="clear" w:color="auto" w:fill="E8EEF7"/>
          </w:tcPr>
          <w:p>
            <w:pPr>
              <w:spacing w:after="0" w:line="240" w:lineRule="auto"/>
            </w:pPr>
            <w:r/>
            <w:r>
              <w:rPr>
                <w:b/>
                <w:i w:val="0"/>
                <w:color w:val="1A1A1A"/>
                <w:sz w:val="17"/>
              </w:rPr>
              <w:t>Licence / terms</w:t>
            </w:r>
          </w:p>
        </w:tc>
      </w:tr>
      <w:tr>
        <w:tc>
          <w:tcPr>
            <w:tcW w:type="dxa" w:w="1950"/>
          </w:tcPr>
          <w:p>
            <w:pPr>
              <w:spacing w:after="0" w:line="240" w:lineRule="auto"/>
            </w:pPr>
            <w:r/>
            <w:hyperlink r:id="rId11">
              <w:r>
                <w:rPr>
                  <w:color w:val="256ABF"/>
                  <w:sz w:val="17"/>
                </w:rPr>
                <w:t xml:space="preserve">CPCB air quality, city level</w:t>
              </w:r>
            </w:hyperlink>
            <w:r>
              <w:rPr>
                <w:b w:val="0"/>
                <w:i w:val="0"/>
                <w:color w:val="1A1A1A"/>
                <w:sz w:val="17"/>
              </w:rPr>
              <w:t xml:space="preserve"> (Central Pollution Control Board, via Kaggle)</w:t>
            </w:r>
          </w:p>
        </w:tc>
        <w:tc>
          <w:tcPr>
            <w:tcW w:type="dxa" w:w="1950"/>
          </w:tcPr>
          <w:p>
            <w:pPr>
              <w:spacing w:after="0" w:line="240" w:lineRule="auto"/>
            </w:pPr>
            <w:r/>
            <w:r>
              <w:rPr>
                <w:b w:val="0"/>
                <w:i w:val="0"/>
                <w:color w:val="1A1A1A"/>
                <w:sz w:val="17"/>
              </w:rPr>
              <w:t>HTTP download of a 76 MB zip</w:t>
            </w:r>
          </w:p>
        </w:tc>
        <w:tc>
          <w:tcPr>
            <w:tcW w:type="dxa" w:w="1950"/>
          </w:tcPr>
          <w:p>
            <w:pPr>
              <w:spacing w:after="0" w:line="240" w:lineRule="auto"/>
            </w:pPr>
            <w:r/>
            <w:r>
              <w:rPr>
                <w:b w:val="0"/>
                <w:i w:val="0"/>
                <w:color w:val="1A1A1A"/>
                <w:sz w:val="17"/>
              </w:rPr>
              <w:t>29,531 × 16</w:t>
            </w:r>
          </w:p>
        </w:tc>
        <w:tc>
          <w:tcPr>
            <w:tcW w:type="dxa" w:w="1950"/>
          </w:tcPr>
          <w:p>
            <w:pPr>
              <w:spacing w:after="0" w:line="240" w:lineRule="auto"/>
            </w:pPr>
            <w:r/>
            <w:r>
              <w:rPr>
                <w:b w:val="0"/>
                <w:i w:val="0"/>
                <w:color w:val="1A1A1A"/>
                <w:sz w:val="17"/>
              </w:rPr>
              <w:t>city × day</w:t>
            </w:r>
          </w:p>
        </w:tc>
        <w:tc>
          <w:tcPr>
            <w:tcW w:type="dxa" w:w="1950"/>
          </w:tcPr>
          <w:p>
            <w:pPr>
              <w:spacing w:after="0" w:line="240" w:lineRule="auto"/>
            </w:pPr>
            <w:r/>
            <w:r>
              <w:rPr>
                <w:b w:val="0"/>
                <w:i w:val="0"/>
                <w:color w:val="1A1A1A"/>
                <w:sz w:val="17"/>
              </w:rPr>
              <w:t>Published by CPCB; Kaggle page licence</w:t>
            </w:r>
          </w:p>
        </w:tc>
      </w:tr>
      <w:tr>
        <w:tc>
          <w:tcPr>
            <w:tcW w:type="dxa" w:w="1950"/>
          </w:tcPr>
          <w:p>
            <w:pPr>
              <w:spacing w:after="0" w:line="240" w:lineRule="auto"/>
            </w:pPr>
            <w:r/>
            <w:r>
              <w:rPr>
                <w:b w:val="0"/>
                <w:i w:val="0"/>
                <w:color w:val="1A1A1A"/>
                <w:sz w:val="17"/>
              </w:rPr>
              <w:t>CPCB air quality, station level + station register</w:t>
            </w:r>
          </w:p>
        </w:tc>
        <w:tc>
          <w:tcPr>
            <w:tcW w:type="dxa" w:w="1950"/>
          </w:tcPr>
          <w:p>
            <w:pPr>
              <w:spacing w:after="0" w:line="240" w:lineRule="auto"/>
            </w:pPr>
            <w:r/>
            <w:r>
              <w:rPr>
                <w:b w:val="0"/>
                <w:i w:val="0"/>
                <w:color w:val="1A1A1A"/>
                <w:sz w:val="17"/>
              </w:rPr>
              <w:t>Same download</w:t>
            </w:r>
          </w:p>
        </w:tc>
        <w:tc>
          <w:tcPr>
            <w:tcW w:type="dxa" w:w="1950"/>
          </w:tcPr>
          <w:p>
            <w:pPr>
              <w:spacing w:after="0" w:line="240" w:lineRule="auto"/>
            </w:pPr>
            <w:r/>
            <w:r>
              <w:rPr>
                <w:b w:val="0"/>
                <w:i w:val="0"/>
                <w:color w:val="1A1A1A"/>
                <w:sz w:val="17"/>
              </w:rPr>
              <w:t>108,035 × 16 and 230 × 5</w:t>
            </w:r>
          </w:p>
        </w:tc>
        <w:tc>
          <w:tcPr>
            <w:tcW w:type="dxa" w:w="1950"/>
          </w:tcPr>
          <w:p>
            <w:pPr>
              <w:spacing w:after="0" w:line="240" w:lineRule="auto"/>
            </w:pPr>
            <w:r/>
            <w:r>
              <w:rPr>
                <w:b w:val="0"/>
                <w:i w:val="0"/>
                <w:color w:val="1A1A1A"/>
                <w:sz w:val="17"/>
              </w:rPr>
              <w:t>station × day</w:t>
            </w:r>
          </w:p>
        </w:tc>
        <w:tc>
          <w:tcPr>
            <w:tcW w:type="dxa" w:w="1950"/>
          </w:tcPr>
          <w:p>
            <w:pPr>
              <w:spacing w:after="0" w:line="240" w:lineRule="auto"/>
            </w:pPr>
            <w:r/>
            <w:r>
              <w:rPr>
                <w:b w:val="0"/>
                <w:i w:val="0"/>
                <w:color w:val="1A1A1A"/>
                <w:sz w:val="17"/>
              </w:rPr>
              <w:t>As above</w:t>
            </w:r>
          </w:p>
        </w:tc>
      </w:tr>
      <w:tr>
        <w:tc>
          <w:tcPr>
            <w:tcW w:type="dxa" w:w="1950"/>
          </w:tcPr>
          <w:p>
            <w:pPr>
              <w:spacing w:after="0" w:line="240" w:lineRule="auto"/>
            </w:pPr>
            <w:r/>
            <w:hyperlink r:id="rId12">
              <w:r>
                <w:rPr>
                  <w:color w:val="256ABF"/>
                  <w:sz w:val="17"/>
                </w:rPr>
                <w:t xml:space="preserve">Open-Meteo Historical Weather API</w:t>
              </w:r>
            </w:hyperlink>
            <w:r>
              <w:rPr>
                <w:b w:val="0"/>
                <w:i w:val="0"/>
                <w:color w:val="1A1A1A"/>
                <w:sz w:val="17"/>
              </w:rPr>
              <w:t xml:space="preserve"> (Copernicus ERA5)</w:t>
            </w:r>
          </w:p>
        </w:tc>
        <w:tc>
          <w:tcPr>
            <w:tcW w:type="dxa" w:w="1950"/>
          </w:tcPr>
          <w:p>
            <w:pPr>
              <w:spacing w:after="0" w:line="240" w:lineRule="auto"/>
            </w:pPr>
            <w:r/>
            <w:r>
              <w:rPr>
                <w:b w:val="0"/>
                <w:i w:val="0"/>
                <w:color w:val="1A1A1A"/>
                <w:sz w:val="17"/>
              </w:rPr>
              <w:t>REST API, 1 call per city, 8 daily variables</w:t>
            </w:r>
          </w:p>
        </w:tc>
        <w:tc>
          <w:tcPr>
            <w:tcW w:type="dxa" w:w="1950"/>
          </w:tcPr>
          <w:p>
            <w:pPr>
              <w:spacing w:after="0" w:line="240" w:lineRule="auto"/>
            </w:pPr>
            <w:r/>
            <w:r>
              <w:rPr>
                <w:b w:val="0"/>
                <w:i w:val="0"/>
                <w:color w:val="1A1A1A"/>
                <w:sz w:val="17"/>
              </w:rPr>
              <w:t>52,234 × 10</w:t>
            </w:r>
          </w:p>
        </w:tc>
        <w:tc>
          <w:tcPr>
            <w:tcW w:type="dxa" w:w="1950"/>
          </w:tcPr>
          <w:p>
            <w:pPr>
              <w:spacing w:after="0" w:line="240" w:lineRule="auto"/>
            </w:pPr>
            <w:r/>
            <w:r>
              <w:rPr>
                <w:b w:val="0"/>
                <w:i w:val="0"/>
                <w:color w:val="1A1A1A"/>
                <w:sz w:val="17"/>
              </w:rPr>
              <w:t>city × day</w:t>
            </w:r>
          </w:p>
        </w:tc>
        <w:tc>
          <w:tcPr>
            <w:tcW w:type="dxa" w:w="1950"/>
          </w:tcPr>
          <w:p>
            <w:pPr>
              <w:spacing w:after="0" w:line="240" w:lineRule="auto"/>
            </w:pPr>
            <w:r/>
            <w:r>
              <w:rPr>
                <w:b w:val="0"/>
                <w:i w:val="0"/>
                <w:color w:val="1A1A1A"/>
                <w:sz w:val="17"/>
              </w:rPr>
              <w:t>CC BY 4.0, free non-commercial</w:t>
            </w:r>
          </w:p>
        </w:tc>
      </w:tr>
      <w:tr>
        <w:tc>
          <w:tcPr>
            <w:tcW w:type="dxa" w:w="1950"/>
          </w:tcPr>
          <w:p>
            <w:pPr>
              <w:spacing w:after="0" w:line="240" w:lineRule="auto"/>
            </w:pPr>
            <w:r/>
            <w:hyperlink r:id="rId13">
              <w:r>
                <w:rPr>
                  <w:color w:val="256ABF"/>
                  <w:sz w:val="17"/>
                </w:rPr>
                <w:t xml:space="preserve">Open-Meteo Geocoding API</w:t>
              </w:r>
            </w:hyperlink>
          </w:p>
        </w:tc>
        <w:tc>
          <w:tcPr>
            <w:tcW w:type="dxa" w:w="1950"/>
          </w:tcPr>
          <w:p>
            <w:pPr>
              <w:spacing w:after="0" w:line="240" w:lineRule="auto"/>
            </w:pPr>
            <w:r/>
            <w:r>
              <w:rPr>
                <w:b w:val="0"/>
                <w:i w:val="0"/>
                <w:color w:val="1A1A1A"/>
                <w:sz w:val="17"/>
              </w:rPr>
              <w:t>REST API, 1 call per city</w:t>
            </w:r>
          </w:p>
        </w:tc>
        <w:tc>
          <w:tcPr>
            <w:tcW w:type="dxa" w:w="1950"/>
          </w:tcPr>
          <w:p>
            <w:pPr>
              <w:spacing w:after="0" w:line="240" w:lineRule="auto"/>
            </w:pPr>
            <w:r/>
            <w:r>
              <w:rPr>
                <w:b w:val="0"/>
                <w:i w:val="0"/>
                <w:color w:val="1A1A1A"/>
                <w:sz w:val="17"/>
              </w:rPr>
              <w:t>26 × 8</w:t>
            </w:r>
          </w:p>
        </w:tc>
        <w:tc>
          <w:tcPr>
            <w:tcW w:type="dxa" w:w="1950"/>
          </w:tcPr>
          <w:p>
            <w:pPr>
              <w:spacing w:after="0" w:line="240" w:lineRule="auto"/>
            </w:pPr>
            <w:r/>
            <w:r>
              <w:rPr>
                <w:b w:val="0"/>
                <w:i w:val="0"/>
                <w:color w:val="1A1A1A"/>
                <w:sz w:val="17"/>
              </w:rPr>
              <w:t>city</w:t>
            </w:r>
          </w:p>
        </w:tc>
        <w:tc>
          <w:tcPr>
            <w:tcW w:type="dxa" w:w="1950"/>
          </w:tcPr>
          <w:p>
            <w:pPr>
              <w:spacing w:after="0" w:line="240" w:lineRule="auto"/>
            </w:pPr>
            <w:r/>
            <w:r>
              <w:rPr>
                <w:b w:val="0"/>
                <w:i w:val="0"/>
                <w:color w:val="1A1A1A"/>
                <w:sz w:val="17"/>
              </w:rPr>
              <w:t>CC BY 4.0</w:t>
            </w:r>
          </w:p>
        </w:tc>
      </w:tr>
      <w:tr>
        <w:tc>
          <w:tcPr>
            <w:tcW w:type="dxa" w:w="1950"/>
          </w:tcPr>
          <w:p>
            <w:pPr>
              <w:spacing w:after="0" w:line="240" w:lineRule="auto"/>
            </w:pPr>
            <w:r/>
            <w:r>
              <w:rPr>
                <w:b w:val="0"/>
                <w:i w:val="0"/>
                <w:color w:val="1A1A1A"/>
                <w:sz w:val="17"/>
              </w:rPr>
              <w:t>Event calendar</w:t>
            </w:r>
          </w:p>
        </w:tc>
        <w:tc>
          <w:tcPr>
            <w:tcW w:type="dxa" w:w="1950"/>
          </w:tcPr>
          <w:p>
            <w:pPr>
              <w:spacing w:after="0" w:line="240" w:lineRule="auto"/>
            </w:pPr>
            <w:r/>
            <w:r>
              <w:rPr>
                <w:b w:val="0"/>
                <w:i w:val="0"/>
                <w:color w:val="1A1A1A"/>
                <w:sz w:val="17"/>
              </w:rPr>
              <w:t>Typed from government lockdown orders and the festival calendar</w:t>
            </w:r>
          </w:p>
        </w:tc>
        <w:tc>
          <w:tcPr>
            <w:tcW w:type="dxa" w:w="1950"/>
          </w:tcPr>
          <w:p>
            <w:pPr>
              <w:spacing w:after="0" w:line="240" w:lineRule="auto"/>
            </w:pPr>
            <w:r/>
            <w:r>
              <w:rPr>
                <w:b w:val="0"/>
                <w:i w:val="0"/>
                <w:color w:val="1A1A1A"/>
                <w:sz w:val="17"/>
              </w:rPr>
              <w:t>6 phases, 5 Diwali dates</w:t>
            </w:r>
          </w:p>
        </w:tc>
        <w:tc>
          <w:tcPr>
            <w:tcW w:type="dxa" w:w="1950"/>
          </w:tcPr>
          <w:p>
            <w:pPr>
              <w:spacing w:after="0" w:line="240" w:lineRule="auto"/>
            </w:pPr>
            <w:r/>
            <w:r>
              <w:rPr>
                <w:b w:val="0"/>
                <w:i w:val="0"/>
                <w:color w:val="1A1A1A"/>
                <w:sz w:val="17"/>
              </w:rPr>
              <w:t>date</w:t>
            </w:r>
          </w:p>
        </w:tc>
        <w:tc>
          <w:tcPr>
            <w:tcW w:type="dxa" w:w="1950"/>
          </w:tcPr>
          <w:p>
            <w:pPr>
              <w:spacing w:after="0" w:line="240" w:lineRule="auto"/>
            </w:pPr>
            <w:r/>
            <w:r>
              <w:rPr>
                <w:b w:val="0"/>
                <w:i w:val="0"/>
                <w:color w:val="1A1A1A"/>
                <w:sz w:val="17"/>
              </w:rPr>
              <w:t>Public record</w:t>
            </w:r>
          </w:p>
        </w:tc>
      </w:tr>
    </w:tbl>
    <w:p>
      <w:pPr>
        <w:spacing w:after="40"/>
      </w:pPr>
    </w:p>
    <w:p>
      <w:pPr>
        <w:spacing w:after="80" w:before="0" w:line="259" w:lineRule="auto"/>
      </w:pPr>
      <w:r>
        <w:rPr>
          <w:b w:val="0"/>
          <w:i w:val="0"/>
          <w:color w:val="1A1A1A"/>
          <w:sz w:val="20"/>
        </w:rPr>
        <w:t>The raw data needed real wrangling, not a tidy-up:</w:t>
      </w:r>
    </w:p>
    <w:p>
      <w:pPr>
        <w:pStyle w:val="ListBullet"/>
        <w:spacing w:after="40" w:line="252" w:lineRule="auto"/>
      </w:pPr>
      <w:r>
        <w:rPr>
          <w:b/>
          <w:i w:val="0"/>
          <w:color w:val="1A1A1A"/>
          <w:sz w:val="20"/>
        </w:rPr>
        <w:t>Heavy, uneven gaps.</w:t>
      </w:r>
      <w:r>
        <w:rPr>
          <w:b w:val="0"/>
          <w:i w:val="0"/>
          <w:color w:val="1A1A1A"/>
          <w:sz w:val="20"/>
        </w:rPr>
        <w:t xml:space="preserve"> Xylene is 61% empty, PM10 38%, AQI 16%. Mumbai has no PM or AQI data before 2018.</w:t>
      </w:r>
    </w:p>
    <w:p>
      <w:pPr>
        <w:pStyle w:val="ListBullet"/>
        <w:spacing w:after="40" w:line="252" w:lineRule="auto"/>
      </w:pPr>
      <w:r>
        <w:rPr>
          <w:b/>
          <w:i w:val="0"/>
          <w:color w:val="1A1A1A"/>
          <w:sz w:val="20"/>
        </w:rPr>
        <w:t>An unbalanced panel.</w:t>
      </w:r>
      <w:r>
        <w:rPr>
          <w:b w:val="0"/>
          <w:i w:val="0"/>
          <w:color w:val="1A1A1A"/>
          <w:sz w:val="20"/>
        </w:rPr>
        <w:t xml:space="preserve"> Only 7 cities report AQI from 2015; others start as late as 2020.</w:t>
      </w:r>
    </w:p>
    <w:p>
      <w:pPr>
        <w:pStyle w:val="ListBullet"/>
        <w:spacing w:after="40" w:line="252" w:lineRule="auto"/>
      </w:pPr>
      <w:r>
        <w:rPr>
          <w:b/>
          <w:i w:val="0"/>
          <w:color w:val="1A1A1A"/>
          <w:sz w:val="20"/>
        </w:rPr>
        <w:t>Impossible values.</w:t>
      </w:r>
      <w:r>
        <w:rPr>
          <w:b w:val="0"/>
          <w:i w:val="0"/>
          <w:color w:val="1A1A1A"/>
          <w:sz w:val="20"/>
        </w:rPr>
        <w:t xml:space="preserve"> AQI reaches 2,049 on a scale that ends at 500, CO and NOx have exact zeros, and PM2.5 exceeds PM10 on 256 days.</w:t>
      </w:r>
    </w:p>
    <w:p>
      <w:pPr>
        <w:pStyle w:val="ListBullet"/>
        <w:spacing w:after="40" w:line="252" w:lineRule="auto"/>
      </w:pPr>
      <w:r>
        <w:rPr>
          <w:b/>
          <w:i w:val="0"/>
          <w:color w:val="1A1A1A"/>
          <w:sz w:val="20"/>
        </w:rPr>
        <w:t>A corrupted column.</w:t>
      </w:r>
      <w:r>
        <w:rPr>
          <w:b w:val="0"/>
          <w:i w:val="0"/>
          <w:color w:val="1A1A1A"/>
          <w:sz w:val="20"/>
        </w:rPr>
        <w:t xml:space="preserve"> Ahmedabad's carbon monoxide equals its nitric oxide on 94% of days, although the units differ a thousandfold.</w:t>
      </w:r>
    </w:p>
    <w:p>
      <w:pPr>
        <w:pStyle w:val="ListBullet"/>
        <w:spacing w:after="40" w:line="252" w:lineRule="auto"/>
      </w:pPr>
      <w:r>
        <w:rPr>
          <w:b/>
          <w:i w:val="0"/>
          <w:color w:val="1A1A1A"/>
          <w:sz w:val="20"/>
        </w:rPr>
        <w:t>Names that disagree.</w:t>
      </w:r>
      <w:r>
        <w:rPr>
          <w:b w:val="0"/>
          <w:i w:val="0"/>
          <w:color w:val="1A1A1A"/>
          <w:sz w:val="20"/>
        </w:rPr>
        <w:t xml:space="preserve"> "Amaravati" matches three places in India and "Brajrajnagar" is spelled differently across sources.</w:t>
      </w:r>
    </w:p>
    <w:p>
      <w:pPr>
        <w:pStyle w:val="Heading2"/>
        <w:keepNext/>
        <w:spacing w:before="200" w:after="60"/>
      </w:pPr>
      <w:r>
        <w:rPr>
          <w:rFonts w:ascii="Calibri" w:hAnsi="Calibri"/>
          <w:b/>
          <w:color w:val="0D366B"/>
          <w:sz w:val="26"/>
        </w:rPr>
        <w:t>3. Methodology</w:t>
      </w:r>
    </w:p>
    <w:p>
      <w:pPr>
        <w:spacing w:after="80" w:before="0" w:line="259" w:lineRule="auto"/>
      </w:pPr>
      <w:r>
        <w:rPr>
          <w:b w:val="0"/>
          <w:i w:val="0"/>
          <w:color w:val="1A1A1A"/>
          <w:sz w:val="20"/>
        </w:rPr>
        <w:t xml:space="preserve">The whole pipeline runs end to end in one notebook in about 8 minutes, and every cleaning decision is logged with its reason: 23 entries, stored in the notebook, in </w:t>
      </w:r>
      <w:r>
        <w:rPr>
          <w:rFonts w:ascii="Consolas" w:hAnsi="Consolas"/>
          <w:color w:val="52514E"/>
          <w:sz w:val="18"/>
        </w:rPr>
        <w:t>docs/cleaning_log.md</w:t>
      </w:r>
      <w:r>
        <w:rPr>
          <w:b w:val="0"/>
          <w:i w:val="0"/>
          <w:color w:val="1A1A1A"/>
          <w:sz w:val="20"/>
        </w:rPr>
        <w:t xml:space="preserve"> and in the database.</w:t>
      </w:r>
    </w:p>
    <w:p>
      <w:pPr>
        <w:pStyle w:val="Heading3"/>
        <w:keepNext/>
        <w:spacing w:before="120" w:after="60"/>
      </w:pPr>
      <w:r>
        <w:rPr>
          <w:rFonts w:ascii="Calibri" w:hAnsi="Calibri"/>
          <w:b/>
          <w:color w:val="0D366B"/>
          <w:sz w:val="22"/>
        </w:rPr>
        <w:t>3.1 Extraction</w:t>
      </w:r>
    </w:p>
    <w:p>
      <w:pPr>
        <w:pStyle w:val="ListBullet"/>
        <w:spacing w:after="40" w:line="252" w:lineRule="auto"/>
      </w:pPr>
      <w:r>
        <w:rPr>
          <w:b/>
          <w:i w:val="0"/>
          <w:color w:val="1A1A1A"/>
          <w:sz w:val="20"/>
        </w:rPr>
        <w:t>CPCB data:</w:t>
      </w:r>
      <w:r>
        <w:rPr>
          <w:b w:val="0"/>
          <w:i w:val="0"/>
          <w:color w:val="1A1A1A"/>
          <w:sz w:val="20"/>
        </w:rPr>
        <w:t xml:space="preserve"> Kaggle's public dataset endpoint, which needs no login (the browser button does). Only the three daily files are kept; the 285 MB of hourly files are not needed.</w:t>
      </w:r>
    </w:p>
    <w:p>
      <w:pPr>
        <w:pStyle w:val="ListBullet"/>
        <w:spacing w:after="40" w:line="252" w:lineRule="auto"/>
      </w:pPr>
      <w:r>
        <w:rPr>
          <w:b/>
          <w:i w:val="0"/>
          <w:color w:val="1A1A1A"/>
          <w:sz w:val="20"/>
        </w:rPr>
        <w:t>Weather:</w:t>
      </w:r>
      <w:r>
        <w:rPr>
          <w:b w:val="0"/>
          <w:i w:val="0"/>
          <w:color w:val="1A1A1A"/>
          <w:sz w:val="20"/>
        </w:rPr>
        <w:t xml:space="preserve"> a 5-year, 8-variable request counts as many API calls, so we hit HTTP 429 (rate limited) after 7 cities. The extractor now pauses 15 s between cities, waits 65 s after a 429 and caches each city's raw JSON, so a rerun fetches only what is missing.</w:t>
      </w:r>
    </w:p>
    <w:p>
      <w:pPr>
        <w:pStyle w:val="ListBullet"/>
        <w:spacing w:after="40" w:line="252" w:lineRule="auto"/>
      </w:pPr>
      <w:r>
        <w:rPr>
          <w:b/>
          <w:i w:val="0"/>
          <w:color w:val="1A1A1A"/>
          <w:sz w:val="20"/>
        </w:rPr>
        <w:t>Locations:</w:t>
      </w:r>
      <w:r>
        <w:rPr>
          <w:b w:val="0"/>
          <w:i w:val="0"/>
          <w:color w:val="1A1A1A"/>
          <w:sz w:val="20"/>
        </w:rPr>
        <w:t xml:space="preserve"> every geocoder match is checked against the city's state. The geocoder's "Jorapokhar" was a village about 160 km from the monitoring station, so Jharia (Dhanbad), where the station stands, is used instead.</w:t>
      </w:r>
    </w:p>
    <w:p>
      <w:pPr>
        <w:pStyle w:val="Heading3"/>
        <w:keepNext/>
        <w:spacing w:before="120" w:after="60"/>
      </w:pPr>
      <w:r>
        <w:rPr>
          <w:rFonts w:ascii="Calibri" w:hAnsi="Calibri"/>
          <w:b/>
          <w:color w:val="0D366B"/>
          <w:sz w:val="22"/>
        </w:rPr>
        <w:t>3.2 Cleaning: the decisions that mattered</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2438"/>
        <w:gridCol w:w="2438"/>
        <w:gridCol w:w="2438"/>
        <w:gridCol w:w="2438"/>
      </w:tblGrid>
      <w:tr>
        <w:tc>
          <w:tcPr>
            <w:tcW w:type="dxa" w:w="2438"/>
            <w:shd w:val="clear" w:color="auto" w:fill="E8EEF7"/>
          </w:tcPr>
          <w:p>
            <w:pPr>
              <w:spacing w:after="0" w:line="240" w:lineRule="auto"/>
            </w:pPr>
            <w:r/>
            <w:r>
              <w:rPr>
                <w:b/>
                <w:i w:val="0"/>
                <w:color w:val="1A1A1A"/>
                <w:sz w:val="17"/>
              </w:rPr>
              <w:t>Issue found</w:t>
            </w:r>
          </w:p>
        </w:tc>
        <w:tc>
          <w:tcPr>
            <w:tcW w:type="dxa" w:w="2438"/>
            <w:shd w:val="clear" w:color="auto" w:fill="E8EEF7"/>
          </w:tcPr>
          <w:p>
            <w:pPr>
              <w:spacing w:after="0" w:line="240" w:lineRule="auto"/>
            </w:pPr>
            <w:r/>
            <w:r>
              <w:rPr>
                <w:b/>
                <w:i w:val="0"/>
                <w:color w:val="1A1A1A"/>
                <w:sz w:val="17"/>
              </w:rPr>
              <w:t>Action</w:t>
            </w:r>
          </w:p>
        </w:tc>
        <w:tc>
          <w:tcPr>
            <w:tcW w:type="dxa" w:w="2438"/>
            <w:shd w:val="clear" w:color="auto" w:fill="E8EEF7"/>
          </w:tcPr>
          <w:p>
            <w:pPr>
              <w:spacing w:after="0" w:line="240" w:lineRule="auto"/>
            </w:pPr>
            <w:r/>
            <w:r>
              <w:rPr>
                <w:b/>
                <w:i w:val="0"/>
                <w:color w:val="1A1A1A"/>
                <w:sz w:val="17"/>
              </w:rPr>
              <w:t>Why</w:t>
            </w:r>
          </w:p>
        </w:tc>
        <w:tc>
          <w:tcPr>
            <w:tcW w:type="dxa" w:w="2438"/>
            <w:shd w:val="clear" w:color="auto" w:fill="E8EEF7"/>
          </w:tcPr>
          <w:p>
            <w:pPr>
              <w:spacing w:after="0" w:line="240" w:lineRule="auto"/>
            </w:pPr>
            <w:r/>
            <w:r>
              <w:rPr>
                <w:b/>
                <w:i w:val="0"/>
                <w:color w:val="1A1A1A"/>
                <w:sz w:val="17"/>
              </w:rPr>
              <w:t>Values</w:t>
            </w:r>
          </w:p>
        </w:tc>
      </w:tr>
      <w:tr>
        <w:tc>
          <w:tcPr>
            <w:tcW w:type="dxa" w:w="2438"/>
          </w:tcPr>
          <w:p>
            <w:pPr>
              <w:spacing w:after="0" w:line="240" w:lineRule="auto"/>
            </w:pPr>
            <w:r/>
            <w:r>
              <w:rPr>
                <w:b w:val="0"/>
                <w:i w:val="0"/>
                <w:color w:val="1A1A1A"/>
                <w:sz w:val="17"/>
              </w:rPr>
              <w:t>Ahmedabad CO equals NO (r = 0.999)</w:t>
            </w:r>
          </w:p>
        </w:tc>
        <w:tc>
          <w:tcPr>
            <w:tcW w:type="dxa" w:w="2438"/>
          </w:tcPr>
          <w:p>
            <w:pPr>
              <w:spacing w:after="0" w:line="240" w:lineRule="auto"/>
            </w:pPr>
            <w:r/>
            <w:r>
              <w:rPr>
                <w:b w:val="0"/>
                <w:i w:val="0"/>
                <w:color w:val="1A1A1A"/>
                <w:sz w:val="17"/>
              </w:rPr>
              <w:t>CO set to missing; AQI recalculated without it</w:t>
            </w:r>
          </w:p>
        </w:tc>
        <w:tc>
          <w:tcPr>
            <w:tcW w:type="dxa" w:w="2438"/>
          </w:tcPr>
          <w:p>
            <w:pPr>
              <w:spacing w:after="0" w:line="240" w:lineRule="auto"/>
            </w:pPr>
            <w:r/>
            <w:r>
              <w:rPr>
                <w:b w:val="0"/>
                <w:i w:val="0"/>
                <w:color w:val="1A1A1A"/>
                <w:sz w:val="17"/>
              </w:rPr>
              <w:t>CO drove 95% of its official "Severe" days</w:t>
            </w:r>
          </w:p>
        </w:tc>
        <w:tc>
          <w:tcPr>
            <w:tcW w:type="dxa" w:w="2438"/>
          </w:tcPr>
          <w:p>
            <w:pPr>
              <w:spacing w:after="0" w:line="240" w:lineRule="auto"/>
            </w:pPr>
            <w:r/>
            <w:r>
              <w:rPr>
                <w:b w:val="0"/>
                <w:i w:val="0"/>
                <w:color w:val="1A1A1A"/>
                <w:sz w:val="17"/>
              </w:rPr>
              <w:t>1,400 CO; 1,576 AQI</w:t>
            </w:r>
          </w:p>
        </w:tc>
      </w:tr>
      <w:tr>
        <w:tc>
          <w:tcPr>
            <w:tcW w:type="dxa" w:w="2438"/>
          </w:tcPr>
          <w:p>
            <w:pPr>
              <w:spacing w:after="0" w:line="240" w:lineRule="auto"/>
            </w:pPr>
            <w:r/>
            <w:r>
              <w:rPr>
                <w:b w:val="0"/>
                <w:i w:val="0"/>
                <w:color w:val="1A1A1A"/>
                <w:sz w:val="17"/>
              </w:rPr>
              <w:t>PM2.5 above PM10, which is physically impossible</w:t>
            </w:r>
          </w:p>
        </w:tc>
        <w:tc>
          <w:tcPr>
            <w:tcW w:type="dxa" w:w="2438"/>
          </w:tcPr>
          <w:p>
            <w:pPr>
              <w:spacing w:after="0" w:line="240" w:lineRule="auto"/>
            </w:pPr>
            <w:r/>
            <w:r>
              <w:rPr>
                <w:b w:val="0"/>
                <w:i w:val="0"/>
                <w:color w:val="1A1A1A"/>
                <w:sz w:val="17"/>
              </w:rPr>
              <w:t>Removed whichever reading was further from the city-month norm</w:t>
            </w:r>
          </w:p>
        </w:tc>
        <w:tc>
          <w:tcPr>
            <w:tcW w:type="dxa" w:w="2438"/>
          </w:tcPr>
          <w:p>
            <w:pPr>
              <w:spacing w:after="0" w:line="240" w:lineRule="auto"/>
            </w:pPr>
            <w:r/>
            <w:r>
              <w:rPr>
                <w:b w:val="0"/>
                <w:i w:val="0"/>
                <w:color w:val="1A1A1A"/>
                <w:sz w:val="17"/>
              </w:rPr>
              <w:t>Data showed PM2.5 was the faulty one in 94% of cases, overturning our first assumption</w:t>
            </w:r>
          </w:p>
        </w:tc>
        <w:tc>
          <w:tcPr>
            <w:tcW w:type="dxa" w:w="2438"/>
          </w:tcPr>
          <w:p>
            <w:pPr>
              <w:spacing w:after="0" w:line="240" w:lineRule="auto"/>
            </w:pPr>
            <w:r/>
            <w:r>
              <w:rPr>
                <w:b w:val="0"/>
                <w:i w:val="0"/>
                <w:color w:val="1A1A1A"/>
                <w:sz w:val="17"/>
              </w:rPr>
              <w:t>256</w:t>
            </w:r>
          </w:p>
        </w:tc>
      </w:tr>
      <w:tr>
        <w:tc>
          <w:tcPr>
            <w:tcW w:type="dxa" w:w="2438"/>
          </w:tcPr>
          <w:p>
            <w:pPr>
              <w:spacing w:after="0" w:line="240" w:lineRule="auto"/>
            </w:pPr>
            <w:r/>
            <w:r>
              <w:rPr>
                <w:b w:val="0"/>
                <w:i w:val="0"/>
                <w:color w:val="1A1A1A"/>
                <w:sz w:val="17"/>
              </w:rPr>
              <w:t>Sensor stuck on one value 4+ days</w:t>
            </w:r>
          </w:p>
        </w:tc>
        <w:tc>
          <w:tcPr>
            <w:tcW w:type="dxa" w:w="2438"/>
          </w:tcPr>
          <w:p>
            <w:pPr>
              <w:spacing w:after="0" w:line="240" w:lineRule="auto"/>
            </w:pPr>
            <w:r/>
            <w:r>
              <w:rPr>
                <w:b w:val="0"/>
                <w:i w:val="0"/>
                <w:color w:val="1A1A1A"/>
                <w:sz w:val="17"/>
              </w:rPr>
              <w:t>Set to missing</w:t>
            </w:r>
          </w:p>
        </w:tc>
        <w:tc>
          <w:tcPr>
            <w:tcW w:type="dxa" w:w="2438"/>
          </w:tcPr>
          <w:p>
            <w:pPr>
              <w:spacing w:after="0" w:line="240" w:lineRule="auto"/>
            </w:pPr>
            <w:r/>
            <w:r>
              <w:rPr>
                <w:b w:val="0"/>
                <w:i w:val="0"/>
                <w:color w:val="1A1A1A"/>
                <w:sz w:val="17"/>
              </w:rPr>
              <w:t>Daily averages never repeat to two decimals for days</w:t>
            </w:r>
          </w:p>
        </w:tc>
        <w:tc>
          <w:tcPr>
            <w:tcW w:type="dxa" w:w="2438"/>
          </w:tcPr>
          <w:p>
            <w:pPr>
              <w:spacing w:after="0" w:line="240" w:lineRule="auto"/>
            </w:pPr>
            <w:r/>
            <w:r>
              <w:rPr>
                <w:b w:val="0"/>
                <w:i w:val="0"/>
                <w:color w:val="1A1A1A"/>
                <w:sz w:val="17"/>
              </w:rPr>
              <w:t>30</w:t>
            </w:r>
          </w:p>
        </w:tc>
      </w:tr>
      <w:tr>
        <w:tc>
          <w:tcPr>
            <w:tcW w:type="dxa" w:w="2438"/>
          </w:tcPr>
          <w:p>
            <w:pPr>
              <w:spacing w:after="0" w:line="240" w:lineRule="auto"/>
            </w:pPr>
            <w:r/>
            <w:r>
              <w:rPr>
                <w:b w:val="0"/>
                <w:i w:val="0"/>
                <w:color w:val="1A1A1A"/>
                <w:sz w:val="17"/>
              </w:rPr>
              <w:t>Spikes &gt; 3.5 robust SD above the city-month norm</w:t>
            </w:r>
          </w:p>
        </w:tc>
        <w:tc>
          <w:tcPr>
            <w:tcW w:type="dxa" w:w="2438"/>
          </w:tcPr>
          <w:p>
            <w:pPr>
              <w:spacing w:after="0" w:line="240" w:lineRule="auto"/>
            </w:pPr>
            <w:r/>
            <w:r>
              <w:rPr>
                <w:b w:val="0"/>
                <w:i w:val="0"/>
                <w:color w:val="1A1A1A"/>
                <w:sz w:val="17"/>
              </w:rPr>
              <w:t>Set to missing, except during Diwali and the crop-burning season</w:t>
            </w:r>
          </w:p>
        </w:tc>
        <w:tc>
          <w:tcPr>
            <w:tcW w:type="dxa" w:w="2438"/>
          </w:tcPr>
          <w:p>
            <w:pPr>
              <w:spacing w:after="0" w:line="240" w:lineRule="auto"/>
            </w:pPr>
            <w:r/>
            <w:r>
              <w:rPr>
                <w:b w:val="0"/>
                <w:i w:val="0"/>
                <w:color w:val="1A1A1A"/>
                <w:sz w:val="17"/>
              </w:rPr>
              <w:t>55% fell in the monsoon, including 918 µg/m³ in Shillong, the cleanest city</w:t>
            </w:r>
          </w:p>
        </w:tc>
        <w:tc>
          <w:tcPr>
            <w:tcW w:type="dxa" w:w="2438"/>
          </w:tcPr>
          <w:p>
            <w:pPr>
              <w:spacing w:after="0" w:line="240" w:lineRule="auto"/>
            </w:pPr>
            <w:r/>
            <w:r>
              <w:rPr>
                <w:b w:val="0"/>
                <w:i w:val="0"/>
                <w:color w:val="1A1A1A"/>
                <w:sz w:val="17"/>
              </w:rPr>
              <w:t>167 removed, 5 kept</w:t>
            </w:r>
          </w:p>
        </w:tc>
      </w:tr>
      <w:tr>
        <w:tc>
          <w:tcPr>
            <w:tcW w:type="dxa" w:w="2438"/>
          </w:tcPr>
          <w:p>
            <w:pPr>
              <w:spacing w:after="0" w:line="240" w:lineRule="auto"/>
            </w:pPr>
            <w:r/>
            <w:r>
              <w:rPr>
                <w:b w:val="0"/>
                <w:i w:val="0"/>
                <w:color w:val="1A1A1A"/>
                <w:sz w:val="17"/>
              </w:rPr>
              <w:t>Exact 0.00 for CO and NOx</w:t>
            </w:r>
          </w:p>
        </w:tc>
        <w:tc>
          <w:tcPr>
            <w:tcW w:type="dxa" w:w="2438"/>
          </w:tcPr>
          <w:p>
            <w:pPr>
              <w:spacing w:after="0" w:line="240" w:lineRule="auto"/>
            </w:pPr>
            <w:r/>
            <w:r>
              <w:rPr>
                <w:b w:val="0"/>
                <w:i w:val="0"/>
                <w:color w:val="1A1A1A"/>
                <w:sz w:val="17"/>
              </w:rPr>
              <w:t>Set to missing</w:t>
            </w:r>
          </w:p>
        </w:tc>
        <w:tc>
          <w:tcPr>
            <w:tcW w:type="dxa" w:w="2438"/>
          </w:tcPr>
          <w:p>
            <w:pPr>
              <w:spacing w:after="0" w:line="240" w:lineRule="auto"/>
            </w:pPr>
            <w:r/>
            <w:r>
              <w:rPr>
                <w:b w:val="0"/>
                <w:i w:val="0"/>
                <w:color w:val="1A1A1A"/>
                <w:sz w:val="17"/>
              </w:rPr>
              <w:t>A city-wide daily mean of zero is impossible</w:t>
            </w:r>
          </w:p>
        </w:tc>
        <w:tc>
          <w:tcPr>
            <w:tcW w:type="dxa" w:w="2438"/>
          </w:tcPr>
          <w:p>
            <w:pPr>
              <w:spacing w:after="0" w:line="240" w:lineRule="auto"/>
            </w:pPr>
            <w:r/>
            <w:r>
              <w:rPr>
                <w:b w:val="0"/>
                <w:i w:val="0"/>
                <w:color w:val="1A1A1A"/>
                <w:sz w:val="17"/>
              </w:rPr>
              <w:t>3,068</w:t>
            </w:r>
          </w:p>
        </w:tc>
      </w:tr>
      <w:tr>
        <w:tc>
          <w:tcPr>
            <w:tcW w:type="dxa" w:w="2438"/>
          </w:tcPr>
          <w:p>
            <w:pPr>
              <w:spacing w:after="0" w:line="240" w:lineRule="auto"/>
            </w:pPr>
            <w:r/>
            <w:r>
              <w:rPr>
                <w:b w:val="0"/>
                <w:i w:val="0"/>
                <w:color w:val="1A1A1A"/>
                <w:sz w:val="17"/>
              </w:rPr>
              <w:t>Gaps of 1–3 days</w:t>
            </w:r>
          </w:p>
        </w:tc>
        <w:tc>
          <w:tcPr>
            <w:tcW w:type="dxa" w:w="2438"/>
          </w:tcPr>
          <w:p>
            <w:pPr>
              <w:spacing w:after="0" w:line="240" w:lineRule="auto"/>
            </w:pPr>
            <w:r/>
            <w:r>
              <w:rPr>
                <w:b w:val="0"/>
                <w:i w:val="0"/>
                <w:color w:val="1A1A1A"/>
                <w:sz w:val="17"/>
              </w:rPr>
              <w:t>Linear interpolation within the city</w:t>
            </w:r>
          </w:p>
        </w:tc>
        <w:tc>
          <w:tcPr>
            <w:tcW w:type="dxa" w:w="2438"/>
          </w:tcPr>
          <w:p>
            <w:pPr>
              <w:spacing w:after="0" w:line="240" w:lineRule="auto"/>
            </w:pPr>
            <w:r/>
            <w:r>
              <w:rPr>
                <w:b w:val="0"/>
                <w:i w:val="0"/>
                <w:color w:val="1A1A1A"/>
                <w:sz w:val="17"/>
              </w:rPr>
              <w:t>Pollution changes smoothly over a few days; longer gaps stay missing</w:t>
            </w:r>
          </w:p>
        </w:tc>
        <w:tc>
          <w:tcPr>
            <w:tcW w:type="dxa" w:w="2438"/>
          </w:tcPr>
          <w:p>
            <w:pPr>
              <w:spacing w:after="0" w:line="240" w:lineRule="auto"/>
            </w:pPr>
            <w:r/>
            <w:r>
              <w:rPr>
                <w:b w:val="0"/>
                <w:i w:val="0"/>
                <w:color w:val="1A1A1A"/>
                <w:sz w:val="17"/>
              </w:rPr>
              <w:t>3,700</w:t>
            </w:r>
          </w:p>
        </w:tc>
      </w:tr>
      <w:tr>
        <w:tc>
          <w:tcPr>
            <w:tcW w:type="dxa" w:w="2438"/>
          </w:tcPr>
          <w:p>
            <w:pPr>
              <w:spacing w:after="0" w:line="240" w:lineRule="auto"/>
            </w:pPr>
            <w:r/>
            <w:r>
              <w:rPr>
                <w:b w:val="0"/>
                <w:i w:val="0"/>
                <w:color w:val="1A1A1A"/>
                <w:sz w:val="17"/>
              </w:rPr>
              <w:t>Official AQI above 500</w:t>
            </w:r>
          </w:p>
        </w:tc>
        <w:tc>
          <w:tcPr>
            <w:tcW w:type="dxa" w:w="2438"/>
          </w:tcPr>
          <w:p>
            <w:pPr>
              <w:spacing w:after="0" w:line="240" w:lineRule="auto"/>
            </w:pPr>
            <w:r/>
            <w:r>
              <w:rPr>
                <w:b w:val="0"/>
                <w:i w:val="0"/>
                <w:color w:val="1A1A1A"/>
                <w:sz w:val="17"/>
              </w:rPr>
              <w:t>Capped at 500</w:t>
            </w:r>
          </w:p>
        </w:tc>
        <w:tc>
          <w:tcPr>
            <w:tcW w:type="dxa" w:w="2438"/>
          </w:tcPr>
          <w:p>
            <w:pPr>
              <w:spacing w:after="0" w:line="240" w:lineRule="auto"/>
            </w:pPr>
            <w:r/>
            <w:r>
              <w:rPr>
                <w:b w:val="0"/>
                <w:i w:val="0"/>
                <w:color w:val="1A1A1A"/>
                <w:sz w:val="17"/>
              </w:rPr>
              <w:t>500 is the top of the CPCB scale</w:t>
            </w:r>
          </w:p>
        </w:tc>
        <w:tc>
          <w:tcPr>
            <w:tcW w:type="dxa" w:w="2438"/>
          </w:tcPr>
          <w:p>
            <w:pPr>
              <w:spacing w:after="0" w:line="240" w:lineRule="auto"/>
            </w:pPr>
            <w:r/>
            <w:r>
              <w:rPr>
                <w:b w:val="0"/>
                <w:i w:val="0"/>
                <w:color w:val="1A1A1A"/>
                <w:sz w:val="17"/>
              </w:rPr>
              <w:t>543</w:t>
            </w:r>
          </w:p>
        </w:tc>
      </w:tr>
      <w:tr>
        <w:tc>
          <w:tcPr>
            <w:tcW w:type="dxa" w:w="2438"/>
          </w:tcPr>
          <w:p>
            <w:pPr>
              <w:spacing w:after="0" w:line="240" w:lineRule="auto"/>
            </w:pPr>
            <w:r/>
            <w:r>
              <w:rPr>
                <w:b w:val="0"/>
                <w:i w:val="0"/>
                <w:color w:val="1A1A1A"/>
                <w:sz w:val="17"/>
              </w:rPr>
              <w:t>AQI missing although pollutants were measured</w:t>
            </w:r>
          </w:p>
        </w:tc>
        <w:tc>
          <w:tcPr>
            <w:tcW w:type="dxa" w:w="2438"/>
          </w:tcPr>
          <w:p>
            <w:pPr>
              <w:spacing w:after="0" w:line="240" w:lineRule="auto"/>
            </w:pPr>
            <w:r/>
            <w:r>
              <w:rPr>
                <w:b w:val="0"/>
                <w:i w:val="0"/>
                <w:color w:val="1A1A1A"/>
                <w:sz w:val="17"/>
              </w:rPr>
              <w:t>Filled with our CPCB-breakpoint recalculation, flagged by source</w:t>
            </w:r>
          </w:p>
        </w:tc>
        <w:tc>
          <w:tcPr>
            <w:tcW w:type="dxa" w:w="2438"/>
          </w:tcPr>
          <w:p>
            <w:pPr>
              <w:spacing w:after="0" w:line="240" w:lineRule="auto"/>
            </w:pPr>
            <w:r/>
            <w:r>
              <w:rPr>
                <w:b w:val="0"/>
                <w:i w:val="0"/>
                <w:color w:val="1A1A1A"/>
                <w:sz w:val="17"/>
              </w:rPr>
              <w:t>Recalculation matches the official AQI with r = 0.94, within one category 99% of the time</w:t>
            </w:r>
          </w:p>
        </w:tc>
        <w:tc>
          <w:tcPr>
            <w:tcW w:type="dxa" w:w="2438"/>
          </w:tcPr>
          <w:p>
            <w:pPr>
              <w:spacing w:after="0" w:line="240" w:lineRule="auto"/>
            </w:pPr>
            <w:r/>
            <w:r>
              <w:rPr>
                <w:b w:val="0"/>
                <w:i w:val="0"/>
                <w:color w:val="1A1A1A"/>
                <w:sz w:val="17"/>
              </w:rPr>
              <w:t>1,044</w:t>
            </w:r>
          </w:p>
        </w:tc>
      </w:tr>
    </w:tbl>
    <w:p>
      <w:pPr>
        <w:spacing w:after="40"/>
      </w:pPr>
    </w:p>
    <w:p>
      <w:pPr>
        <w:pStyle w:val="Heading3"/>
        <w:keepNext/>
        <w:spacing w:before="120" w:after="60"/>
      </w:pPr>
      <w:r>
        <w:rPr>
          <w:rFonts w:ascii="Calibri" w:hAnsi="Calibri"/>
          <w:b/>
          <w:color w:val="0D366B"/>
          <w:sz w:val="22"/>
        </w:rPr>
        <w:t>3.3 Transformation</w:t>
      </w:r>
    </w:p>
    <w:p>
      <w:pPr>
        <w:pStyle w:val="ListBullet"/>
        <w:spacing w:after="40" w:line="252" w:lineRule="auto"/>
      </w:pPr>
      <w:r>
        <w:rPr>
          <w:b/>
          <w:i w:val="0"/>
          <w:color w:val="1A1A1A"/>
          <w:sz w:val="20"/>
        </w:rPr>
        <w:t>Star schema:</w:t>
      </w:r>
      <w:r>
        <w:rPr>
          <w:b w:val="0"/>
          <w:i w:val="0"/>
          <w:color w:val="1A1A1A"/>
          <w:sz w:val="20"/>
        </w:rPr>
        <w:t xml:space="preserve"> a city-day fact table (28,260 rows × 61 columns) with city, date and station dimensions. Every join declares its cardinality, so a duplicated key stops the notebook instead of silently multiplying rows.</w:t>
      </w:r>
    </w:p>
    <w:p>
      <w:pPr>
        <w:pStyle w:val="ListBullet"/>
        <w:spacing w:after="40" w:line="252" w:lineRule="auto"/>
      </w:pPr>
      <w:r>
        <w:rPr>
          <w:b/>
          <w:i w:val="0"/>
          <w:color w:val="1A1A1A"/>
          <w:sz w:val="20"/>
        </w:rPr>
        <w:t>Engineered features:</w:t>
      </w:r>
      <w:r>
        <w:rPr>
          <w:b w:val="0"/>
          <w:i w:val="0"/>
          <w:color w:val="1A1A1A"/>
          <w:sz w:val="20"/>
        </w:rPr>
        <w:t xml:space="preserve"> day-night temperature range, wind as a vector (so 359° sits next to 1°), seasonal sine and cosine, Diwali and crop-burning flags, lockdown phase, and PM2.5 relative to the same city's median for that month.</w:t>
      </w:r>
    </w:p>
    <w:p>
      <w:pPr>
        <w:pStyle w:val="ListBullet"/>
        <w:spacing w:after="40" w:line="252" w:lineRule="auto"/>
      </w:pPr>
      <w:r>
        <w:rPr>
          <w:b/>
          <w:i w:val="0"/>
          <w:color w:val="1A1A1A"/>
          <w:sz w:val="20"/>
        </w:rPr>
        <w:t>Time features:</w:t>
      </w:r>
      <w:r>
        <w:rPr>
          <w:b w:val="0"/>
          <w:i w:val="0"/>
          <w:color w:val="1A1A1A"/>
          <w:sz w:val="20"/>
        </w:rPr>
        <w:t xml:space="preserve"> yesterday's and the day before's values joined by calendar date (safe across gaps, unlike a row shift), plus a 7-day rolling mean.</w:t>
      </w:r>
    </w:p>
    <w:p>
      <w:pPr>
        <w:pStyle w:val="ListBullet"/>
        <w:spacing w:after="40" w:line="252" w:lineRule="auto"/>
      </w:pPr>
      <w:r>
        <w:rPr>
          <w:b/>
          <w:i w:val="0"/>
          <w:color w:val="1A1A1A"/>
          <w:sz w:val="20"/>
        </w:rPr>
        <w:t>Reshapes:</w:t>
      </w:r>
      <w:r>
        <w:rPr>
          <w:b w:val="0"/>
          <w:i w:val="0"/>
          <w:color w:val="1A1A1A"/>
          <w:sz w:val="20"/>
        </w:rPr>
        <w:t xml:space="preserve"> a melt to 165,506 city-day-pollutant rows for the dashboard, a city × month pivot for the seasonal heatmap, region × season and station-level aggregations.</w:t>
      </w:r>
    </w:p>
    <w:p>
      <w:pPr>
        <w:pStyle w:val="Heading3"/>
        <w:keepNext/>
        <w:spacing w:before="120" w:after="60"/>
      </w:pPr>
      <w:r>
        <w:rPr>
          <w:rFonts w:ascii="Calibri" w:hAnsi="Calibri"/>
          <w:b/>
          <w:color w:val="0D366B"/>
          <w:sz w:val="22"/>
        </w:rPr>
        <w:t>3.4 Loading</w:t>
      </w:r>
    </w:p>
    <w:p>
      <w:pPr>
        <w:pStyle w:val="ListBullet"/>
        <w:spacing w:after="40" w:line="252" w:lineRule="auto"/>
      </w:pPr>
      <w:r>
        <w:rPr>
          <w:b/>
          <w:i w:val="0"/>
          <w:color w:val="1A1A1A"/>
          <w:sz w:val="20"/>
        </w:rPr>
        <w:t>SQLite</w:t>
      </w:r>
      <w:r>
        <w:rPr>
          <w:b w:val="0"/>
          <w:i w:val="0"/>
          <w:color w:val="1A1A1A"/>
          <w:sz w:val="20"/>
        </w:rPr>
        <w:t xml:space="preserve"> (</w:t>
      </w:r>
      <w:r>
        <w:rPr>
          <w:rFonts w:ascii="Consolas" w:hAnsi="Consolas"/>
          <w:color w:val="52514E"/>
          <w:sz w:val="18"/>
        </w:rPr>
        <w:t>breathe_india.db</w:t>
      </w:r>
      <w:r>
        <w:rPr>
          <w:b w:val="0"/>
          <w:i w:val="0"/>
          <w:color w:val="1A1A1A"/>
          <w:sz w:val="20"/>
        </w:rPr>
        <w:t>): one table per entity, unique indexes as primary keys, then read-back checks: row counts match, zero orphan keys, and the PM2.5 total agrees to the decimal. An analytical SQL query ranks cities by days over the limit.</w:t>
      </w:r>
    </w:p>
    <w:p>
      <w:pPr>
        <w:pStyle w:val="ListBullet"/>
        <w:spacing w:after="40" w:line="252" w:lineRule="auto"/>
      </w:pPr>
      <w:r>
        <w:rPr>
          <w:b/>
          <w:i w:val="0"/>
          <w:color w:val="1A1A1A"/>
          <w:sz w:val="20"/>
        </w:rPr>
        <w:t>Parquet</w:t>
      </w:r>
      <w:r>
        <w:rPr>
          <w:b w:val="0"/>
          <w:i w:val="0"/>
          <w:color w:val="1A1A1A"/>
          <w:sz w:val="20"/>
        </w:rPr>
        <w:t xml:space="preserve"> partitioned by year, validated by comparing row counts per partition.</w:t>
      </w:r>
    </w:p>
    <w:p>
      <w:pPr>
        <w:pStyle w:val="ListBullet"/>
        <w:spacing w:after="40" w:line="252" w:lineRule="auto"/>
      </w:pPr>
      <w:r>
        <w:rPr>
          <w:b/>
          <w:i w:val="0"/>
          <w:color w:val="1A1A1A"/>
          <w:sz w:val="20"/>
        </w:rPr>
        <w:t>Power BI:</w:t>
      </w:r>
      <w:r>
        <w:rPr>
          <w:b w:val="0"/>
          <w:i w:val="0"/>
          <w:color w:val="1A1A1A"/>
          <w:sz w:val="20"/>
        </w:rPr>
        <w:t xml:space="preserve"> the same tables as CSV and a one-file Excel workbook.</w:t>
      </w:r>
    </w:p>
    <w:p>
      <w:pPr>
        <w:pStyle w:val="Heading2"/>
        <w:keepNext/>
        <w:spacing w:before="200" w:after="60"/>
      </w:pPr>
      <w:r>
        <w:rPr>
          <w:rFonts w:ascii="Calibri" w:hAnsi="Calibri"/>
          <w:b/>
          <w:color w:val="0D366B"/>
          <w:sz w:val="26"/>
        </w:rPr>
        <w:t>4. Machine learning</w:t>
      </w:r>
    </w:p>
    <w:p>
      <w:pPr>
        <w:spacing w:after="80" w:before="0" w:line="259" w:lineRule="auto"/>
      </w:pPr>
      <w:r>
        <w:rPr>
          <w:b w:val="0"/>
          <w:i w:val="0"/>
          <w:color w:val="1A1A1A"/>
          <w:sz w:val="20"/>
        </w:rPr>
        <w:t>Three tasks, each judged against a simple baseline on data the model never saw, with splits in time order. A random split would leak the future, because tomorrow's pollution closely follows today's. All preprocessing (imputation, scaling, one-hot encoding) sits inside scikit-learn pipelines, so it is fitted on training folds only.</w:t>
      </w:r>
    </w:p>
    <w:p>
      <w:pPr>
        <w:pStyle w:val="Heading3"/>
        <w:keepNext/>
        <w:spacing w:before="120" w:after="60"/>
      </w:pPr>
      <w:r>
        <w:rPr>
          <w:rFonts w:ascii="Calibri" w:hAnsi="Calibri"/>
          <w:b/>
          <w:color w:val="0D366B"/>
          <w:sz w:val="22"/>
        </w:rPr>
        <w:t>4.1 Model A: tomorrow's AQI category (classification)</w:t>
      </w:r>
    </w:p>
    <w:p>
      <w:pPr>
        <w:pStyle w:val="ListBullet"/>
        <w:spacing w:after="40" w:line="252" w:lineRule="auto"/>
      </w:pPr>
      <w:r>
        <w:rPr>
          <w:b/>
          <w:i w:val="0"/>
          <w:color w:val="1A1A1A"/>
          <w:sz w:val="20"/>
        </w:rPr>
        <w:t>Target:</w:t>
      </w:r>
      <w:r>
        <w:rPr>
          <w:b w:val="0"/>
          <w:i w:val="0"/>
          <w:color w:val="1A1A1A"/>
          <w:sz w:val="20"/>
        </w:rPr>
        <w:t xml:space="preserve"> the next day's official CPCB category, 6 classes. Ahmedabad and every recalculated day are excluded, so the model never learns from our own corrections.</w:t>
      </w:r>
    </w:p>
    <w:p>
      <w:pPr>
        <w:pStyle w:val="ListBullet"/>
        <w:spacing w:after="40" w:line="252" w:lineRule="auto"/>
      </w:pPr>
      <w:r>
        <w:rPr>
          <w:b/>
          <w:i w:val="0"/>
          <w:color w:val="1A1A1A"/>
          <w:sz w:val="20"/>
        </w:rPr>
        <w:t>Inputs:</w:t>
      </w:r>
      <w:r>
        <w:rPr>
          <w:b w:val="0"/>
          <w:i w:val="0"/>
          <w:color w:val="1A1A1A"/>
          <w:sz w:val="20"/>
        </w:rPr>
        <w:t xml:space="preserve"> today's pollutants, AQI and recent history; today's and tomorrow's weather (a forecast stand-in); calendar; city geography.</w:t>
      </w:r>
    </w:p>
    <w:p>
      <w:pPr>
        <w:pStyle w:val="ListBullet"/>
        <w:spacing w:after="40" w:line="252" w:lineRule="auto"/>
      </w:pPr>
      <w:r>
        <w:rPr>
          <w:b/>
          <w:i w:val="0"/>
          <w:color w:val="1A1A1A"/>
          <w:sz w:val="20"/>
        </w:rPr>
        <w:t>Split:</w:t>
      </w:r>
      <w:r>
        <w:rPr>
          <w:b w:val="0"/>
          <w:i w:val="0"/>
          <w:color w:val="1A1A1A"/>
          <w:sz w:val="20"/>
        </w:rPr>
        <w:t xml:space="preserve"> train on target days to the end of 2018 (12,315 rows, 17 cities); test on Jan 2019 to 24 Mar 2020 (8,554 rows); a separate lockdown stress test.</w:t>
      </w:r>
    </w:p>
    <w:p>
      <w:pPr>
        <w:pStyle w:val="ListBullet"/>
        <w:spacing w:after="40" w:line="252" w:lineRule="auto"/>
      </w:pPr>
      <w:r>
        <w:rPr>
          <w:b/>
          <w:i w:val="0"/>
          <w:color w:val="1A1A1A"/>
          <w:sz w:val="20"/>
        </w:rPr>
        <w:t>Selection:</w:t>
      </w:r>
      <w:r>
        <w:rPr>
          <w:b w:val="0"/>
          <w:i w:val="0"/>
          <w:color w:val="1A1A1A"/>
          <w:sz w:val="20"/>
        </w:rPr>
        <w:t xml:space="preserve"> 5-fold time-series cross-validation picked Gradient Boosting, then a small grid tuned it (learning rate 0.03, 31 leaves).</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1950"/>
        <w:gridCol w:w="1950"/>
        <w:gridCol w:w="1950"/>
        <w:gridCol w:w="1950"/>
        <w:gridCol w:w="1950"/>
      </w:tblGrid>
      <w:tr>
        <w:tc>
          <w:tcPr>
            <w:tcW w:type="dxa" w:w="1950"/>
            <w:shd w:val="clear" w:color="auto" w:fill="E8EEF7"/>
          </w:tcPr>
          <w:p>
            <w:pPr>
              <w:spacing w:after="0" w:line="240" w:lineRule="auto"/>
            </w:pPr>
            <w:r/>
            <w:r>
              <w:rPr>
                <w:b/>
                <w:i w:val="0"/>
                <w:color w:val="1A1A1A"/>
                <w:sz w:val="17"/>
              </w:rPr>
              <w:t>Model (test, 2019 to Mar 2020)</w:t>
            </w:r>
          </w:p>
        </w:tc>
        <w:tc>
          <w:tcPr>
            <w:tcW w:type="dxa" w:w="1950"/>
            <w:shd w:val="clear" w:color="auto" w:fill="E8EEF7"/>
          </w:tcPr>
          <w:p>
            <w:pPr>
              <w:spacing w:after="0" w:line="240" w:lineRule="auto"/>
            </w:pPr>
            <w:r/>
            <w:r>
              <w:rPr>
                <w:b/>
                <w:i w:val="0"/>
                <w:color w:val="1A1A1A"/>
                <w:sz w:val="17"/>
              </w:rPr>
              <w:t>Accuracy</w:t>
            </w:r>
          </w:p>
        </w:tc>
        <w:tc>
          <w:tcPr>
            <w:tcW w:type="dxa" w:w="1950"/>
            <w:shd w:val="clear" w:color="auto" w:fill="E8EEF7"/>
          </w:tcPr>
          <w:p>
            <w:pPr>
              <w:spacing w:after="0" w:line="240" w:lineRule="auto"/>
            </w:pPr>
            <w:r/>
            <w:r>
              <w:rPr>
                <w:b/>
                <w:i w:val="0"/>
                <w:color w:val="1A1A1A"/>
                <w:sz w:val="17"/>
              </w:rPr>
              <w:t>Macro F1</w:t>
            </w:r>
          </w:p>
        </w:tc>
        <w:tc>
          <w:tcPr>
            <w:tcW w:type="dxa" w:w="1950"/>
            <w:shd w:val="clear" w:color="auto" w:fill="E8EEF7"/>
          </w:tcPr>
          <w:p>
            <w:pPr>
              <w:spacing w:after="0" w:line="240" w:lineRule="auto"/>
            </w:pPr>
            <w:r/>
            <w:r>
              <w:rPr>
                <w:b/>
                <w:i w:val="0"/>
                <w:color w:val="1A1A1A"/>
                <w:sz w:val="17"/>
              </w:rPr>
              <w:t>Poor-or-worse days caught</w:t>
            </w:r>
          </w:p>
        </w:tc>
        <w:tc>
          <w:tcPr>
            <w:tcW w:type="dxa" w:w="1950"/>
            <w:shd w:val="clear" w:color="auto" w:fill="E8EEF7"/>
          </w:tcPr>
          <w:p>
            <w:pPr>
              <w:spacing w:after="0" w:line="240" w:lineRule="auto"/>
            </w:pPr>
            <w:r/>
            <w:r>
              <w:rPr>
                <w:b/>
                <w:i w:val="0"/>
                <w:color w:val="1A1A1A"/>
                <w:sz w:val="17"/>
              </w:rPr>
              <w:t>Right when the category changed</w:t>
            </w:r>
          </w:p>
        </w:tc>
      </w:tr>
      <w:tr>
        <w:tc>
          <w:tcPr>
            <w:tcW w:type="dxa" w:w="1950"/>
          </w:tcPr>
          <w:p>
            <w:pPr>
              <w:spacing w:after="0" w:line="240" w:lineRule="auto"/>
            </w:pPr>
            <w:r/>
            <w:r>
              <w:rPr>
                <w:b w:val="0"/>
                <w:i w:val="0"/>
                <w:color w:val="1A1A1A"/>
                <w:sz w:val="17"/>
              </w:rPr>
              <w:t>Persistence baseline ("same as today")</w:t>
            </w:r>
          </w:p>
        </w:tc>
        <w:tc>
          <w:tcPr>
            <w:tcW w:type="dxa" w:w="1950"/>
          </w:tcPr>
          <w:p>
            <w:pPr>
              <w:spacing w:after="0" w:line="240" w:lineRule="auto"/>
            </w:pPr>
            <w:r/>
            <w:r>
              <w:rPr>
                <w:b w:val="0"/>
                <w:i w:val="0"/>
                <w:color w:val="1A1A1A"/>
                <w:sz w:val="17"/>
              </w:rPr>
              <w:t>0.72</w:t>
            </w:r>
          </w:p>
        </w:tc>
        <w:tc>
          <w:tcPr>
            <w:tcW w:type="dxa" w:w="1950"/>
          </w:tcPr>
          <w:p>
            <w:pPr>
              <w:spacing w:after="0" w:line="240" w:lineRule="auto"/>
            </w:pPr>
            <w:r/>
            <w:r>
              <w:rPr>
                <w:b w:val="0"/>
                <w:i w:val="0"/>
                <w:color w:val="1A1A1A"/>
                <w:sz w:val="17"/>
              </w:rPr>
              <w:t>0.66</w:t>
            </w:r>
          </w:p>
        </w:tc>
        <w:tc>
          <w:tcPr>
            <w:tcW w:type="dxa" w:w="1950"/>
          </w:tcPr>
          <w:p>
            <w:pPr>
              <w:spacing w:after="0" w:line="240" w:lineRule="auto"/>
            </w:pPr>
            <w:r/>
            <w:r>
              <w:rPr>
                <w:b w:val="0"/>
                <w:i w:val="0"/>
                <w:color w:val="1A1A1A"/>
                <w:sz w:val="17"/>
              </w:rPr>
              <w:t>80%</w:t>
            </w:r>
          </w:p>
        </w:tc>
        <w:tc>
          <w:tcPr>
            <w:tcW w:type="dxa" w:w="1950"/>
          </w:tcPr>
          <w:p>
            <w:pPr>
              <w:spacing w:after="0" w:line="240" w:lineRule="auto"/>
            </w:pPr>
            <w:r/>
            <w:r>
              <w:rPr>
                <w:b w:val="0"/>
                <w:i w:val="0"/>
                <w:color w:val="1A1A1A"/>
                <w:sz w:val="17"/>
              </w:rPr>
              <w:t>0%</w:t>
            </w:r>
          </w:p>
        </w:tc>
      </w:tr>
      <w:tr>
        <w:tc>
          <w:tcPr>
            <w:tcW w:type="dxa" w:w="1950"/>
          </w:tcPr>
          <w:p>
            <w:pPr>
              <w:spacing w:after="0" w:line="240" w:lineRule="auto"/>
            </w:pPr>
            <w:r/>
            <w:r>
              <w:rPr>
                <w:b w:val="0"/>
                <w:i w:val="0"/>
                <w:color w:val="1A1A1A"/>
                <w:sz w:val="17"/>
              </w:rPr>
              <w:t>Logistic Regression</w:t>
            </w:r>
          </w:p>
        </w:tc>
        <w:tc>
          <w:tcPr>
            <w:tcW w:type="dxa" w:w="1950"/>
          </w:tcPr>
          <w:p>
            <w:pPr>
              <w:spacing w:after="0" w:line="240" w:lineRule="auto"/>
            </w:pPr>
            <w:r/>
            <w:r>
              <w:rPr>
                <w:b w:val="0"/>
                <w:i w:val="0"/>
                <w:color w:val="1A1A1A"/>
                <w:sz w:val="17"/>
              </w:rPr>
              <w:t>0.69</w:t>
            </w:r>
          </w:p>
        </w:tc>
        <w:tc>
          <w:tcPr>
            <w:tcW w:type="dxa" w:w="1950"/>
          </w:tcPr>
          <w:p>
            <w:pPr>
              <w:spacing w:after="0" w:line="240" w:lineRule="auto"/>
            </w:pPr>
            <w:r/>
            <w:r>
              <w:rPr>
                <w:b w:val="0"/>
                <w:i w:val="0"/>
                <w:color w:val="1A1A1A"/>
                <w:sz w:val="17"/>
              </w:rPr>
              <w:t>0.65</w:t>
            </w:r>
          </w:p>
        </w:tc>
        <w:tc>
          <w:tcPr>
            <w:tcW w:type="dxa" w:w="1950"/>
          </w:tcPr>
          <w:p>
            <w:pPr>
              <w:spacing w:after="0" w:line="240" w:lineRule="auto"/>
            </w:pPr>
            <w:r/>
            <w:r>
              <w:rPr>
                <w:b w:val="0"/>
                <w:i w:val="0"/>
                <w:color w:val="1A1A1A"/>
                <w:sz w:val="17"/>
              </w:rPr>
              <w:t>93%</w:t>
            </w:r>
          </w:p>
        </w:tc>
        <w:tc>
          <w:tcPr>
            <w:tcW w:type="dxa" w:w="1950"/>
          </w:tcPr>
          <w:p>
            <w:pPr>
              <w:spacing w:after="0" w:line="240" w:lineRule="auto"/>
            </w:pPr>
            <w:r/>
            <w:r>
              <w:rPr>
                <w:b w:val="0"/>
                <w:i w:val="0"/>
                <w:color w:val="1A1A1A"/>
                <w:sz w:val="17"/>
              </w:rPr>
              <w:t>41%</w:t>
            </w:r>
          </w:p>
        </w:tc>
      </w:tr>
      <w:tr>
        <w:tc>
          <w:tcPr>
            <w:tcW w:type="dxa" w:w="1950"/>
          </w:tcPr>
          <w:p>
            <w:pPr>
              <w:spacing w:after="0" w:line="240" w:lineRule="auto"/>
            </w:pPr>
            <w:r/>
            <w:r>
              <w:rPr>
                <w:b w:val="0"/>
                <w:i w:val="0"/>
                <w:color w:val="1A1A1A"/>
                <w:sz w:val="17"/>
              </w:rPr>
              <w:t>Random Forest</w:t>
            </w:r>
          </w:p>
        </w:tc>
        <w:tc>
          <w:tcPr>
            <w:tcW w:type="dxa" w:w="1950"/>
          </w:tcPr>
          <w:p>
            <w:pPr>
              <w:spacing w:after="0" w:line="240" w:lineRule="auto"/>
            </w:pPr>
            <w:r/>
            <w:r>
              <w:rPr>
                <w:b w:val="0"/>
                <w:i w:val="0"/>
                <w:color w:val="1A1A1A"/>
                <w:sz w:val="17"/>
              </w:rPr>
              <w:t>0.76</w:t>
            </w:r>
          </w:p>
        </w:tc>
        <w:tc>
          <w:tcPr>
            <w:tcW w:type="dxa" w:w="1950"/>
          </w:tcPr>
          <w:p>
            <w:pPr>
              <w:spacing w:after="0" w:line="240" w:lineRule="auto"/>
            </w:pPr>
            <w:r/>
            <w:r>
              <w:rPr>
                <w:b w:val="0"/>
                <w:i w:val="0"/>
                <w:color w:val="1A1A1A"/>
                <w:sz w:val="17"/>
              </w:rPr>
              <w:t>0.70</w:t>
            </w:r>
          </w:p>
        </w:tc>
        <w:tc>
          <w:tcPr>
            <w:tcW w:type="dxa" w:w="1950"/>
          </w:tcPr>
          <w:p>
            <w:pPr>
              <w:spacing w:after="0" w:line="240" w:lineRule="auto"/>
            </w:pPr>
            <w:r/>
            <w:r>
              <w:rPr>
                <w:b w:val="0"/>
                <w:i w:val="0"/>
                <w:color w:val="1A1A1A"/>
                <w:sz w:val="17"/>
              </w:rPr>
              <w:t>90%</w:t>
            </w:r>
          </w:p>
        </w:tc>
        <w:tc>
          <w:tcPr>
            <w:tcW w:type="dxa" w:w="1950"/>
          </w:tcPr>
          <w:p>
            <w:pPr>
              <w:spacing w:after="0" w:line="240" w:lineRule="auto"/>
            </w:pPr>
            <w:r/>
            <w:r>
              <w:rPr>
                <w:b w:val="0"/>
                <w:i w:val="0"/>
                <w:color w:val="1A1A1A"/>
                <w:sz w:val="17"/>
              </w:rPr>
              <w:t>33%</w:t>
            </w:r>
          </w:p>
        </w:tc>
      </w:tr>
      <w:tr>
        <w:tc>
          <w:tcPr>
            <w:tcW w:type="dxa" w:w="1950"/>
          </w:tcPr>
          <w:p>
            <w:pPr>
              <w:spacing w:after="0" w:line="240" w:lineRule="auto"/>
            </w:pPr>
            <w:r/>
            <w:r>
              <w:rPr>
                <w:b/>
                <w:i w:val="0"/>
                <w:color w:val="1A1A1A"/>
                <w:sz w:val="17"/>
              </w:rPr>
              <w:t>Gradient Boosting (chosen)</w:t>
            </w:r>
          </w:p>
        </w:tc>
        <w:tc>
          <w:tcPr>
            <w:tcW w:type="dxa" w:w="1950"/>
          </w:tcPr>
          <w:p>
            <w:pPr>
              <w:spacing w:after="0" w:line="240" w:lineRule="auto"/>
            </w:pPr>
            <w:r/>
            <w:r>
              <w:rPr>
                <w:b/>
                <w:i w:val="0"/>
                <w:color w:val="1A1A1A"/>
                <w:sz w:val="17"/>
              </w:rPr>
              <w:t>0.75</w:t>
            </w:r>
          </w:p>
        </w:tc>
        <w:tc>
          <w:tcPr>
            <w:tcW w:type="dxa" w:w="1950"/>
          </w:tcPr>
          <w:p>
            <w:pPr>
              <w:spacing w:after="0" w:line="240" w:lineRule="auto"/>
            </w:pPr>
            <w:r/>
            <w:r>
              <w:rPr>
                <w:b/>
                <w:i w:val="0"/>
                <w:color w:val="1A1A1A"/>
                <w:sz w:val="17"/>
              </w:rPr>
              <w:t>0.72</w:t>
            </w:r>
          </w:p>
        </w:tc>
        <w:tc>
          <w:tcPr>
            <w:tcW w:type="dxa" w:w="1950"/>
          </w:tcPr>
          <w:p>
            <w:pPr>
              <w:spacing w:after="0" w:line="240" w:lineRule="auto"/>
            </w:pPr>
            <w:r/>
            <w:r>
              <w:rPr>
                <w:b/>
                <w:i w:val="0"/>
                <w:color w:val="1A1A1A"/>
                <w:sz w:val="17"/>
              </w:rPr>
              <w:t>92%</w:t>
            </w:r>
          </w:p>
        </w:tc>
        <w:tc>
          <w:tcPr>
            <w:tcW w:type="dxa" w:w="1950"/>
          </w:tcPr>
          <w:p>
            <w:pPr>
              <w:spacing w:after="0" w:line="240" w:lineRule="auto"/>
            </w:pPr>
            <w:r/>
            <w:r>
              <w:rPr>
                <w:b/>
                <w:i w:val="0"/>
                <w:color w:val="1A1A1A"/>
                <w:sz w:val="17"/>
              </w:rPr>
              <w:t>35%</w:t>
            </w:r>
          </w:p>
        </w:tc>
      </w:tr>
    </w:tbl>
    <w:p>
      <w:pPr>
        <w:spacing w:after="40"/>
      </w:pPr>
    </w:p>
    <w:p>
      <w:pPr>
        <w:spacing w:after="80" w:before="0" w:line="259" w:lineRule="auto"/>
      </w:pPr>
      <w:r>
        <w:rPr>
          <w:b w:val="0"/>
          <w:i w:val="0"/>
          <w:color w:val="1A1A1A"/>
          <w:sz w:val="20"/>
        </w:rPr>
        <w:t>Gradient Boosting has the best macro F1, which weights all six categories equally, and 99.7% of its predictions are right or one category off. Its value is on days the air changes, which the baseline gets wrong by definition. It also fails honestly: in cross-validation on 2015–18 it only matched the baseline (macro F1 0.62 each), and during the lockdown its macro F1 fell to 0.59, below the baseline's 0.65, because the rules it learned stopped applying.</w:t>
      </w:r>
    </w:p>
    <w:p>
      <w:pPr>
        <w:pStyle w:val="Heading3"/>
        <w:keepNext/>
        <w:spacing w:before="120" w:after="60"/>
      </w:pPr>
      <w:r>
        <w:rPr>
          <w:rFonts w:ascii="Calibri" w:hAnsi="Calibri"/>
          <w:b/>
          <w:color w:val="0D366B"/>
          <w:sz w:val="22"/>
        </w:rPr>
        <w:t>4.2 Model B: what the lockdown really changed (regression as a counterfactual)</w:t>
      </w:r>
    </w:p>
    <w:p>
      <w:pPr>
        <w:spacing w:after="80" w:before="0" w:line="259" w:lineRule="auto"/>
      </w:pPr>
      <w:r>
        <w:rPr>
          <w:b w:val="0"/>
          <w:i w:val="0"/>
          <w:color w:val="1A1A1A"/>
          <w:sz w:val="20"/>
        </w:rPr>
        <w:t>The model predicts PM2.5 and NO₂ from weather, season, day of week, long-term trend and city only, never from pollution. Fed the real spring-2020 weather, it estimates pollution without a lockdown; the gap to reality is the lockdown effect, cleaned of weather.</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4876"/>
        <w:gridCol w:w="4876"/>
      </w:tblGrid>
      <w:tr>
        <w:tc>
          <w:tcPr>
            <w:tcW w:type="dxa" w:w="4876"/>
            <w:shd w:val="clear" w:color="auto" w:fill="E8EEF7"/>
          </w:tcPr>
          <w:p>
            <w:pPr>
              <w:spacing w:after="0" w:line="240" w:lineRule="auto"/>
            </w:pPr>
            <w:r/>
            <w:r>
              <w:rPr>
                <w:b/>
                <w:i w:val="0"/>
                <w:color w:val="1A1A1A"/>
                <w:sz w:val="17"/>
              </w:rPr>
              <w:t>Check</w:t>
            </w:r>
          </w:p>
        </w:tc>
        <w:tc>
          <w:tcPr>
            <w:tcW w:type="dxa" w:w="4876"/>
            <w:shd w:val="clear" w:color="auto" w:fill="E8EEF7"/>
          </w:tcPr>
          <w:p>
            <w:pPr>
              <w:spacing w:after="0" w:line="240" w:lineRule="auto"/>
            </w:pPr>
            <w:r/>
            <w:r>
              <w:rPr>
                <w:b/>
                <w:i w:val="0"/>
                <w:color w:val="1A1A1A"/>
                <w:sz w:val="17"/>
              </w:rPr>
              <w:t>Result</w:t>
            </w:r>
          </w:p>
        </w:tc>
      </w:tr>
      <w:tr>
        <w:tc>
          <w:tcPr>
            <w:tcW w:type="dxa" w:w="4876"/>
          </w:tcPr>
          <w:p>
            <w:pPr>
              <w:spacing w:after="0" w:line="240" w:lineRule="auto"/>
            </w:pPr>
            <w:r/>
            <w:r>
              <w:rPr>
                <w:b w:val="0"/>
                <w:i w:val="0"/>
                <w:color w:val="1A1A1A"/>
                <w:sz w:val="17"/>
              </w:rPr>
              <w:t>Placebo: predict spring 2019, when nothing happened</w:t>
            </w:r>
          </w:p>
        </w:tc>
        <w:tc>
          <w:tcPr>
            <w:tcW w:type="dxa" w:w="4876"/>
          </w:tcPr>
          <w:p>
            <w:pPr>
              <w:spacing w:after="0" w:line="240" w:lineRule="auto"/>
            </w:pPr>
            <w:r/>
            <w:r>
              <w:rPr>
                <w:b w:val="0"/>
                <w:i w:val="0"/>
                <w:color w:val="1A1A1A"/>
                <w:sz w:val="17"/>
              </w:rPr>
              <w:t>Random Forest R² 0.55, bias −2%; city-month average R² 0.44; Ridge 0.38</w:t>
            </w:r>
          </w:p>
        </w:tc>
      </w:tr>
      <w:tr>
        <w:tc>
          <w:tcPr>
            <w:tcW w:type="dxa" w:w="4876"/>
          </w:tcPr>
          <w:p>
            <w:pPr>
              <w:spacing w:after="0" w:line="240" w:lineRule="auto"/>
            </w:pPr>
            <w:r/>
            <w:r>
              <w:rPr>
                <w:b w:val="0"/>
                <w:i w:val="0"/>
                <w:color w:val="1A1A1A"/>
                <w:sz w:val="17"/>
              </w:rPr>
              <w:t>Out-of-sample, 1 Jan to 24 Mar 2020</w:t>
            </w:r>
          </w:p>
        </w:tc>
        <w:tc>
          <w:tcPr>
            <w:tcW w:type="dxa" w:w="4876"/>
          </w:tcPr>
          <w:p>
            <w:pPr>
              <w:spacing w:after="0" w:line="240" w:lineRule="auto"/>
            </w:pPr>
            <w:r/>
            <w:r>
              <w:rPr>
                <w:b w:val="0"/>
                <w:i w:val="0"/>
                <w:color w:val="1A1A1A"/>
                <w:sz w:val="17"/>
              </w:rPr>
              <w:t>R² 0.67, bias +4%: it tracked reality up to the lockdown</w:t>
            </w:r>
          </w:p>
        </w:tc>
      </w:tr>
      <w:tr>
        <w:tc>
          <w:tcPr>
            <w:tcW w:type="dxa" w:w="4876"/>
          </w:tcPr>
          <w:p>
            <w:pPr>
              <w:spacing w:after="0" w:line="240" w:lineRule="auto"/>
            </w:pPr>
            <w:r/>
            <w:r>
              <w:rPr>
                <w:b w:val="0"/>
                <w:i w:val="0"/>
                <w:color w:val="1A1A1A"/>
                <w:sz w:val="17"/>
              </w:rPr>
              <w:t>80% prediction band (quantile Gradient Boosting)</w:t>
            </w:r>
          </w:p>
        </w:tc>
        <w:tc>
          <w:tcPr>
            <w:tcW w:type="dxa" w:w="4876"/>
          </w:tcPr>
          <w:p>
            <w:pPr>
              <w:spacing w:after="0" w:line="240" w:lineRule="auto"/>
            </w:pPr>
            <w:r/>
            <w:r>
              <w:rPr>
                <w:b w:val="0"/>
                <w:i w:val="0"/>
                <w:color w:val="1A1A1A"/>
                <w:sz w:val="17"/>
              </w:rPr>
              <w:t>Covered 73% of days: slightly too narrow, read as indicative</w:t>
            </w:r>
          </w:p>
        </w:tc>
      </w:tr>
      <w:tr>
        <w:tc>
          <w:tcPr>
            <w:tcW w:type="dxa" w:w="4876"/>
          </w:tcPr>
          <w:p>
            <w:pPr>
              <w:spacing w:after="0" w:line="240" w:lineRule="auto"/>
            </w:pPr>
            <w:r/>
            <w:r>
              <w:rPr>
                <w:b w:val="0"/>
                <w:i w:val="0"/>
                <w:color w:val="1A1A1A"/>
                <w:sz w:val="17"/>
              </w:rPr>
              <w:t>Lockdown effect on PM2.5, median of 17 cities</w:t>
            </w:r>
          </w:p>
        </w:tc>
        <w:tc>
          <w:tcPr>
            <w:tcW w:type="dxa" w:w="4876"/>
          </w:tcPr>
          <w:p>
            <w:pPr>
              <w:spacing w:after="0" w:line="240" w:lineRule="auto"/>
            </w:pPr>
            <w:r/>
            <w:r>
              <w:rPr>
                <w:b w:val="0"/>
                <w:i w:val="0"/>
                <w:color w:val="1A1A1A"/>
                <w:sz w:val="17"/>
              </w:rPr>
              <w:t xml:space="preserve">−41% naive vs </w:t>
            </w:r>
            <w:r>
              <w:rPr>
                <w:b/>
                <w:i w:val="0"/>
                <w:color w:val="1A1A1A"/>
                <w:sz w:val="17"/>
              </w:rPr>
              <w:t>−28% weather-adjusted</w:t>
            </w:r>
          </w:p>
        </w:tc>
      </w:tr>
      <w:tr>
        <w:tc>
          <w:tcPr>
            <w:tcW w:type="dxa" w:w="4876"/>
          </w:tcPr>
          <w:p>
            <w:pPr>
              <w:spacing w:after="0" w:line="240" w:lineRule="auto"/>
            </w:pPr>
            <w:r/>
            <w:r>
              <w:rPr>
                <w:b w:val="0"/>
                <w:i w:val="0"/>
                <w:color w:val="1A1A1A"/>
                <w:sz w:val="17"/>
              </w:rPr>
              <w:t>Lockdown effect on NO₂, median of 17 cities</w:t>
            </w:r>
          </w:p>
        </w:tc>
        <w:tc>
          <w:tcPr>
            <w:tcW w:type="dxa" w:w="4876"/>
          </w:tcPr>
          <w:p>
            <w:pPr>
              <w:spacing w:after="0" w:line="240" w:lineRule="auto"/>
            </w:pPr>
            <w:r/>
            <w:r>
              <w:rPr>
                <w:b w:val="0"/>
                <w:i w:val="0"/>
                <w:color w:val="1A1A1A"/>
                <w:sz w:val="17"/>
              </w:rPr>
              <w:t xml:space="preserve">−47% naive vs </w:t>
            </w:r>
            <w:r>
              <w:rPr>
                <w:b/>
                <w:i w:val="0"/>
                <w:color w:val="1A1A1A"/>
                <w:sz w:val="17"/>
              </w:rPr>
              <w:t>−46% weather-adjusted</w:t>
            </w:r>
          </w:p>
        </w:tc>
      </w:tr>
    </w:tbl>
    <w:p>
      <w:pPr>
        <w:spacing w:after="40"/>
      </w:pPr>
    </w:p>
    <w:p>
      <w:pPr>
        <w:keepNext/>
        <w:spacing w:after="40"/>
        <w:jc w:val="center"/>
      </w:pPr>
      <w:r>
        <w:drawing>
          <wp:inline xmlns:a="http://schemas.openxmlformats.org/drawingml/2006/main" xmlns:pic="http://schemas.openxmlformats.org/drawingml/2006/picture">
            <wp:extent cx="6120000" cy="1788331"/>
            <wp:docPr id="1" name="Picture 1"/>
            <wp:cNvGraphicFramePr>
              <a:graphicFrameLocks noChangeAspect="1"/>
            </wp:cNvGraphicFramePr>
            <a:graphic>
              <a:graphicData uri="http://schemas.openxmlformats.org/drawingml/2006/picture">
                <pic:pic>
                  <pic:nvPicPr>
                    <pic:cNvPr id="0" name="13_counterfactual_cities.png"/>
                    <pic:cNvPicPr/>
                  </pic:nvPicPr>
                  <pic:blipFill>
                    <a:blip r:embed="rId14"/>
                    <a:stretch>
                      <a:fillRect/>
                    </a:stretch>
                  </pic:blipFill>
                  <pic:spPr>
                    <a:xfrm>
                      <a:off x="0" y="0"/>
                      <a:ext cx="6120000" cy="1788331"/>
                    </a:xfrm>
                    <a:prstGeom prst="rect"/>
                  </pic:spPr>
                </pic:pic>
              </a:graphicData>
            </a:graphic>
          </wp:inline>
        </w:drawing>
      </w:r>
    </w:p>
    <w:p>
      <w:pPr>
        <w:spacing w:after="160" w:before="0" w:line="259" w:lineRule="auto"/>
        <w:jc w:val="center"/>
      </w:pPr>
      <w:r>
        <w:rPr>
          <w:b w:val="0"/>
          <w:i/>
          <w:color w:val="52514E"/>
          <w:sz w:val="17"/>
        </w:rPr>
        <w:t>Figure 1. Actual PM2.5 (black) against the weather-based expectation (blue, 80% band), January–June 2020; shading marks the lockdown. Delhi tracks its expectation until 25 March, then falls below it.</w:t>
      </w:r>
    </w:p>
    <w:p>
      <w:pPr>
        <w:pStyle w:val="Heading3"/>
        <w:keepNext/>
        <w:spacing w:before="120" w:after="60"/>
      </w:pPr>
      <w:r>
        <w:rPr>
          <w:rFonts w:ascii="Calibri" w:hAnsi="Calibri"/>
          <w:b/>
          <w:color w:val="0D366B"/>
          <w:sz w:val="22"/>
        </w:rPr>
        <w:t>4.3 Model C: three kinds of city air (clustering)</w:t>
      </w:r>
    </w:p>
    <w:p>
      <w:pPr>
        <w:spacing w:after="80" w:before="0" w:line="259" w:lineRule="auto"/>
      </w:pPr>
      <w:r>
        <w:rPr>
          <w:b w:val="0"/>
          <w:i w:val="0"/>
          <w:color w:val="1A1A1A"/>
          <w:sz w:val="20"/>
        </w:rPr>
        <w:t xml:space="preserve">K-means on two standardised features per city (typical PM2.5 level and the winter-to-monsoon ratio) gives three groups; k = 3 was chosen by silhouette score (0.41). </w:t>
      </w:r>
      <w:r>
        <w:rPr>
          <w:b/>
          <w:i w:val="0"/>
          <w:color w:val="1A1A1A"/>
          <w:sz w:val="20"/>
        </w:rPr>
        <w:t>High all year:</w:t>
      </w:r>
      <w:r>
        <w:rPr>
          <w:b w:val="0"/>
          <w:i w:val="0"/>
          <w:color w:val="1A1A1A"/>
          <w:sz w:val="20"/>
        </w:rPr>
        <w:t xml:space="preserve"> Delhi, Gurugram, Lucknow, Patna, Brajrajnagar and, after cleaning, Ahmedabad. </w:t>
      </w:r>
      <w:r>
        <w:rPr>
          <w:b/>
          <w:i w:val="0"/>
          <w:color w:val="1A1A1A"/>
          <w:sz w:val="20"/>
        </w:rPr>
        <w:t>Clean monsoon, smoggy winter:</w:t>
      </w:r>
      <w:r>
        <w:rPr>
          <w:b w:val="0"/>
          <w:i w:val="0"/>
          <w:color w:val="1A1A1A"/>
          <w:sz w:val="20"/>
        </w:rPr>
        <w:t xml:space="preserve"> Mumbai, Kolkata, Guwahati, Hyderabad, Talcher, Amaravati, Thiruvananthapuram. </w:t>
      </w:r>
      <w:r>
        <w:rPr>
          <w:b/>
          <w:i w:val="0"/>
          <w:color w:val="1A1A1A"/>
          <w:sz w:val="20"/>
        </w:rPr>
        <w:t>Steady year-round:</w:t>
      </w:r>
      <w:r>
        <w:rPr>
          <w:b w:val="0"/>
          <w:i w:val="0"/>
          <w:color w:val="1A1A1A"/>
          <w:sz w:val="20"/>
        </w:rPr>
        <w:t xml:space="preserve"> Bengaluru, Chennai, Coimbatore, Shillong, Visakhapatnam, Amritsar, Jaipur. Six cities with under a year of data stay unclustered.</w:t>
      </w:r>
    </w:p>
    <w:p>
      <w:pPr>
        <w:pStyle w:val="Heading2"/>
        <w:keepNext/>
        <w:spacing w:before="200" w:after="60"/>
      </w:pPr>
      <w:r>
        <w:rPr>
          <w:rFonts w:ascii="Calibri" w:hAnsi="Calibri"/>
          <w:b/>
          <w:color w:val="0D366B"/>
          <w:sz w:val="26"/>
        </w:rPr>
        <w:t>5. Power BI dashboard</w:t>
      </w:r>
    </w:p>
    <w:p>
      <w:pPr>
        <w:spacing w:after="80" w:before="0" w:line="259" w:lineRule="auto"/>
      </w:pPr>
      <w:r>
        <w:rPr>
          <w:b w:val="0"/>
          <w:i w:val="0"/>
          <w:color w:val="1A1A1A"/>
          <w:sz w:val="20"/>
        </w:rPr>
        <w:t>The dashboard (</w:t>
      </w:r>
      <w:r>
        <w:rPr>
          <w:rFonts w:ascii="Consolas" w:hAnsi="Consolas"/>
          <w:color w:val="52514E"/>
          <w:sz w:val="18"/>
        </w:rPr>
        <w:t>Breathe_India.pbix</w:t>
      </w:r>
      <w:r>
        <w:rPr>
          <w:b w:val="0"/>
          <w:i w:val="0"/>
          <w:color w:val="1A1A1A"/>
          <w:sz w:val="20"/>
        </w:rPr>
        <w:t>, with a PDF export) answers one question per page for a non-technical reader. Every visual title states its finding, not its field names, and each page ends with a short plain-language note. It reads from the cleaned tables and the model outputs through 13 related tables and 49 DAX measures.</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2438"/>
        <w:gridCol w:w="2438"/>
        <w:gridCol w:w="2438"/>
        <w:gridCol w:w="2438"/>
      </w:tblGrid>
      <w:tr>
        <w:tc>
          <w:tcPr>
            <w:tcW w:type="dxa" w:w="2438"/>
            <w:shd w:val="clear" w:color="auto" w:fill="E8EEF7"/>
          </w:tcPr>
          <w:p>
            <w:pPr>
              <w:spacing w:after="0" w:line="240" w:lineRule="auto"/>
            </w:pPr>
            <w:r/>
            <w:r>
              <w:rPr>
                <w:b/>
                <w:i w:val="0"/>
                <w:color w:val="1A1A1A"/>
                <w:sz w:val="17"/>
              </w:rPr>
              <w:t>Page</w:t>
            </w:r>
          </w:p>
        </w:tc>
        <w:tc>
          <w:tcPr>
            <w:tcW w:type="dxa" w:w="2438"/>
            <w:shd w:val="clear" w:color="auto" w:fill="E8EEF7"/>
          </w:tcPr>
          <w:p>
            <w:pPr>
              <w:spacing w:after="0" w:line="240" w:lineRule="auto"/>
            </w:pPr>
            <w:r/>
            <w:r>
              <w:rPr>
                <w:b/>
                <w:i w:val="0"/>
                <w:color w:val="1A1A1A"/>
                <w:sz w:val="17"/>
              </w:rPr>
              <w:t>The question it answers</w:t>
            </w:r>
          </w:p>
        </w:tc>
        <w:tc>
          <w:tcPr>
            <w:tcW w:type="dxa" w:w="2438"/>
            <w:shd w:val="clear" w:color="auto" w:fill="E8EEF7"/>
          </w:tcPr>
          <w:p>
            <w:pPr>
              <w:spacing w:after="0" w:line="240" w:lineRule="auto"/>
            </w:pPr>
            <w:r/>
            <w:r>
              <w:rPr>
                <w:b/>
                <w:i w:val="0"/>
                <w:color w:val="1A1A1A"/>
                <w:sz w:val="17"/>
              </w:rPr>
              <w:t>What is on it</w:t>
            </w:r>
          </w:p>
        </w:tc>
        <w:tc>
          <w:tcPr>
            <w:tcW w:type="dxa" w:w="2438"/>
            <w:shd w:val="clear" w:color="auto" w:fill="E8EEF7"/>
          </w:tcPr>
          <w:p>
            <w:pPr>
              <w:spacing w:after="0" w:line="240" w:lineRule="auto"/>
            </w:pPr>
            <w:r/>
            <w:r>
              <w:rPr>
                <w:b/>
                <w:i w:val="0"/>
                <w:color w:val="1A1A1A"/>
                <w:sz w:val="17"/>
              </w:rPr>
              <w:t>What the reader can do</w:t>
            </w:r>
          </w:p>
        </w:tc>
      </w:tr>
      <w:tr>
        <w:tc>
          <w:tcPr>
            <w:tcW w:type="dxa" w:w="2438"/>
          </w:tcPr>
          <w:p>
            <w:pPr>
              <w:spacing w:after="0" w:line="240" w:lineRule="auto"/>
            </w:pPr>
            <w:r/>
            <w:r>
              <w:rPr>
                <w:b w:val="0"/>
                <w:i w:val="0"/>
                <w:color w:val="1A1A1A"/>
                <w:sz w:val="17"/>
              </w:rPr>
              <w:t>Overview</w:t>
            </w:r>
          </w:p>
        </w:tc>
        <w:tc>
          <w:tcPr>
            <w:tcW w:type="dxa" w:w="2438"/>
          </w:tcPr>
          <w:p>
            <w:pPr>
              <w:spacing w:after="0" w:line="240" w:lineRule="auto"/>
            </w:pPr>
            <w:r/>
            <w:r>
              <w:rPr>
                <w:b w:val="0"/>
                <w:i w:val="0"/>
                <w:color w:val="1A1A1A"/>
                <w:sz w:val="17"/>
              </w:rPr>
              <w:t>Where and when is the air worst?</w:t>
            </w:r>
          </w:p>
        </w:tc>
        <w:tc>
          <w:tcPr>
            <w:tcW w:type="dxa" w:w="2438"/>
          </w:tcPr>
          <w:p>
            <w:pPr>
              <w:spacing w:after="0" w:line="240" w:lineRule="auto"/>
            </w:pPr>
            <w:r/>
            <w:r>
              <w:rPr>
                <w:b w:val="0"/>
                <w:i w:val="0"/>
                <w:color w:val="1A1A1A"/>
                <w:sz w:val="17"/>
              </w:rPr>
              <w:t>Four headline numbers, a map of the cities sized by typical PM2.5 and coloured by cluster, the monthly curve for North, coastal and other cities against the 60 µg/m³ limit, cities ranked by days over the limit</w:t>
            </w:r>
          </w:p>
        </w:tc>
        <w:tc>
          <w:tcPr>
            <w:tcW w:type="dxa" w:w="2438"/>
          </w:tcPr>
          <w:p>
            <w:pPr>
              <w:spacing w:after="0" w:line="240" w:lineRule="auto"/>
            </w:pPr>
            <w:r/>
            <w:r>
              <w:rPr>
                <w:b w:val="0"/>
                <w:i w:val="0"/>
                <w:color w:val="1A1A1A"/>
                <w:sz w:val="17"/>
              </w:rPr>
              <w:t>Filter by year and region; hover a city for a custom tooltip page with its own profile</w:t>
            </w:r>
          </w:p>
        </w:tc>
      </w:tr>
      <w:tr>
        <w:tc>
          <w:tcPr>
            <w:tcW w:type="dxa" w:w="2438"/>
          </w:tcPr>
          <w:p>
            <w:pPr>
              <w:spacing w:after="0" w:line="240" w:lineRule="auto"/>
            </w:pPr>
            <w:r/>
            <w:r>
              <w:rPr>
                <w:b w:val="0"/>
                <w:i w:val="0"/>
                <w:color w:val="1A1A1A"/>
                <w:sz w:val="17"/>
              </w:rPr>
              <w:t>City explorer</w:t>
            </w:r>
          </w:p>
        </w:tc>
        <w:tc>
          <w:tcPr>
            <w:tcW w:type="dxa" w:w="2438"/>
          </w:tcPr>
          <w:p>
            <w:pPr>
              <w:spacing w:after="0" w:line="240" w:lineRule="auto"/>
            </w:pPr>
            <w:r/>
            <w:r>
              <w:rPr>
                <w:b w:val="0"/>
                <w:i w:val="0"/>
                <w:color w:val="1A1A1A"/>
                <w:sz w:val="17"/>
              </w:rPr>
              <w:t>What is one city's year like?</w:t>
            </w:r>
          </w:p>
        </w:tc>
        <w:tc>
          <w:tcPr>
            <w:tcW w:type="dxa" w:w="2438"/>
          </w:tcPr>
          <w:p>
            <w:pPr>
              <w:spacing w:after="0" w:line="240" w:lineRule="auto"/>
            </w:pPr>
            <w:r/>
            <w:r>
              <w:rPr>
                <w:b w:val="0"/>
                <w:i w:val="0"/>
                <w:color w:val="1A1A1A"/>
                <w:sz w:val="17"/>
              </w:rPr>
              <w:t>City × month heatmap, a one-line summary sentence, AQI bands by year in the CPCB colour order, a 7-day PM2.5 line, worst monitoring stations</w:t>
            </w:r>
          </w:p>
        </w:tc>
        <w:tc>
          <w:tcPr>
            <w:tcW w:type="dxa" w:w="2438"/>
          </w:tcPr>
          <w:p>
            <w:pPr>
              <w:spacing w:after="0" w:line="240" w:lineRule="auto"/>
            </w:pPr>
            <w:r/>
            <w:r>
              <w:rPr>
                <w:b w:val="0"/>
                <w:i w:val="0"/>
                <w:color w:val="1A1A1A"/>
                <w:sz w:val="17"/>
              </w:rPr>
              <w:t>Click a city in the heatmap or pick it from a dropdown to filter the page</w:t>
            </w:r>
          </w:p>
        </w:tc>
      </w:tr>
      <w:tr>
        <w:tc>
          <w:tcPr>
            <w:tcW w:type="dxa" w:w="2438"/>
          </w:tcPr>
          <w:p>
            <w:pPr>
              <w:spacing w:after="0" w:line="240" w:lineRule="auto"/>
            </w:pPr>
            <w:r/>
            <w:r>
              <w:rPr>
                <w:b w:val="0"/>
                <w:i w:val="0"/>
                <w:color w:val="1A1A1A"/>
                <w:sz w:val="17"/>
              </w:rPr>
              <w:t>Lockdown</w:t>
            </w:r>
          </w:p>
        </w:tc>
        <w:tc>
          <w:tcPr>
            <w:tcW w:type="dxa" w:w="2438"/>
          </w:tcPr>
          <w:p>
            <w:pPr>
              <w:spacing w:after="0" w:line="240" w:lineRule="auto"/>
            </w:pPr>
            <w:r/>
            <w:r>
              <w:rPr>
                <w:b w:val="0"/>
                <w:i w:val="0"/>
                <w:color w:val="1A1A1A"/>
                <w:sz w:val="17"/>
              </w:rPr>
              <w:t>What did the lockdown really change?</w:t>
            </w:r>
          </w:p>
        </w:tc>
        <w:tc>
          <w:tcPr>
            <w:tcW w:type="dxa" w:w="2438"/>
          </w:tcPr>
          <w:p>
            <w:pPr>
              <w:spacing w:after="0" w:line="240" w:lineRule="auto"/>
            </w:pPr>
            <w:r/>
            <w:r>
              <w:rPr>
                <w:b w:val="0"/>
                <w:i w:val="0"/>
                <w:color w:val="1A1A1A"/>
                <w:sz w:val="17"/>
              </w:rPr>
              <w:t>Naive vs weather-adjusted change, the share due to weather, actual vs expected PM2.5 or NO₂ with an 80% band and a marker on 25 March, naive vs adjusted by city</w:t>
            </w:r>
          </w:p>
        </w:tc>
        <w:tc>
          <w:tcPr>
            <w:tcW w:type="dxa" w:w="2438"/>
          </w:tcPr>
          <w:p>
            <w:pPr>
              <w:spacing w:after="0" w:line="240" w:lineRule="auto"/>
            </w:pPr>
            <w:r/>
            <w:r>
              <w:rPr>
                <w:b w:val="0"/>
                <w:i w:val="0"/>
                <w:color w:val="1A1A1A"/>
                <w:sz w:val="17"/>
              </w:rPr>
              <w:t>Choose the city and pollutant (opens on Delhi, PM2.5)</w:t>
            </w:r>
          </w:p>
        </w:tc>
      </w:tr>
      <w:tr>
        <w:tc>
          <w:tcPr>
            <w:tcW w:type="dxa" w:w="2438"/>
          </w:tcPr>
          <w:p>
            <w:pPr>
              <w:spacing w:after="0" w:line="240" w:lineRule="auto"/>
            </w:pPr>
            <w:r/>
            <w:r>
              <w:rPr>
                <w:b w:val="0"/>
                <w:i w:val="0"/>
                <w:color w:val="1A1A1A"/>
                <w:sz w:val="17"/>
              </w:rPr>
              <w:t>Early warning</w:t>
            </w:r>
          </w:p>
        </w:tc>
        <w:tc>
          <w:tcPr>
            <w:tcW w:type="dxa" w:w="2438"/>
          </w:tcPr>
          <w:p>
            <w:pPr>
              <w:spacing w:after="0" w:line="240" w:lineRule="auto"/>
            </w:pPr>
            <w:r/>
            <w:r>
              <w:rPr>
                <w:b w:val="0"/>
                <w:i w:val="0"/>
                <w:color w:val="1A1A1A"/>
                <w:sz w:val="17"/>
              </w:rPr>
              <w:t>Can we warn a day ahead?</w:t>
            </w:r>
          </w:p>
        </w:tc>
        <w:tc>
          <w:tcPr>
            <w:tcW w:type="dxa" w:w="2438"/>
          </w:tcPr>
          <w:p>
            <w:pPr>
              <w:spacing w:after="0" w:line="240" w:lineRule="auto"/>
            </w:pPr>
            <w:r/>
            <w:r>
              <w:rPr>
                <w:b w:val="0"/>
                <w:i w:val="0"/>
                <w:color w:val="1A1A1A"/>
                <w:sz w:val="17"/>
              </w:rPr>
              <w:t>Model vs baseline accuracy, Poor-or-worse days caught, confusion matrix, top 10 inputs, models compared on macro F1, Delhi predicted vs actual</w:t>
            </w:r>
          </w:p>
        </w:tc>
        <w:tc>
          <w:tcPr>
            <w:tcW w:type="dxa" w:w="2438"/>
          </w:tcPr>
          <w:p>
            <w:pPr>
              <w:spacing w:after="0" w:line="240" w:lineRule="auto"/>
            </w:pPr>
            <w:r/>
            <w:r>
              <w:rPr>
                <w:b w:val="0"/>
                <w:i w:val="0"/>
                <w:color w:val="1A1A1A"/>
                <w:sz w:val="17"/>
              </w:rPr>
              <w:t>Switch Test to Lockdown to watch the model fall below the baseline</w:t>
            </w:r>
          </w:p>
        </w:tc>
      </w:tr>
      <w:tr>
        <w:tc>
          <w:tcPr>
            <w:tcW w:type="dxa" w:w="2438"/>
          </w:tcPr>
          <w:p>
            <w:pPr>
              <w:spacing w:after="0" w:line="240" w:lineRule="auto"/>
            </w:pPr>
            <w:r/>
            <w:r>
              <w:rPr>
                <w:b w:val="0"/>
                <w:i w:val="0"/>
                <w:color w:val="1A1A1A"/>
                <w:sz w:val="17"/>
              </w:rPr>
              <w:t>Data quality</w:t>
            </w:r>
          </w:p>
        </w:tc>
        <w:tc>
          <w:tcPr>
            <w:tcW w:type="dxa" w:w="2438"/>
          </w:tcPr>
          <w:p>
            <w:pPr>
              <w:spacing w:after="0" w:line="240" w:lineRule="auto"/>
            </w:pPr>
            <w:r/>
            <w:r>
              <w:rPr>
                <w:b w:val="0"/>
                <w:i w:val="0"/>
                <w:color w:val="1A1A1A"/>
                <w:sz w:val="17"/>
              </w:rPr>
              <w:t>Can these numbers be trusted?</w:t>
            </w:r>
          </w:p>
        </w:tc>
        <w:tc>
          <w:tcPr>
            <w:tcW w:type="dxa" w:w="2438"/>
          </w:tcPr>
          <w:p>
            <w:pPr>
              <w:spacing w:after="0" w:line="240" w:lineRule="auto"/>
            </w:pPr>
            <w:r/>
            <w:r>
              <w:rPr>
                <w:b w:val="0"/>
                <w:i w:val="0"/>
                <w:color w:val="1A1A1A"/>
                <w:sz w:val="17"/>
              </w:rPr>
              <w:t>Cleaning decisions and sensor faults counted, Ahmedabad's official vs corrected AQI, missing values before vs after, the full cleaning log</w:t>
            </w:r>
          </w:p>
        </w:tc>
        <w:tc>
          <w:tcPr>
            <w:tcW w:type="dxa" w:w="2438"/>
          </w:tcPr>
          <w:p>
            <w:pPr>
              <w:spacing w:after="0" w:line="240" w:lineRule="auto"/>
            </w:pPr>
            <w:r/>
            <w:r>
              <w:rPr>
                <w:b w:val="0"/>
                <w:i w:val="0"/>
                <w:color w:val="1A1A1A"/>
                <w:sz w:val="17"/>
              </w:rPr>
              <w:t>Read every decision and its reason</w:t>
            </w:r>
          </w:p>
        </w:tc>
      </w:tr>
    </w:tbl>
    <w:p>
      <w:pPr>
        <w:spacing w:after="40"/>
      </w:pPr>
    </w:p>
    <w:p>
      <w:pPr>
        <w:keepNext/>
        <w:spacing w:after="40"/>
        <w:jc w:val="center"/>
      </w:pPr>
      <w:r>
        <w:drawing>
          <wp:inline xmlns:a="http://schemas.openxmlformats.org/drawingml/2006/main" xmlns:pic="http://schemas.openxmlformats.org/drawingml/2006/picture">
            <wp:extent cx="5580000" cy="3226988"/>
            <wp:docPr id="2" name="Picture 2"/>
            <wp:cNvGraphicFramePr>
              <a:graphicFrameLocks noChangeAspect="1"/>
            </wp:cNvGraphicFramePr>
            <a:graphic>
              <a:graphicData uri="http://schemas.openxmlformats.org/drawingml/2006/picture">
                <pic:pic>
                  <pic:nvPicPr>
                    <pic:cNvPr id="0" name="dashboard_1_overview.png"/>
                    <pic:cNvPicPr/>
                  </pic:nvPicPr>
                  <pic:blipFill>
                    <a:blip r:embed="rId15"/>
                    <a:stretch>
                      <a:fillRect/>
                    </a:stretch>
                  </pic:blipFill>
                  <pic:spPr>
                    <a:xfrm>
                      <a:off x="0" y="0"/>
                      <a:ext cx="5580000" cy="3226988"/>
                    </a:xfrm>
                    <a:prstGeom prst="rect"/>
                  </pic:spPr>
                </pic:pic>
              </a:graphicData>
            </a:graphic>
          </wp:inline>
        </w:drawing>
      </w:r>
    </w:p>
    <w:p>
      <w:pPr>
        <w:spacing w:after="160" w:before="0" w:line="259" w:lineRule="auto"/>
        <w:jc w:val="center"/>
      </w:pPr>
      <w:r>
        <w:rPr>
          <w:b w:val="0"/>
          <w:i/>
          <w:color w:val="52514E"/>
          <w:sz w:val="17"/>
        </w:rPr>
        <w:t>Figure 2. The Overview page: headline numbers, city map, seasonal curve and the cities that break the limit most often.</w:t>
      </w:r>
    </w:p>
    <w:p>
      <w:pPr>
        <w:spacing w:after="80" w:before="0" w:line="259" w:lineRule="auto"/>
      </w:pPr>
      <w:r>
        <w:rPr>
          <w:b w:val="0"/>
          <w:i w:val="0"/>
          <w:color w:val="1A1A1A"/>
          <w:sz w:val="20"/>
        </w:rPr>
        <w:t>The report is generated from code (</w:t>
      </w:r>
      <w:r>
        <w:rPr>
          <w:rFonts w:ascii="Consolas" w:hAnsi="Consolas"/>
          <w:color w:val="52514E"/>
          <w:sz w:val="18"/>
        </w:rPr>
        <w:t>src/build_powerbi_project.py</w:t>
      </w:r>
      <w:r>
        <w:rPr>
          <w:b w:val="0"/>
          <w:i w:val="0"/>
          <w:color w:val="1A1A1A"/>
          <w:sz w:val="20"/>
        </w:rPr>
        <w:t xml:space="preserve">) as a Power BI project, checked with Microsoft's report validator, opened and refreshed in Power BI Desktop, then saved as the </w:t>
      </w:r>
      <w:r>
        <w:rPr>
          <w:rFonts w:ascii="Consolas" w:hAnsi="Consolas"/>
          <w:color w:val="52514E"/>
          <w:sz w:val="18"/>
        </w:rPr>
        <w:t>.pbix</w:t>
      </w:r>
      <w:r>
        <w:rPr>
          <w:b w:val="0"/>
          <w:i w:val="0"/>
          <w:color w:val="1A1A1A"/>
          <w:sz w:val="20"/>
        </w:rPr>
        <w:t>. A custom theme, page backgrounds and a colour-blind-checked palette keep the five pages consistent.</w:t>
      </w:r>
    </w:p>
    <w:p>
      <w:pPr>
        <w:pStyle w:val="Heading2"/>
        <w:keepNext/>
        <w:spacing w:before="200" w:after="60"/>
      </w:pPr>
      <w:r>
        <w:rPr>
          <w:rFonts w:ascii="Calibri" w:hAnsi="Calibri"/>
          <w:b/>
          <w:color w:val="0D366B"/>
          <w:sz w:val="26"/>
        </w:rPr>
        <w:t>6. Insights</w:t>
      </w:r>
    </w:p>
    <w:p>
      <w:pPr>
        <w:spacing w:after="80" w:before="0" w:line="259" w:lineRule="auto"/>
      </w:pPr>
      <w:r>
        <w:rPr>
          <w:b w:val="0"/>
          <w:i w:val="0"/>
          <w:color w:val="1A1A1A"/>
          <w:sz w:val="20"/>
        </w:rPr>
        <w:t>Five findings, each tested against the cleaned data rather than assumed. The first two would have been wrong without the wrangling.</w:t>
      </w:r>
    </w:p>
    <w:p>
      <w:pPr>
        <w:pStyle w:val="ListNumber"/>
        <w:spacing w:after="40" w:line="252" w:lineRule="auto"/>
      </w:pPr>
      <w:r>
        <w:rPr>
          <w:b/>
          <w:i w:val="0"/>
          <w:color w:val="1A1A1A"/>
          <w:sz w:val="20"/>
        </w:rPr>
        <w:t>India's "most polluted city" in this data is a data error.</w:t>
      </w:r>
      <w:r>
        <w:rPr>
          <w:b w:val="0"/>
          <w:i w:val="0"/>
          <w:color w:val="1A1A1A"/>
          <w:sz w:val="20"/>
        </w:rPr>
        <w:t xml:space="preserve"> On official numbers Ahmedabad ranks first, with a median AQI of 384. Its CO column copies its NO column, and CO drove 95% of its AQI-above-400 days. Corrected, its median AQI is 125 and it ranks seventh.</w:t>
      </w:r>
    </w:p>
    <w:p>
      <w:pPr>
        <w:pStyle w:val="ListNumber"/>
        <w:spacing w:after="40" w:line="252" w:lineRule="auto"/>
      </w:pPr>
      <w:r>
        <w:rPr>
          <w:b/>
          <w:i w:val="0"/>
          <w:color w:val="1A1A1A"/>
          <w:sz w:val="20"/>
        </w:rPr>
        <w:t>North India's winter air carries 3.3 times the PM2.5 of its monsoon air.</w:t>
      </w:r>
      <w:r>
        <w:rPr>
          <w:b w:val="0"/>
          <w:i w:val="0"/>
          <w:color w:val="1A1A1A"/>
          <w:sz w:val="20"/>
        </w:rPr>
        <w:t xml:space="preserve"> The median November–January day reaches 148 µg/m³, about 2.5 times the national 24-hour limit of 60, against 44 in June–September. Coastal cities swing only 2.2 times. Delhi and Gurugram break the limit on 72% of days.</w:t>
      </w:r>
    </w:p>
    <w:p>
      <w:pPr>
        <w:pStyle w:val="ListNumber"/>
        <w:spacing w:after="40" w:line="252" w:lineRule="auto"/>
      </w:pPr>
      <w:r>
        <w:rPr>
          <w:b/>
          <w:i w:val="0"/>
          <w:color w:val="1A1A1A"/>
          <w:sz w:val="20"/>
        </w:rPr>
        <w:t>Rain cleans the air, but a third as much as it seems.</w:t>
      </w:r>
      <w:r>
        <w:rPr>
          <w:b w:val="0"/>
          <w:i w:val="0"/>
          <w:color w:val="1A1A1A"/>
          <w:sz w:val="20"/>
        </w:rPr>
        <w:t xml:space="preserve"> A raw comparison says heavy-rain days have 65% less PM2.5 than dry days. Against the same city in the same month the washout effect is 23%, because heavy rain mostly falls in the already-clean monsoon. Wind matters less: the windiest quarter of days is 10% cleaner than the calmest.</w:t>
      </w:r>
    </w:p>
    <w:p>
      <w:pPr>
        <w:pStyle w:val="ListNumber"/>
        <w:spacing w:after="40" w:line="252" w:lineRule="auto"/>
      </w:pPr>
      <w:r>
        <w:rPr>
          <w:b/>
          <w:i w:val="0"/>
          <w:color w:val="1A1A1A"/>
          <w:sz w:val="20"/>
        </w:rPr>
        <w:t>The lockdown cut particles and NO₂, but not ozone, and the weather flattered the particles.</w:t>
      </w:r>
      <w:r>
        <w:rPr>
          <w:b w:val="0"/>
          <w:i w:val="0"/>
          <w:color w:val="1A1A1A"/>
          <w:sz w:val="20"/>
        </w:rPr>
        <w:t xml:space="preserve"> Against spring 2019, PM2.5 fell about 40% and NO₂ about 45% (median city), while ozone barely moved (−2%) and rose in 8 of 18 cities: less traffic NO left more ozone intact. With weather removed (Model B), the real PM2.5 effect is −28%.</w:t>
      </w:r>
    </w:p>
    <w:p>
      <w:pPr>
        <w:pStyle w:val="ListNumber"/>
        <w:spacing w:after="40" w:line="252" w:lineRule="auto"/>
      </w:pPr>
      <w:r>
        <w:rPr>
          <w:b/>
          <w:i w:val="0"/>
          <w:color w:val="1A1A1A"/>
          <w:sz w:val="20"/>
        </w:rPr>
        <w:t>Diwali leaves a mark every year.</w:t>
      </w:r>
      <w:r>
        <w:rPr>
          <w:b w:val="0"/>
          <w:i w:val="0"/>
          <w:color w:val="1A1A1A"/>
          <w:sz w:val="20"/>
        </w:rPr>
        <w:t xml:space="preserve"> In North India, PM2.5 on the day after Diwali is about 2.5 times its level in the week before (other cities: 1.9 times). It peaks the day after because daily averages run midnight to midnight and fireworks run late.</w:t>
      </w:r>
    </w:p>
    <w:p>
      <w:pPr>
        <w:keepNext/>
        <w:spacing w:after="40"/>
        <w:jc w:val="center"/>
      </w:pPr>
      <w:r>
        <w:drawing>
          <wp:inline xmlns:a="http://schemas.openxmlformats.org/drawingml/2006/main" xmlns:pic="http://schemas.openxmlformats.org/drawingml/2006/picture">
            <wp:extent cx="4140000" cy="2587053"/>
            <wp:docPr id="3" name="Picture 3"/>
            <wp:cNvGraphicFramePr>
              <a:graphicFrameLocks noChangeAspect="1"/>
            </wp:cNvGraphicFramePr>
            <a:graphic>
              <a:graphicData uri="http://schemas.openxmlformats.org/drawingml/2006/picture">
                <pic:pic>
                  <pic:nvPicPr>
                    <pic:cNvPr id="0" name="04_insight_ranking_error.png"/>
                    <pic:cNvPicPr/>
                  </pic:nvPicPr>
                  <pic:blipFill>
                    <a:blip r:embed="rId16"/>
                    <a:stretch>
                      <a:fillRect/>
                    </a:stretch>
                  </pic:blipFill>
                  <pic:spPr>
                    <a:xfrm>
                      <a:off x="0" y="0"/>
                      <a:ext cx="4140000" cy="2587053"/>
                    </a:xfrm>
                    <a:prstGeom prst="rect"/>
                  </pic:spPr>
                </pic:pic>
              </a:graphicData>
            </a:graphic>
          </wp:inline>
        </w:drawing>
      </w:r>
    </w:p>
    <w:p>
      <w:pPr>
        <w:spacing w:after="160" w:before="0" w:line="259" w:lineRule="auto"/>
        <w:jc w:val="center"/>
      </w:pPr>
      <w:r>
        <w:rPr>
          <w:b w:val="0"/>
          <w:i/>
          <w:color w:val="52514E"/>
          <w:sz w:val="17"/>
        </w:rPr>
        <w:t>Figure 3. Median daily AQI, official (grey) against cleaned (blue). Only Ahmedabad moves materially: from first to seventh.</w:t>
      </w:r>
    </w:p>
    <w:p>
      <w:pPr>
        <w:pStyle w:val="Heading2"/>
        <w:keepNext/>
        <w:spacing w:before="200" w:after="60"/>
      </w:pPr>
      <w:r>
        <w:rPr>
          <w:rFonts w:ascii="Calibri" w:hAnsi="Calibri"/>
          <w:b/>
          <w:color w:val="0D366B"/>
          <w:sz w:val="26"/>
        </w:rPr>
        <w:t>7. Limitations</w:t>
      </w:r>
    </w:p>
    <w:p>
      <w:pPr>
        <w:spacing w:after="80" w:before="0" w:line="259" w:lineRule="auto"/>
      </w:pPr>
      <w:r>
        <w:rPr>
          <w:b w:val="0"/>
          <w:i w:val="0"/>
          <w:color w:val="1A1A1A"/>
          <w:sz w:val="20"/>
        </w:rPr>
        <w:t>The conclusions hold for the monitored parts of 26 cities from 2015 to mid-2020; these are the places where they could be biased.</w:t>
      </w:r>
    </w:p>
    <w:p>
      <w:pPr>
        <w:pStyle w:val="ListBullet"/>
        <w:spacing w:after="40" w:line="252" w:lineRule="auto"/>
      </w:pPr>
      <w:r>
        <w:rPr>
          <w:b/>
          <w:i w:val="0"/>
          <w:color w:val="1A1A1A"/>
          <w:sz w:val="20"/>
        </w:rPr>
        <w:t>Measurement, not exposure.</w:t>
      </w:r>
      <w:r>
        <w:rPr>
          <w:b w:val="0"/>
          <w:i w:val="0"/>
          <w:color w:val="1A1A1A"/>
          <w:sz w:val="20"/>
        </w:rPr>
        <w:t xml:space="preserve"> A city's value averages a handful of stations (it matches the station average with r = 0.997), so it describes the monitored areas, not every neighbourhood.</w:t>
      </w:r>
    </w:p>
    <w:p>
      <w:pPr>
        <w:pStyle w:val="ListBullet"/>
        <w:spacing w:after="40" w:line="252" w:lineRule="auto"/>
      </w:pPr>
      <w:r>
        <w:rPr>
          <w:b/>
          <w:i w:val="0"/>
          <w:color w:val="1A1A1A"/>
          <w:sz w:val="20"/>
        </w:rPr>
        <w:t>Uneven coverage.</w:t>
      </w:r>
      <w:r>
        <w:rPr>
          <w:b w:val="0"/>
          <w:i w:val="0"/>
          <w:color w:val="1A1A1A"/>
          <w:sz w:val="20"/>
        </w:rPr>
        <w:t xml:space="preserve"> Only 7 cities report AQI from 2015 and Mumbai has nothing before 2018. Rankings use each city's own period, and late-starting cities are missing from Model A's training years.</w:t>
      </w:r>
    </w:p>
    <w:p>
      <w:pPr>
        <w:pStyle w:val="ListBullet"/>
        <w:spacing w:after="40" w:line="252" w:lineRule="auto"/>
      </w:pPr>
      <w:r>
        <w:rPr>
          <w:b/>
          <w:i w:val="0"/>
          <w:color w:val="1A1A1A"/>
          <w:sz w:val="20"/>
        </w:rPr>
        <w:t>Our corrections are assumptions.</w:t>
      </w:r>
      <w:r>
        <w:rPr>
          <w:b w:val="0"/>
          <w:i w:val="0"/>
          <w:color w:val="1A1A1A"/>
          <w:sz w:val="20"/>
        </w:rPr>
        <w:t xml:space="preserve"> Ahmedabad's AQI is our recalculation from daily averages; CPCB uses hourly data with 8-hour maxima for CO and ozone. It agrees with the official AQI within one category 99% of the time, not exactly.</w:t>
      </w:r>
    </w:p>
    <w:p>
      <w:pPr>
        <w:pStyle w:val="ListBullet"/>
        <w:spacing w:after="40" w:line="252" w:lineRule="auto"/>
      </w:pPr>
      <w:r>
        <w:rPr>
          <w:b/>
          <w:i w:val="0"/>
          <w:color w:val="1A1A1A"/>
          <w:sz w:val="20"/>
        </w:rPr>
        <w:t>Removing sensor faults is a judgement.</w:t>
      </w:r>
      <w:r>
        <w:rPr>
          <w:b w:val="0"/>
          <w:i w:val="0"/>
          <w:color w:val="1A1A1A"/>
          <w:sz w:val="20"/>
        </w:rPr>
        <w:t xml:space="preserve"> A 3.5-SD rule with Diwali and crop-burning exceptions could drop a rare real spike outside those windows. Interpolating 1–3 day gaps also smooths some real day-to-day variation.</w:t>
      </w:r>
    </w:p>
    <w:p>
      <w:pPr>
        <w:pStyle w:val="ListBullet"/>
        <w:spacing w:after="40" w:line="252" w:lineRule="auto"/>
      </w:pPr>
      <w:r>
        <w:rPr>
          <w:b/>
          <w:i w:val="0"/>
          <w:color w:val="1A1A1A"/>
          <w:sz w:val="20"/>
        </w:rPr>
        <w:t>Model A uses tomorrow's actual weather</w:t>
      </w:r>
      <w:r>
        <w:rPr>
          <w:b w:val="0"/>
          <w:i w:val="0"/>
          <w:color w:val="1A1A1A"/>
          <w:sz w:val="20"/>
        </w:rPr>
        <w:t xml:space="preserve"> as a stand-in for a forecast. A deployed system would be somewhat less accurate.</w:t>
      </w:r>
    </w:p>
    <w:p>
      <w:pPr>
        <w:pStyle w:val="ListBullet"/>
        <w:spacing w:after="40" w:line="252" w:lineRule="auto"/>
      </w:pPr>
      <w:r>
        <w:rPr>
          <w:b/>
          <w:i w:val="0"/>
          <w:color w:val="1A1A1A"/>
          <w:sz w:val="20"/>
        </w:rPr>
        <w:t>Model B assumes 2015–19 "normal" would have continued in 2020.</w:t>
      </w:r>
      <w:r>
        <w:rPr>
          <w:b w:val="0"/>
          <w:i w:val="0"/>
          <w:color w:val="1A1A1A"/>
          <w:sz w:val="20"/>
        </w:rPr>
        <w:t xml:space="preserve"> Anything else that changed that spring, such as fireworks rules or crop burning, lands in the "lockdown effect". Its 80% band covered 73% of days.</w:t>
      </w:r>
    </w:p>
    <w:p>
      <w:pPr>
        <w:pStyle w:val="ListBullet"/>
        <w:spacing w:after="40" w:line="252" w:lineRule="auto"/>
      </w:pPr>
      <w:r>
        <w:rPr>
          <w:b/>
          <w:i w:val="0"/>
          <w:color w:val="1A1A1A"/>
          <w:sz w:val="20"/>
        </w:rPr>
        <w:t>Weather is reanalysis.</w:t>
      </w:r>
      <w:r>
        <w:rPr>
          <w:b w:val="0"/>
          <w:i w:val="0"/>
          <w:color w:val="1A1A1A"/>
          <w:sz w:val="20"/>
        </w:rPr>
        <w:t xml:space="preserve"> ERA5 is a roughly 25 km grid and smooths local extremes.</w:t>
      </w:r>
    </w:p>
    <w:p>
      <w:pPr>
        <w:pStyle w:val="ListBullet"/>
        <w:spacing w:after="40" w:line="252" w:lineRule="auto"/>
      </w:pPr>
      <w:r>
        <w:rPr>
          <w:b/>
          <w:i w:val="0"/>
          <w:color w:val="1A1A1A"/>
          <w:sz w:val="20"/>
        </w:rPr>
        <w:t>The data ends on 1 July 2020,</w:t>
      </w:r>
      <w:r>
        <w:rPr>
          <w:b w:val="0"/>
          <w:i w:val="0"/>
          <w:color w:val="1A1A1A"/>
          <w:sz w:val="20"/>
        </w:rPr>
        <w:t xml:space="preserve"> so how fast pollution returned after unlocking is not covered.</w:t>
      </w:r>
    </w:p>
    <w:p>
      <w:pPr>
        <w:pStyle w:val="Heading2"/>
        <w:keepNext/>
        <w:spacing w:before="200" w:after="60"/>
      </w:pPr>
      <w:r>
        <w:rPr>
          <w:rFonts w:ascii="Calibri" w:hAnsi="Calibri"/>
          <w:b/>
          <w:color w:val="0D366B"/>
          <w:sz w:val="26"/>
        </w:rPr>
        <w:t>8. Contribution statement</w:t>
      </w:r>
    </w:p>
    <w:tbl>
      <w:tblPr>
        <w:tblW w:type="auto" w:w="0"/>
        <w:jc w:val="center"/>
        <w:tblLayout w:type="autofit"/>
        <w:tblLook w:firstColumn="1" w:firstRow="1" w:lastColumn="0" w:lastRow="0" w:noHBand="0" w:noVBand="1" w:val="04A0"/>
        <w:tblBorders>
          <w:top w:val="single" w:sz="4" w:color="C3C2B7"/>
          <w:bottom w:val="single" w:sz="4" w:color="C3C2B7"/>
          <w:insideH w:val="single" w:sz="4" w:color="C3C2B7"/>
          <w:left w:val="nil"/>
          <w:right w:val="nil"/>
          <w:insideV w:val="nil"/>
        </w:tblBorders>
        <w:tblCellMar>
          <w:top w:w="40" w:type="dxa"/>
          <w:left w:w="70" w:type="dxa"/>
          <w:bottom w:w="40" w:type="dxa"/>
          <w:right w:w="70" w:type="dxa"/>
        </w:tblCellMar>
      </w:tblPr>
      <w:tblGrid>
        <w:gridCol w:w="4876"/>
        <w:gridCol w:w="4876"/>
      </w:tblGrid>
      <w:tr>
        <w:tc>
          <w:tcPr>
            <w:tcW w:type="dxa" w:w="4876"/>
            <w:shd w:val="clear" w:color="auto" w:fill="E8EEF7"/>
          </w:tcPr>
          <w:p>
            <w:pPr>
              <w:spacing w:after="0" w:line="240" w:lineRule="auto"/>
            </w:pPr>
            <w:r/>
            <w:r>
              <w:rPr>
                <w:b/>
                <w:i w:val="0"/>
                <w:color w:val="1A1A1A"/>
                <w:sz w:val="17"/>
              </w:rPr>
              <w:t>Member</w:t>
            </w:r>
          </w:p>
        </w:tc>
        <w:tc>
          <w:tcPr>
            <w:tcW w:type="dxa" w:w="4876"/>
            <w:shd w:val="clear" w:color="auto" w:fill="E8EEF7"/>
          </w:tcPr>
          <w:p>
            <w:pPr>
              <w:spacing w:after="0" w:line="240" w:lineRule="auto"/>
            </w:pPr>
            <w:r/>
            <w:r>
              <w:rPr>
                <w:b/>
                <w:i w:val="0"/>
                <w:color w:val="1A1A1A"/>
                <w:sz w:val="17"/>
              </w:rPr>
              <w:t>Primary responsibility</w:t>
            </w:r>
          </w:p>
        </w:tc>
      </w:tr>
      <w:tr>
        <w:tc>
          <w:tcPr>
            <w:tcW w:type="dxa" w:w="4876"/>
          </w:tcPr>
          <w:p>
            <w:pPr>
              <w:spacing w:after="0" w:line="240" w:lineRule="auto"/>
            </w:pPr>
            <w:r/>
            <w:r>
              <w:rPr>
                <w:b w:val="0"/>
                <w:i w:val="0"/>
                <w:color w:val="1A1A1A"/>
                <w:sz w:val="17"/>
              </w:rPr>
              <w:t>Mahak Wadhawan (L074)</w:t>
            </w:r>
          </w:p>
        </w:tc>
        <w:tc>
          <w:tcPr>
            <w:tcW w:type="dxa" w:w="4876"/>
          </w:tcPr>
          <w:p>
            <w:pPr>
              <w:spacing w:after="0" w:line="240" w:lineRule="auto"/>
            </w:pPr>
            <w:r/>
            <w:r>
              <w:rPr>
                <w:b w:val="0"/>
                <w:i w:val="0"/>
                <w:color w:val="1A1A1A"/>
                <w:sz w:val="17"/>
              </w:rPr>
              <w:t>Transformation and feature engineering, the three machine-learning models, the Power BI dashboard</w:t>
            </w:r>
          </w:p>
        </w:tc>
      </w:tr>
      <w:tr>
        <w:tc>
          <w:tcPr>
            <w:tcW w:type="dxa" w:w="4876"/>
          </w:tcPr>
          <w:p>
            <w:pPr>
              <w:spacing w:after="0" w:line="240" w:lineRule="auto"/>
            </w:pPr>
            <w:r/>
            <w:r>
              <w:rPr>
                <w:b w:val="0"/>
                <w:i w:val="0"/>
                <w:color w:val="1A1A1A"/>
                <w:sz w:val="17"/>
              </w:rPr>
              <w:t>Yash Shah (L056)</w:t>
            </w:r>
          </w:p>
        </w:tc>
        <w:tc>
          <w:tcPr>
            <w:tcW w:type="dxa" w:w="4876"/>
          </w:tcPr>
          <w:p>
            <w:pPr>
              <w:spacing w:after="0" w:line="240" w:lineRule="auto"/>
            </w:pPr>
            <w:r/>
            <w:r>
              <w:rPr>
                <w:b w:val="0"/>
                <w:i w:val="0"/>
                <w:color w:val="1A1A1A"/>
                <w:sz w:val="17"/>
              </w:rPr>
              <w:t>Data extraction (Kaggle download, Open-Meteo APIs), cleaning and the cleaning log, SQLite and Parquet storage</w:t>
            </w:r>
          </w:p>
        </w:tc>
      </w:tr>
      <w:tr>
        <w:tc>
          <w:tcPr>
            <w:tcW w:type="dxa" w:w="4876"/>
          </w:tcPr>
          <w:p>
            <w:pPr>
              <w:spacing w:after="0" w:line="240" w:lineRule="auto"/>
            </w:pPr>
            <w:r/>
            <w:r>
              <w:rPr>
                <w:b w:val="0"/>
                <w:i w:val="0"/>
                <w:color w:val="1A1A1A"/>
                <w:sz w:val="17"/>
              </w:rPr>
              <w:t>Both</w:t>
            </w:r>
          </w:p>
        </w:tc>
        <w:tc>
          <w:tcPr>
            <w:tcW w:type="dxa" w:w="4876"/>
          </w:tcPr>
          <w:p>
            <w:pPr>
              <w:spacing w:after="0" w:line="240" w:lineRule="auto"/>
            </w:pPr>
            <w:r/>
            <w:r>
              <w:rPr>
                <w:b w:val="0"/>
                <w:i w:val="0"/>
                <w:color w:val="1A1A1A"/>
                <w:sz w:val="17"/>
              </w:rPr>
              <w:t>Insights, this report and the presentation</w:t>
            </w:r>
          </w:p>
        </w:tc>
      </w:tr>
    </w:tbl>
    <w:p>
      <w:pPr>
        <w:spacing w:after="40"/>
      </w:pPr>
    </w:p>
    <w:p>
      <w:pPr>
        <w:pStyle w:val="Heading2"/>
        <w:keepNext/>
        <w:spacing w:before="200" w:after="60"/>
      </w:pPr>
      <w:r>
        <w:rPr>
          <w:rFonts w:ascii="Calibri" w:hAnsi="Calibri"/>
          <w:b/>
          <w:color w:val="0D366B"/>
          <w:sz w:val="26"/>
        </w:rPr>
        <w:t>References</w:t>
      </w:r>
    </w:p>
    <w:p>
      <w:pPr>
        <w:spacing w:after="40" w:before="0" w:line="259" w:lineRule="auto"/>
        <w:ind w:left="340" w:hanging="340"/>
      </w:pPr>
      <w:r>
        <w:rPr>
          <w:b w:val="0"/>
          <w:i w:val="0"/>
          <w:color w:val="1A1A1A"/>
          <w:sz w:val="18"/>
        </w:rPr>
        <w:t xml:space="preserve">1. Central Pollution Control Board (2014). </w:t>
      </w:r>
      <w:r>
        <w:rPr>
          <w:b w:val="0"/>
          <w:i/>
          <w:color w:val="1A1A1A"/>
          <w:sz w:val="18"/>
        </w:rPr>
        <w:t>National Air Quality Index</w:t>
      </w:r>
      <w:r>
        <w:rPr>
          <w:b w:val="0"/>
          <w:i w:val="0"/>
          <w:color w:val="1A1A1A"/>
          <w:sz w:val="18"/>
        </w:rPr>
        <w:t>. Ministry of Environment, Forest and Climate Change, Government of India.</w:t>
      </w:r>
    </w:p>
    <w:p>
      <w:pPr>
        <w:spacing w:after="40" w:before="0" w:line="259" w:lineRule="auto"/>
        <w:ind w:left="340" w:hanging="340"/>
      </w:pPr>
      <w:r>
        <w:rPr>
          <w:b w:val="0"/>
          <w:i w:val="0"/>
          <w:color w:val="1A1A1A"/>
          <w:sz w:val="18"/>
        </w:rPr>
        <w:t xml:space="preserve">2. Rao, V. (2020). </w:t>
      </w:r>
      <w:hyperlink r:id="rId11">
        <w:r>
          <w:rPr>
            <w:color w:val="256ABF"/>
            <w:sz w:val="18"/>
          </w:rPr>
          <w:t xml:space="preserve">Air Quality Data in India (2015–2020)</w:t>
        </w:r>
      </w:hyperlink>
      <w:r>
        <w:rPr>
          <w:b w:val="0"/>
          <w:i w:val="0"/>
          <w:color w:val="1A1A1A"/>
          <w:sz w:val="18"/>
        </w:rPr>
        <w:t>. Kaggle; data from the Central Pollution Control Board.</w:t>
      </w:r>
    </w:p>
    <w:p>
      <w:pPr>
        <w:spacing w:after="40" w:before="0" w:line="259" w:lineRule="auto"/>
        <w:ind w:left="340" w:hanging="340"/>
      </w:pPr>
      <w:r>
        <w:rPr>
          <w:b w:val="0"/>
          <w:i w:val="0"/>
          <w:color w:val="1A1A1A"/>
          <w:sz w:val="18"/>
        </w:rPr>
        <w:t xml:space="preserve">3. Zippenfenig, P. (2023). </w:t>
      </w:r>
      <w:hyperlink r:id="rId12">
        <w:r>
          <w:rPr>
            <w:color w:val="256ABF"/>
            <w:sz w:val="18"/>
          </w:rPr>
          <w:t xml:space="preserve">Open-Meteo.com Weather API</w:t>
        </w:r>
      </w:hyperlink>
      <w:r>
        <w:rPr>
          <w:b w:val="0"/>
          <w:i w:val="0"/>
          <w:color w:val="1A1A1A"/>
          <w:sz w:val="18"/>
        </w:rPr>
        <w:t>. Zenodo, doi:10.5281/zenodo.7970649. Licensed CC BY 4.0.</w:t>
      </w:r>
    </w:p>
    <w:p>
      <w:pPr>
        <w:spacing w:after="40" w:before="0" w:line="259" w:lineRule="auto"/>
        <w:ind w:left="340" w:hanging="340"/>
      </w:pPr>
      <w:r>
        <w:rPr>
          <w:b w:val="0"/>
          <w:i w:val="0"/>
          <w:color w:val="1A1A1A"/>
          <w:sz w:val="18"/>
        </w:rPr>
        <w:t xml:space="preserve">4. Hersbach, H. et al. (2020). The ERA5 global reanalysis. </w:t>
      </w:r>
      <w:r>
        <w:rPr>
          <w:b w:val="0"/>
          <w:i/>
          <w:color w:val="1A1A1A"/>
          <w:sz w:val="18"/>
        </w:rPr>
        <w:t>Quarterly Journal of the Royal Meteorological Society</w:t>
      </w:r>
      <w:r>
        <w:rPr>
          <w:b w:val="0"/>
          <w:i w:val="0"/>
          <w:color w:val="1A1A1A"/>
          <w:sz w:val="18"/>
        </w:rPr>
        <w:t>, 146, 1999–2049.</w:t>
      </w:r>
    </w:p>
    <w:p>
      <w:pPr>
        <w:spacing w:after="40" w:before="0" w:line="259" w:lineRule="auto"/>
        <w:ind w:left="340" w:hanging="340"/>
      </w:pPr>
      <w:r>
        <w:rPr>
          <w:b w:val="0"/>
          <w:i w:val="0"/>
          <w:color w:val="1A1A1A"/>
          <w:sz w:val="18"/>
        </w:rPr>
        <w:t>5. Ministry of Home Affairs (2020). Order No. 40-3/2020-DM-I(A) of 24 March 2020 and subsequent lockdown extension orders.</w:t>
      </w:r>
    </w:p>
    <w:p>
      <w:pPr>
        <w:spacing w:after="40" w:before="0" w:line="259" w:lineRule="auto"/>
        <w:ind w:left="340" w:hanging="340"/>
      </w:pPr>
      <w:r>
        <w:rPr>
          <w:b w:val="0"/>
          <w:i w:val="0"/>
          <w:color w:val="1A1A1A"/>
          <w:sz w:val="18"/>
        </w:rPr>
        <w:t xml:space="preserve">6. Central Pollution Control Board (2009). </w:t>
      </w:r>
      <w:r>
        <w:rPr>
          <w:b w:val="0"/>
          <w:i/>
          <w:color w:val="1A1A1A"/>
          <w:sz w:val="18"/>
        </w:rPr>
        <w:t>National Ambient Air Quality Standards</w:t>
      </w:r>
      <w:r>
        <w:rPr>
          <w:b w:val="0"/>
          <w:i w:val="0"/>
          <w:color w:val="1A1A1A"/>
          <w:sz w:val="18"/>
        </w:rPr>
        <w:t xml:space="preserve"> (PM2.5, 24-hour: 60 µg/m³).</w:t>
      </w:r>
    </w:p>
    <w:p>
      <w:pPr>
        <w:spacing w:after="40" w:before="0" w:line="259" w:lineRule="auto"/>
        <w:ind w:left="340" w:hanging="340"/>
      </w:pPr>
      <w:r>
        <w:rPr>
          <w:b w:val="0"/>
          <w:i w:val="0"/>
          <w:color w:val="1A1A1A"/>
          <w:sz w:val="18"/>
        </w:rPr>
        <w:t xml:space="preserve">7. Pedregosa, F. et al. (2011). Scikit-learn: Machine learning in Python. </w:t>
      </w:r>
      <w:r>
        <w:rPr>
          <w:b w:val="0"/>
          <w:i/>
          <w:color w:val="1A1A1A"/>
          <w:sz w:val="18"/>
        </w:rPr>
        <w:t>Journal of Machine Learning Research</w:t>
      </w:r>
      <w:r>
        <w:rPr>
          <w:b w:val="0"/>
          <w:i w:val="0"/>
          <w:color w:val="1A1A1A"/>
          <w:sz w:val="18"/>
        </w:rPr>
        <w:t>, 12, 2825–2830.</w:t>
      </w:r>
    </w:p>
    <w:sectPr w:rsidR="00FC693F" w:rsidRPr="0006063C" w:rsidSect="00034616">
      <w:footerReference w:type="default" r:id="rId9"/>
      <w:pgSz w:w="11906" w:h="16838"/>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Breathe India · Data Wrangling Group Project · page </w:t>
    </w:r>
    <w:r>
      <w:rPr>
        <w:color w:val="52514E"/>
        <w:sz w:val="16"/>
      </w:rPr>
      <w:fldChar w:fldCharType="begin"/>
      <w:instrText xml:space="preserve">PAGE</w:instrText>
      <w:fldChar w:fldCharType="end"/>
    </w:r>
    <w:r>
      <w:rPr>
        <w:color w:val="52514E"/>
        <w:sz w:val="16"/>
      </w:rPr>
      <w:t xml:space="preserve"> of </w:t>
    </w:r>
    <w:r>
      <w:rPr>
        <w:color w:val="52514E"/>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hak2604/breathe-india" TargetMode="External"/><Relationship Id="rId11" Type="http://schemas.openxmlformats.org/officeDocument/2006/relationships/hyperlink" Target="https://www.kaggle.com/datasets/rohanrao/air-quality-data-in-india" TargetMode="External"/><Relationship Id="rId12" Type="http://schemas.openxmlformats.org/officeDocument/2006/relationships/hyperlink" Target="https://open-meteo.com/en/docs/historical-weather-api" TargetMode="External"/><Relationship Id="rId13" Type="http://schemas.openxmlformats.org/officeDocument/2006/relationships/hyperlink" Target="https://open-meteo.com/en/docs/geocoding-api"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Breathe India: What Really Drives Air Pollution in Indian Cities?</dc:title>
  <dc:subject/>
  <dc:creator>Mahak Wadhawan, Yash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