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Branch Manager Compliance Manual (Superseded)</w:t>
      </w:r>
    </w:p>
    <w:p>
      <w:r>
        <w:t xml:space="preserve">Document ID: DOC-10-OLD</w:t>
      </w:r>
    </w:p>
    <w:p>
      <w:r>
        <w:t xml:space="preserve">Version: 1.0 (superseded)</w:t>
      </w:r>
    </w:p>
    <w:p>
      <w:r>
        <w:t xml:space="preserve">Effective Date: 2024-04-01</w:t>
      </w:r>
    </w:p>
    <w:p>
      <w:r>
        <w:t xml:space="preserve">Department: Management</w:t>
      </w:r>
    </w:p>
    <w:p>
      <w:pPr>
        <w:pStyle w:val="Heading1"/>
      </w:pPr>
      <w:r>
        <w:t xml:space="preserve">3. Annual Performance Review</w:t>
      </w:r>
    </w:p>
    <w:p>
      <w:r>
        <w:t xml:space="preserve">Branch Managers should conduct a performance review for direct reports once every two years.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2026-09-27T02:07:14.208Z</dcterms:created>
  <dcterms:modified xsi:type="dcterms:W3CDTF">2026-09-27T02:07:14.208Z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