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Data Privacy and Compliance Policy (Superseded)</w:t>
      </w:r>
    </w:p>
    <w:p>
      <w:r>
        <w:t xml:space="preserve">Document ID: DOC-15-OLD</w:t>
      </w:r>
    </w:p>
    <w:p>
      <w:r>
        <w:t xml:space="preserve">Version: 1.0 (superseded)</w:t>
      </w:r>
    </w:p>
    <w:p>
      <w:r>
        <w:t xml:space="preserve">Effective Date: 2024-08-01</w:t>
      </w:r>
    </w:p>
    <w:p>
      <w:r>
        <w:t xml:space="preserve">Department: Compliance</w:t>
      </w:r>
    </w:p>
    <w:p>
      <w:pPr>
        <w:pStyle w:val="Heading1"/>
      </w:pPr>
      <w:r>
        <w:t xml:space="preserve">2. Data Retention</w:t>
      </w:r>
    </w:p>
    <w:p>
      <w:r>
        <w:t xml:space="preserve">Customer personal data must be retained for no longer than 5 years after the last transaction.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2026-09-27T02:07:14.209Z</dcterms:created>
  <dcterms:modified xsi:type="dcterms:W3CDTF">2026-09-27T02:07:14.209Z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