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Data Privacy and Compliance Policy</w:t>
      </w:r>
    </w:p>
    <w:p>
      <w:r>
        <w:t xml:space="preserve">Document ID: DOC-15</w:t>
      </w:r>
    </w:p>
    <w:p>
      <w:r>
        <w:t xml:space="preserve">Version: 1.0</w:t>
      </w:r>
    </w:p>
    <w:p>
      <w:r>
        <w:t xml:space="preserve">Effective Date: 2025-03-15</w:t>
      </w:r>
    </w:p>
    <w:p>
      <w:r>
        <w:t xml:space="preserve">Department: Compliance</w:t>
      </w:r>
    </w:p>
    <w:p>
      <w:pPr>
        <w:pStyle w:val="Heading1"/>
      </w:pPr>
      <w:r>
        <w:t xml:space="preserve">1. Customer Data Handling</w:t>
      </w:r>
    </w:p>
    <w:p>
      <w:r>
        <w:t xml:space="preserve">Customer personal data must only be accessed on a need-to-know basis and never exported to personal devices.</w:t>
      </w:r>
    </w:p>
    <w:p>
      <w:pPr>
        <w:pStyle w:val="Heading1"/>
      </w:pPr>
      <w:r>
        <w:t xml:space="preserve">2. Data Retention</w:t>
      </w:r>
    </w:p>
    <w:p>
      <w:r>
        <w:t xml:space="preserve">Customer personal data must be retained for no longer than 3 years after the last transaction, after which it must be securely deleted.</w:t>
      </w:r>
    </w:p>
    <w:p>
      <w:pPr>
        <w:pStyle w:val="Heading1"/>
      </w:pPr>
      <w:r>
        <w:t xml:space="preserve">3. Breach Reporting</w:t>
      </w:r>
    </w:p>
    <w:p>
      <w:r>
        <w:t xml:space="preserve">Any suspected data breach must be reported to the Compliance team within 4 hours of discovery.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2026-09-27T02:07:14.199Z</dcterms:created>
  <dcterms:modified xsi:type="dcterms:W3CDTF">2026-09-27T02:07:14.199Z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