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Anti-Harassment and Grievance Policy (Superseded)</w:t>
      </w:r>
    </w:p>
    <w:p>
      <w:r>
        <w:t xml:space="preserve">Document ID: DOC-17-OLD</w:t>
      </w:r>
    </w:p>
    <w:p>
      <w:r>
        <w:t xml:space="preserve">Version: 1.0 (superseded)</w:t>
      </w:r>
    </w:p>
    <w:p>
      <w:r>
        <w:t xml:space="preserve">Effective Date: 2024-02-01</w:t>
      </w:r>
    </w:p>
    <w:p>
      <w:r>
        <w:t xml:space="preserve">Department: HR</w:t>
      </w:r>
    </w:p>
    <w:p>
      <w:pPr>
        <w:pStyle w:val="Heading1"/>
      </w:pPr>
      <w:r>
        <w:t xml:space="preserve">2. Investigation Timeline</w:t>
      </w:r>
    </w:p>
    <w:p>
      <w:r>
        <w:t xml:space="preserve">HR should aim to complete a grievance investigation within 30 working days.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2026-09-27T02:07:14.212Z</dcterms:created>
  <dcterms:modified xsi:type="dcterms:W3CDTF">2026-09-27T02:07:14.212Z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