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Anti-Harassment and Grievance Policy</w:t>
      </w:r>
    </w:p>
    <w:p>
      <w:r>
        <w:t xml:space="preserve">Document ID: DOC-17</w:t>
      </w:r>
    </w:p>
    <w:p>
      <w:r>
        <w:t xml:space="preserve">Version: 1.0</w:t>
      </w:r>
    </w:p>
    <w:p>
      <w:r>
        <w:t xml:space="preserve">Effective Date: 2025-01-10</w:t>
      </w:r>
    </w:p>
    <w:p>
      <w:r>
        <w:t xml:space="preserve">Department: HR</w:t>
      </w:r>
    </w:p>
    <w:p>
      <w:pPr>
        <w:pStyle w:val="Heading1"/>
      </w:pPr>
      <w:r>
        <w:t xml:space="preserve">1. Filing a Grievance</w:t>
      </w:r>
    </w:p>
    <w:p>
      <w:r>
        <w:t xml:space="preserve">Any employee may file a grievance with HR Executive through the confidential grievance portal at any time.</w:t>
      </w:r>
    </w:p>
    <w:p>
      <w:pPr>
        <w:pStyle w:val="Heading1"/>
      </w:pPr>
      <w:r>
        <w:t xml:space="preserve">2. Investigation Timeline</w:t>
      </w:r>
    </w:p>
    <w:p>
      <w:r>
        <w:t xml:space="preserve">HR must acknowledge a grievance within 2 working days and complete an investigation within 15 working days.</w:t>
      </w:r>
    </w:p>
    <w:p>
      <w:pPr>
        <w:pStyle w:val="Heading1"/>
      </w:pPr>
      <w:r>
        <w:t xml:space="preserve">3. Confidentiality</w:t>
      </w:r>
    </w:p>
    <w:p>
      <w:r>
        <w:t xml:space="preserve">All grievance details are kept strictly confidential and shared only with individuals directly involved in the investigation.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2026-09-27T02:07:14.203Z</dcterms:created>
  <dcterms:modified xsi:type="dcterms:W3CDTF">2026-09-27T02:07:14.203Z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