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Leave Policy (Superseded)</w:t>
      </w:r>
    </w:p>
    <w:p>
      <w:r>
        <w:t xml:space="preserve">Document ID: DOC-02-OLD</w:t>
      </w:r>
    </w:p>
    <w:p>
      <w:r>
        <w:t xml:space="preserve">Version: 1.0 (superseded)</w:t>
      </w:r>
    </w:p>
    <w:p>
      <w:r>
        <w:t xml:space="preserve">Effective Date: 2024-01-01</w:t>
      </w:r>
    </w:p>
    <w:p>
      <w:r>
        <w:t xml:space="preserve">Department: All</w:t>
      </w:r>
    </w:p>
    <w:p>
      <w:pPr>
        <w:pStyle w:val="Heading1"/>
      </w:pPr>
      <w:r>
        <w:t xml:space="preserve">1. Annual Leave</w:t>
      </w:r>
    </w:p>
    <w:p>
      <w:r>
        <w:t xml:space="preserve">All full-time employees are entitled to 15 days of paid annual leave per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2026-09-27T02:07:14.211Z</dcterms:created>
  <dcterms:modified xsi:type="dcterms:W3CDTF">2026-09-27T02:07:14.211Z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