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 Commission Policy (Superseded)</w:t>
      </w:r>
    </w:p>
    <w:p>
      <w:r>
        <w:t xml:space="preserve">Document ID: DOC-04-OLD</w:t>
      </w:r>
    </w:p>
    <w:p>
      <w:r>
        <w:t xml:space="preserve">Version: 1.0 (superseded)</w:t>
      </w:r>
    </w:p>
    <w:p>
      <w:r>
        <w:t xml:space="preserve">Effective Date: 2024-06-01</w:t>
      </w:r>
    </w:p>
    <w:p>
      <w:r>
        <w:t xml:space="preserve">Department: Sales</w:t>
      </w:r>
    </w:p>
    <w:p>
      <w:pPr>
        <w:pStyle w:val="Heading1"/>
      </w:pPr>
      <w:r>
        <w:t xml:space="preserve">1. Commission Structure</w:t>
      </w:r>
    </w:p>
    <w:p>
      <w:r>
        <w:t xml:space="preserve">Sales Executives earn a flat 5% commission on all closed deals, regardless of deal size.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2026-09-27T02:07:14.203Z</dcterms:created>
  <dcterms:modified xsi:type="dcterms:W3CDTF">2026-09-27T02:07:14.203Z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