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Finance Expense Reimbursement Policy (Superseded)</w:t>
      </w:r>
    </w:p>
    <w:p>
      <w:r>
        <w:t xml:space="preserve">Document ID: DOC-06-OLD</w:t>
      </w:r>
    </w:p>
    <w:p>
      <w:r>
        <w:t xml:space="preserve">Version: 1.0 (superseded)</w:t>
      </w:r>
    </w:p>
    <w:p>
      <w:r>
        <w:t xml:space="preserve">Effective Date: 2024-05-01</w:t>
      </w:r>
    </w:p>
    <w:p>
      <w:r>
        <w:t xml:space="preserve">Department: Finance</w:t>
      </w:r>
    </w:p>
    <w:p>
      <w:pPr>
        <w:pStyle w:val="Heading1"/>
      </w:pPr>
      <w:r>
        <w:t xml:space="preserve">2. Submission Timeline</w:t>
      </w:r>
    </w:p>
    <w:p>
      <w:r>
        <w:t xml:space="preserve">All expense claims must be submitted within 30 calendar days of the expense being incurred.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2026-09-27T02:07:14.204Z</dcterms:created>
  <dcterms:modified xsi:type="dcterms:W3CDTF">2026-09-27T02:07:14.204Z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