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Finance Expense Reimbursement Policy</w:t>
      </w:r>
    </w:p>
    <w:p>
      <w:r>
        <w:t xml:space="preserve">Document ID: DOC-06</w:t>
      </w:r>
    </w:p>
    <w:p>
      <w:r>
        <w:t xml:space="preserve">Version: 1.0</w:t>
      </w:r>
    </w:p>
    <w:p>
      <w:r>
        <w:t xml:space="preserve">Effective Date: 2025-01-15</w:t>
      </w:r>
    </w:p>
    <w:p>
      <w:r>
        <w:t xml:space="preserve">Department: Finance</w:t>
      </w:r>
    </w:p>
    <w:p>
      <w:pPr>
        <w:pStyle w:val="Heading1"/>
      </w:pPr>
      <w:r>
        <w:t xml:space="preserve">1. Eligible Expenses</w:t>
      </w:r>
    </w:p>
    <w:p>
      <w:r>
        <w:t xml:space="preserve">Finance Associates may reimburse travel, client meals, and approved software subscriptions with original receipts attached.</w:t>
      </w:r>
    </w:p>
    <w:p>
      <w:pPr>
        <w:pStyle w:val="Heading1"/>
      </w:pPr>
      <w:r>
        <w:t xml:space="preserve">2. Submission Timeline</w:t>
      </w:r>
    </w:p>
    <w:p>
      <w:r>
        <w:t xml:space="preserve">All expense claims must be submitted within 7 calendar days of the expense being incurred, using the Finance Portal.</w:t>
      </w:r>
    </w:p>
    <w:p>
      <w:pPr>
        <w:pStyle w:val="Heading1"/>
      </w:pPr>
      <w:r>
        <w:t xml:space="preserve">3. Approval Workflow</w:t>
      </w:r>
    </w:p>
    <w:p>
      <w:r>
        <w:t xml:space="preserve">Claims under PKR 20,000 require line-manager approval only; claims above that amount require Finance Associate review and Branch Manager sign-off.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2026-09-27T02:07:14.185Z</dcterms:created>
  <dcterms:modified xsi:type="dcterms:W3CDTF">2026-09-27T02:07:14.185Z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