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Marketing Brand Guidelines</w:t>
      </w:r>
    </w:p>
    <w:p>
      <w:r>
        <w:t xml:space="preserve">Document ID: DOC-08</w:t>
      </w:r>
    </w:p>
    <w:p>
      <w:r>
        <w:t xml:space="preserve">Version: 1.0</w:t>
      </w:r>
    </w:p>
    <w:p>
      <w:r>
        <w:t xml:space="preserve">Effective Date: 2025-03-10</w:t>
      </w:r>
    </w:p>
    <w:p>
      <w:r>
        <w:t xml:space="preserve">Department: Marketing</w:t>
      </w:r>
    </w:p>
    <w:p>
      <w:pPr>
        <w:pStyle w:val="Heading1"/>
      </w:pPr>
      <w:r>
        <w:t xml:space="preserve">1. Logo Usage</w:t>
      </w:r>
    </w:p>
    <w:p>
      <w:r>
        <w:t xml:space="preserve">Marketing Executives must use only the approved NimbusRetail logo files from the brand asset library; the logo must never be recolored or stretched.</w:t>
      </w:r>
    </w:p>
    <w:p>
      <w:pPr>
        <w:pStyle w:val="Heading1"/>
      </w:pPr>
      <w:r>
        <w:t xml:space="preserve">2. Tone of Voice</w:t>
      </w:r>
    </w:p>
    <w:p>
      <w:r>
        <w:t xml:space="preserve">All external communication should be friendly, concise, and jargon-free, consistent with the brand voice guide.</w:t>
      </w:r>
    </w:p>
    <w:p>
      <w:pPr>
        <w:pStyle w:val="Heading1"/>
      </w:pPr>
      <w:r>
        <w:t xml:space="preserve">3. Campaign Approval</w:t>
      </w:r>
    </w:p>
    <w:p>
      <w:r>
        <w:t xml:space="preserve">Every external campaign must be reviewed and approved by the Marketing Executive lead before publishing, at least 3 working days ahead of the go-live date.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2026-09-27T02:07:14.187Z</dcterms:created>
  <dcterms:modified xsi:type="dcterms:W3CDTF">2026-09-27T02:07:14.187Z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