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Code of Conduct Policy (Superseded)</w:t>
      </w:r>
    </w:p>
    <w:p>
      <w:r>
        <w:t xml:space="preserve">Document ID: DOC-13-OLD</w:t>
      </w:r>
    </w:p>
    <w:p>
      <w:r>
        <w:t xml:space="preserve">Version: 1.0 (superseded)</w:t>
      </w:r>
    </w:p>
    <w:p>
      <w:r>
        <w:t xml:space="preserve">Effective Date: 2023-11-01</w:t>
      </w:r>
    </w:p>
    <w:p>
      <w:r>
        <w:t xml:space="preserve">Department: All</w:t>
      </w:r>
    </w:p>
    <w:p>
      <w:pPr>
        <w:pStyle w:val="Heading1"/>
      </w:pPr>
      <w:r>
        <w:t xml:space="preserve">3. Conflict of Interest</w:t>
      </w:r>
    </w:p>
    <w:p>
      <w:r>
        <w:t xml:space="preserve">Employees are encouraged, but not required, to disclose outside business interests to HR.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2026-09-27T02:07:14.209Z</dcterms:created>
  <dcterms:modified xsi:type="dcterms:W3CDTF">2026-09-27T02:07:14.209Z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