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Code of Conduct Policy</w:t>
      </w:r>
    </w:p>
    <w:p>
      <w:r>
        <w:t xml:space="preserve">Document ID: DOC-13</w:t>
      </w:r>
    </w:p>
    <w:p>
      <w:r>
        <w:t xml:space="preserve">Version: 1.0</w:t>
      </w:r>
    </w:p>
    <w:p>
      <w:r>
        <w:t xml:space="preserve">Effective Date: 2025-01-05</w:t>
      </w:r>
    </w:p>
    <w:p>
      <w:r>
        <w:t xml:space="preserve">Department: All</w:t>
      </w:r>
    </w:p>
    <w:p>
      <w:pPr>
        <w:pStyle w:val="Heading1"/>
      </w:pPr>
      <w:r>
        <w:t xml:space="preserve">1. Professional Conduct</w:t>
      </w:r>
    </w:p>
    <w:p>
      <w:r>
        <w:t xml:space="preserve">All employees must treat colleagues and customers with respect; harassment or discrimination of any kind will not be tolerated.</w:t>
      </w:r>
    </w:p>
    <w:p>
      <w:pPr>
        <w:pStyle w:val="Heading1"/>
      </w:pPr>
      <w:r>
        <w:t xml:space="preserve">2. Dress Code</w:t>
      </w:r>
    </w:p>
    <w:p>
      <w:r>
        <w:t xml:space="preserve">Employees are expected to maintain business-formal attire on the sales floor and in client-facing roles at all times.</w:t>
      </w:r>
    </w:p>
    <w:p>
      <w:pPr>
        <w:pStyle w:val="Heading1"/>
      </w:pPr>
      <w:r>
        <w:t xml:space="preserve">3. Conflict of Interest</w:t>
      </w:r>
    </w:p>
    <w:p>
      <w:r>
        <w:t xml:space="preserve">Employees must disclose any outside business interest that could conflict with NimbusRetail's interests to HR within 30 days of it arising.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2026-09-27T02:07:14.197Z</dcterms:created>
  <dcterms:modified xsi:type="dcterms:W3CDTF">2026-09-27T02:07:14.197Z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