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NimbusRetail Leave Policy</w:t>
      </w:r>
    </w:p>
    <w:p>
      <w:r>
        <w:t>Document ID: DOC-02</w:t>
      </w:r>
    </w:p>
    <w:p>
      <w:r>
        <w:t>Version: 1.0</w:t>
      </w:r>
    </w:p>
    <w:p>
      <w:r>
        <w:t>Effective Date: 2025-01-01</w:t>
      </w:r>
    </w:p>
    <w:p>
      <w:r>
        <w:t>Department: All</w:t>
      </w:r>
    </w:p>
    <w:p>
      <w:pPr>
        <w:pStyle w:val="Heading1"/>
      </w:pPr>
      <w:r>
        <w:t>1. Annual Leave</w:t>
      </w:r>
    </w:p>
    <w:p>
      <w:r>
        <w:t>All full-time employees are entitled to 18 days of paid annual leave per year, accrued monthly.</w:t>
      </w:r>
    </w:p>
    <w:p>
      <w:pPr>
        <w:pStyle w:val="Heading1"/>
      </w:pPr>
      <w:r>
        <w:t>2. Sick Leave</w:t>
      </w:r>
    </w:p>
    <w:p>
      <w:r>
        <w:t>Employees are entitled to 10 days of paid sick leave per year. A medical certificate is mandatory for sick leave exceeding 2 consecutive days.</w:t>
      </w:r>
    </w:p>
    <w:p>
      <w:pPr>
        <w:pStyle w:val="Heading1"/>
      </w:pPr>
      <w:r>
        <w:t>3. Leave Application</w:t>
      </w:r>
    </w:p>
    <w:p>
      <w:r>
        <w:t>Leave must be requested through the HR portal at least 3 working days in advance, except in emergencies.</w:t>
      </w:r>
    </w:p>
    <w:p>
      <w:pPr>
        <w:pStyle w:val="Heading1"/>
      </w:pPr>
      <w:r>
        <w:t>4. Approval</w:t>
      </w:r>
    </w:p>
    <w:p>
      <w:r>
        <w:t>All leave requests must be approved by the employee's direct Reporting Manager before being considered 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