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 Analytics and Reporting SOP</w:t>
      </w:r>
    </w:p>
    <w:p>
      <w:r>
        <w:t xml:space="preserve">Document ID: DOC-11</w:t>
      </w:r>
    </w:p>
    <w:p>
      <w:r>
        <w:t xml:space="preserve">Version: 1.0</w:t>
      </w:r>
    </w:p>
    <w:p>
      <w:r>
        <w:t xml:space="preserve">Effective Date: 2025-02-25</w:t>
      </w:r>
    </w:p>
    <w:p>
      <w:r>
        <w:t xml:space="preserve">Department: Data &amp; Analytics</w:t>
      </w:r>
    </w:p>
    <w:p>
      <w:pPr>
        <w:pStyle w:val="Heading1"/>
      </w:pPr>
      <w:r>
        <w:t xml:space="preserve">1. Report Cadence</w:t>
      </w:r>
    </w:p>
    <w:p>
      <w:r>
        <w:t xml:space="preserve">Data Analysts must publish the weekly sales and operations dashboard every Monday by 10:00 AM.</w:t>
      </w:r>
    </w:p>
    <w:p>
      <w:pPr>
        <w:pStyle w:val="Heading1"/>
      </w:pPr>
      <w:r>
        <w:t xml:space="preserve">2. Data Retention</w:t>
      </w:r>
    </w:p>
    <w:p>
      <w:r>
        <w:t xml:space="preserve">Raw transactional data used for analysis must be retained for at least 1 year and archived thereafter.</w:t>
      </w:r>
    </w:p>
    <w:p>
      <w:pPr>
        <w:pStyle w:val="Heading1"/>
      </w:pPr>
      <w:r>
        <w:t xml:space="preserve">3. Data Access Requests</w:t>
      </w:r>
    </w:p>
    <w:p>
      <w:r>
        <w:t xml:space="preserve">Any request for raw customer data from another department must be approved by the Data Analyst lead and logged in the Data Access Register.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2026-09-27T02:07:14.191Z</dcterms:created>
  <dcterms:modified xsi:type="dcterms:W3CDTF">2026-09-27T02:07:14.191Z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