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Sales Commission Policy</w:t>
      </w:r>
    </w:p>
    <w:p>
      <w:r>
        <w:t xml:space="preserve">Document ID: DOC-04</w:t>
      </w:r>
    </w:p>
    <w:p>
      <w:r>
        <w:t xml:space="preserve">Version: 1.0</w:t>
      </w:r>
    </w:p>
    <w:p>
      <w:r>
        <w:t xml:space="preserve">Effective Date: 2025-03-01</w:t>
      </w:r>
    </w:p>
    <w:p>
      <w:r>
        <w:t xml:space="preserve">Department: Sales</w:t>
      </w:r>
    </w:p>
    <w:p>
      <w:pPr>
        <w:pStyle w:val="Heading1"/>
      </w:pPr>
      <w:r>
        <w:t xml:space="preserve">1. Commission Structure</w:t>
      </w:r>
    </w:p>
    <w:p>
      <w:r>
        <w:t xml:space="preserve">Sales Executives earn a 5% commission on all closed deals up to PKR 500,000 per month, and 7% on any amount above that threshold.</w:t>
      </w:r>
    </w:p>
    <w:p>
      <w:pPr>
        <w:pStyle w:val="Heading1"/>
      </w:pPr>
      <w:r>
        <w:t xml:space="preserve">2. Payout Schedule</w:t>
      </w:r>
    </w:p>
    <w:p>
      <w:r>
        <w:t xml:space="preserve">Commission is calculated monthly and paid out with the following month's salary, provided the deal has been fully invoiced and payment received from the customer.</w:t>
      </w:r>
    </w:p>
    <w:p>
      <w:pPr>
        <w:pStyle w:val="Heading1"/>
      </w:pPr>
      <w:r>
        <w:t xml:space="preserve">3. Clawback Policy</w:t>
      </w:r>
    </w:p>
    <w:p>
      <w:r>
        <w:t xml:space="preserve">If a customer cancels an order within 14 days of purchase, the commission for that deal is deducted from the following month's payout.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2026-09-27T02:07:14.163Z</dcterms:created>
  <dcterms:modified xsi:type="dcterms:W3CDTF">2026-09-27T02:07:14.172Z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