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160"/>
      </w:pPr>
      <w:r>
        <w:rPr>
          <w:rFonts w:ascii="Arial" w:hAnsi="Arial"/>
          <w:b/>
          <w:color w:val="2D6A7F"/>
          <w:sz w:val="24"/>
        </w:rPr>
        <w:t>GRAPH SWARM</w:t>
      </w:r>
    </w:p>
    <w:p>
      <w:pPr>
        <w:pStyle w:val="Title"/>
      </w:pPr>
      <w:r>
        <w:t>Future Production &amp; Integration Plan</w:t>
      </w:r>
    </w:p>
    <w:p>
      <w:pPr>
        <w:pStyle w:val="Subtitle"/>
      </w:pPr>
      <w:r>
        <w:t>Deferred productization path if the research mechanism demonstrates durable value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7E0E8"/>
          <w:left w:val="single" w:sz="4" w:space="0" w:color="D7E0E8"/>
          <w:bottom w:val="single" w:sz="4" w:space="0" w:color="D7E0E8"/>
          <w:right w:val="single" w:sz="4" w:space="0" w:color="D7E0E8"/>
          <w:insideH w:val="single" w:sz="4" w:space="0" w:color="D7E0E8"/>
          <w:insideV w:val="single" w:sz="4" w:space="0" w:color="D7E0E8"/>
        </w:tblBorders>
      </w:tblPr>
      <w:tblGrid>
        <w:gridCol w:w="4997"/>
        <w:gridCol w:w="4997"/>
      </w:tblGrid>
      <w:tr>
        <w:tc>
          <w:tcPr>
            <w:tcW w:type="dxa" w:w="1944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DEFERRED - not current implementation scope</w:t>
            </w:r>
          </w:p>
        </w:tc>
      </w:tr>
      <w:tr>
        <w:tc>
          <w:tcPr>
            <w:tcW w:type="dxa" w:w="4997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14 August 2026</w:t>
            </w:r>
          </w:p>
        </w:tc>
      </w:tr>
      <w:tr>
        <w:tc>
          <w:tcPr>
            <w:tcW w:type="dxa" w:w="4997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Canonical location for production, integration, scalability, observability, and autonomous-recovery ideas that are intentionally excluded from the current research study.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AF1F7"/>
          <w:left w:val="single" w:sz="0" w:space="0" w:color="EAF1F7"/>
          <w:bottom w:val="single" w:sz="0" w:space="0" w:color="EAF1F7"/>
          <w:right w:val="single" w:sz="0" w:space="0" w:color="EAF1F7"/>
          <w:insideH w:val="single" w:sz="0" w:space="0" w:color="EAF1F7"/>
          <w:insideV w:val="single" w:sz="0" w:space="0" w:color="EAF1F7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</w:pPr>
            <w:r>
              <w:rPr>
                <w:b/>
                <w:color w:val="244A72"/>
              </w:rPr>
              <w:t xml:space="preserve">Source-of-truth rule: </w:t>
            </w:r>
            <w:r>
              <w:t>Use this document only for the authority stated above. When it conflicts with a newer entry in the Research Ledger, the Ledger wins. Future-production material must not be treated as current research scope.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160"/>
      </w:pPr>
      <w:r>
        <w:rPr>
          <w:color w:val="52606D"/>
        </w:rPr>
        <w:t>This is a static navigation map intended for human readers and GPT source retrieval. Section numbers are stable unless a major revision is made.</w:t>
      </w:r>
    </w:p>
    <w:p>
      <w:pPr>
        <w:ind w:left="72"/>
      </w:pPr>
      <w:r>
        <w:rPr>
          <w:b/>
          <w:color w:val="244A72"/>
        </w:rPr>
        <w:t xml:space="preserve">1  </w:t>
      </w:r>
      <w:r>
        <w:t>When production work is allowed to start</w:t>
      </w:r>
    </w:p>
    <w:p>
      <w:pPr>
        <w:ind w:left="72"/>
      </w:pPr>
      <w:r>
        <w:rPr>
          <w:b/>
          <w:color w:val="244A72"/>
        </w:rPr>
        <w:t xml:space="preserve">2  </w:t>
      </w:r>
      <w:r>
        <w:t>Future product positioning</w:t>
      </w:r>
    </w:p>
    <w:p>
      <w:pPr>
        <w:ind w:left="72"/>
      </w:pPr>
      <w:r>
        <w:rPr>
          <w:b/>
          <w:color w:val="244A72"/>
        </w:rPr>
        <w:t xml:space="preserve">3  </w:t>
      </w:r>
      <w:r>
        <w:t>Target production architecture</w:t>
      </w:r>
    </w:p>
    <w:p>
      <w:pPr>
        <w:ind w:left="72"/>
      </w:pPr>
      <w:r>
        <w:rPr>
          <w:b/>
          <w:color w:val="244A72"/>
        </w:rPr>
        <w:t xml:space="preserve">4  </w:t>
      </w:r>
      <w:r>
        <w:t>Production rollout P1 - Hardened reliability service</w:t>
      </w:r>
    </w:p>
    <w:p>
      <w:pPr>
        <w:ind w:left="72"/>
      </w:pPr>
      <w:r>
        <w:rPr>
          <w:b/>
          <w:color w:val="244A72"/>
        </w:rPr>
        <w:t xml:space="preserve">5  </w:t>
      </w:r>
      <w:r>
        <w:t>Production rollout P2 - Framework and telemetry integrations</w:t>
      </w:r>
    </w:p>
    <w:p>
      <w:pPr>
        <w:ind w:left="72"/>
      </w:pPr>
      <w:r>
        <w:rPr>
          <w:b/>
          <w:color w:val="244A72"/>
        </w:rPr>
        <w:t xml:space="preserve">6  </w:t>
      </w:r>
      <w:r>
        <w:t>Production rollout P3 - Shared multi-agent operational memory</w:t>
      </w:r>
    </w:p>
    <w:p>
      <w:pPr>
        <w:ind w:left="72"/>
      </w:pPr>
      <w:r>
        <w:rPr>
          <w:b/>
          <w:color w:val="244A72"/>
        </w:rPr>
        <w:t xml:space="preserve">7  </w:t>
      </w:r>
      <w:r>
        <w:t>Production rollout P4 - Policy intervention and recovery</w:t>
      </w:r>
    </w:p>
    <w:p>
      <w:pPr>
        <w:ind w:left="72"/>
      </w:pPr>
      <w:r>
        <w:rPr>
          <w:b/>
          <w:color w:val="244A72"/>
        </w:rPr>
        <w:t xml:space="preserve">8  </w:t>
      </w:r>
      <w:r>
        <w:t>Production rollout P5 - Hosted/service model</w:t>
      </w:r>
    </w:p>
    <w:p>
      <w:pPr>
        <w:ind w:left="72"/>
      </w:pPr>
      <w:r>
        <w:rPr>
          <w:b/>
          <w:color w:val="244A72"/>
        </w:rPr>
        <w:t xml:space="preserve">9  </w:t>
      </w:r>
      <w:r>
        <w:t>Data architecture and storage boundaries</w:t>
      </w:r>
    </w:p>
    <w:p>
      <w:pPr>
        <w:ind w:left="72"/>
      </w:pPr>
      <w:r>
        <w:rPr>
          <w:b/>
          <w:color w:val="244A72"/>
        </w:rPr>
        <w:t xml:space="preserve">10  </w:t>
      </w:r>
      <w:r>
        <w:t>Security, privacy, and governance</w:t>
      </w:r>
    </w:p>
    <w:p>
      <w:pPr>
        <w:ind w:left="72"/>
      </w:pPr>
      <w:r>
        <w:rPr>
          <w:b/>
          <w:color w:val="244A72"/>
        </w:rPr>
        <w:t xml:space="preserve">11  </w:t>
      </w:r>
      <w:r>
        <w:t>Reliability and performance requirements</w:t>
      </w:r>
    </w:p>
    <w:p>
      <w:pPr>
        <w:ind w:left="72"/>
      </w:pPr>
      <w:r>
        <w:rPr>
          <w:b/>
          <w:color w:val="244A72"/>
        </w:rPr>
        <w:t xml:space="preserve">12  </w:t>
      </w:r>
      <w:r>
        <w:t>Observability and UI</w:t>
      </w:r>
    </w:p>
    <w:p>
      <w:pPr>
        <w:ind w:left="72"/>
      </w:pPr>
      <w:r>
        <w:rPr>
          <w:b/>
          <w:color w:val="244A72"/>
        </w:rPr>
        <w:t xml:space="preserve">13  </w:t>
      </w:r>
      <w:r>
        <w:t>SDK/API strategy</w:t>
      </w:r>
    </w:p>
    <w:p>
      <w:pPr>
        <w:ind w:left="72"/>
      </w:pPr>
      <w:r>
        <w:rPr>
          <w:b/>
          <w:color w:val="244A72"/>
        </w:rPr>
        <w:t xml:space="preserve">14  </w:t>
      </w:r>
      <w:r>
        <w:t>Open-source and upstream opportunities</w:t>
      </w:r>
    </w:p>
    <w:p>
      <w:pPr>
        <w:ind w:left="72"/>
      </w:pPr>
      <w:r>
        <w:rPr>
          <w:b/>
          <w:color w:val="244A72"/>
        </w:rPr>
        <w:t xml:space="preserve">15  </w:t>
      </w:r>
      <w:r>
        <w:t>Product metrics and readiness gates</w:t>
      </w:r>
    </w:p>
    <w:p>
      <w:pPr>
        <w:ind w:left="72"/>
      </w:pPr>
      <w:r>
        <w:rPr>
          <w:b/>
          <w:color w:val="244A72"/>
        </w:rPr>
        <w:t xml:space="preserve">16  </w:t>
      </w:r>
      <w:r>
        <w:t>Deferred backlog</w:t>
      </w:r>
    </w:p>
    <w:p>
      <w:r>
        <w:br w:type="page"/>
      </w:r>
    </w:p>
    <w:p>
      <w:pPr>
        <w:pStyle w:val="Heading1"/>
      </w:pPr>
      <w:r>
        <w:t>1. When production work is allowed to start</w:t>
      </w:r>
    </w:p>
    <w:p>
      <w:r>
        <w:rPr>
          <w:i w:val="0"/>
        </w:rPr>
        <w:t>This plan is intentionally dormant during the eight-week research study. It exists to preserve viable product ideas without allowing them to consume research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  <w:insideH w:val="single" w:sz="0" w:space="0" w:color="FFF4E5"/>
          <w:insideV w:val="single" w:sz="0" w:space="0" w:color="FFF4E5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</w:pPr>
            <w:r>
              <w:rPr>
                <w:b/>
                <w:color w:val="244A72"/>
              </w:rPr>
              <w:t xml:space="preserve">Production trigger: </w:t>
            </w:r>
            <w:r>
              <w:t>Begin productization only after the research benchmark shows a useful reliability effect, false advice is controlled, and the mechanism still works on at least one additional task family or repository not used to tune the system.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45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Readiness question</w:t>
            </w:r>
          </w:p>
        </w:tc>
        <w:tc>
          <w:tcPr>
            <w:tcW w:type="dxa" w:w="6552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Minimum evidence before serious product work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Does memory change behavior?</w:t>
            </w:r>
          </w:p>
        </w:tc>
        <w:tc>
          <w:tcPr>
            <w:tcW w:type="dxa" w:w="655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Rollout 2 prevention demo is reliable, not anecdotal.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Does it help on a benchmark?</w:t>
            </w:r>
          </w:p>
        </w:tc>
        <w:tc>
          <w:tcPr>
            <w:tcW w:type="dxa" w:w="655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Meaningful RFR/task-efficiency effect on frozen recurrence families.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Is advice safe enough?</w:t>
            </w:r>
          </w:p>
        </w:tc>
        <w:tc>
          <w:tcPr>
            <w:tcW w:type="dxa" w:w="655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False Advice Rate is measured and acceptable for advisory mode.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Is the mechanism portable?</w:t>
            </w:r>
          </w:p>
        </w:tc>
        <w:tc>
          <w:tcPr>
            <w:tcW w:type="dxa" w:w="655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Core Graph Swarm interface is not coupled to one benchmark task implementation.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Is latency manageable?</w:t>
            </w:r>
          </w:p>
        </w:tc>
        <w:tc>
          <w:tcPr>
            <w:tcW w:type="dxa" w:w="655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Pre-action lookup overhead is small relative to agent/tool latency or can be hidden/cached.</w:t>
            </w:r>
          </w:p>
        </w:tc>
      </w:tr>
    </w:tbl>
    <w:p>
      <w:pPr>
        <w:spacing w:after="20"/>
      </w:pPr>
    </w:p>
    <w:p>
      <w:pPr>
        <w:pStyle w:val="Heading1"/>
      </w:pPr>
      <w:r>
        <w:t>2. Future product positioning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AF1F7"/>
          <w:left w:val="single" w:sz="0" w:space="0" w:color="EAF1F7"/>
          <w:bottom w:val="single" w:sz="0" w:space="0" w:color="EAF1F7"/>
          <w:right w:val="single" w:sz="0" w:space="0" w:color="EAF1F7"/>
          <w:insideH w:val="single" w:sz="0" w:space="0" w:color="EAF1F7"/>
          <w:insideV w:val="single" w:sz="0" w:space="0" w:color="EAF1F7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</w:pPr>
            <w:r>
              <w:rPr>
                <w:b/>
                <w:color w:val="244A72"/>
              </w:rPr>
              <w:t xml:space="preserve">Working product category: </w:t>
            </w:r>
            <w:r>
              <w:t>Graph Swarm: Agent Reliability Memory Runtime</w:t>
            </w:r>
          </w:p>
        </w:tc>
      </w:tr>
    </w:tbl>
    <w:p>
      <w:pPr>
        <w:spacing w:after="20"/>
      </w:pPr>
    </w:p>
    <w:p>
      <w:r>
        <w:rPr>
          <w:i w:val="0"/>
        </w:rPr>
        <w:t>The production product should not compete primarily as another agent framework or tracing dashboard. It should complement runtimes and observability systems by turning historical operational failures and recoveries into pre-execution reliability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05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question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Tracing / observability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What happened in this execution?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Agent memory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What should the agent remember?</w:t>
            </w:r>
          </w:p>
        </w:tc>
      </w:tr>
      <w:tr>
        <w:trPr>
          <w:cantSplit/>
        </w:trPr>
        <w:tc>
          <w:tcPr>
            <w:tcW w:type="dxa" w:w="2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Graph Swarm</w:t>
            </w:r>
          </w:p>
        </w:tc>
        <w:tc>
          <w:tcPr>
            <w:tcW w:type="dxa" w:w="705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What previously failed under comparable conditions, what actually fixed it, and should this planned action change because of that evidence?</w:t>
            </w:r>
          </w:p>
        </w:tc>
      </w:tr>
    </w:tbl>
    <w:p>
      <w:pPr>
        <w:spacing w:after="20"/>
      </w:pPr>
    </w:p>
    <w:p>
      <w:pPr>
        <w:pStyle w:val="Heading1"/>
      </w:pPr>
      <w:r>
        <w:t>3. Target production architecture</w:t>
      </w:r>
    </w:p>
    <w:p>
      <w:pPr>
        <w:pStyle w:val="CodeBlock"/>
        <w:keepLines/>
        <w:shd w:fill="F3F6F8"/>
      </w:pPr>
      <w:r>
        <w:t>Agent frameworks / coding agents / business agents</w:t>
        <w:br/>
        <w:t xml:space="preserve">        |</w:t>
        <w:br/>
        <w:t xml:space="preserve">        | framework adapter or standard telemetry</w:t>
        <w:br/>
        <w:t xml:space="preserve">        v</w:t>
        <w:br/>
        <w:t>+-----------------------------+</w:t>
        <w:br/>
        <w:t>| Graph Swarm Ingestion       |</w:t>
        <w:br/>
        <w:t>| normalizer + redaction  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Incident &amp; Recovery Engine  |</w:t>
        <w:br/>
        <w:t>| clustering / verification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Operational Memory Graph    |</w:t>
        <w:br/>
        <w:t>| Neo4j + derived evidence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Runtime Risk / Policy API   |</w:t>
        <w:br/>
        <w:t>| advise -&gt; intervene -&gt; heal |</w:t>
        <w:br/>
        <w:t>+-------------+---------------+</w:t>
        <w:br/>
        <w:t xml:space="preserve">              |</w:t>
        <w:br/>
        <w:t xml:space="preserve">              +--&gt; audit / observability / UI</w:t>
      </w:r>
    </w:p>
    <w:p>
      <w:r>
        <w:rPr>
          <w:i w:val="0"/>
        </w:rPr>
        <w:t>Raw high-volume telemetry should generally remain in a trace/log store. Neo4j should hold the derived operational knowledge required for reasoning, provenance, applicability, and recovery evidence.</w:t>
      </w:r>
    </w:p>
    <w:p>
      <w:pPr>
        <w:pStyle w:val="Heading1"/>
      </w:pPr>
      <w:r>
        <w:t>4. Production rollout P1 - Hardened reliability service</w:t>
      </w:r>
    </w:p>
    <w:p>
      <w:pPr>
        <w:spacing w:after="160"/>
      </w:pPr>
      <w:r>
        <w:rPr>
          <w:color w:val="52606D"/>
        </w:rPr>
        <w:t>Objective: turn the research mechanism into a robust advisory service without increasing conceptual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48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Production work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Stable API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Versioned evaluate-action, record-event, record-outcome, incident retrieval contracts.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Idempotent ingestion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Event IDs, uniqueness constraints, retry-safe writes, dead-letter handling.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Persistence &amp; migrations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Formal graph schema versioning, migrations, backups, retention policy.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Confidence calibration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Calibrate advice thresholds using production-like validation data.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Fail-open behavior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Agent continues if Graph Swarm is unavailable in advisory mode.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Auditability</w:t>
            </w:r>
          </w:p>
        </w:tc>
        <w:tc>
          <w:tcPr>
            <w:tcW w:type="dxa" w:w="748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Every recommendation links to incidents, evidence, version context, and confidence.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AF5EE"/>
          <w:left w:val="single" w:sz="0" w:space="0" w:color="EAF5EE"/>
          <w:bottom w:val="single" w:sz="0" w:space="0" w:color="EAF5EE"/>
          <w:right w:val="single" w:sz="0" w:space="0" w:color="EAF5EE"/>
          <w:insideH w:val="single" w:sz="0" w:space="0" w:color="EAF5EE"/>
          <w:insideV w:val="single" w:sz="0" w:space="0" w:color="EAF5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5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</w:pPr>
            <w:r>
              <w:rPr>
                <w:b/>
                <w:color w:val="244A72"/>
              </w:rPr>
              <w:t xml:space="preserve">P1 outcome: </w:t>
            </w:r>
            <w:r>
              <w:t>A single-framework Graph Swarm service can run continuously in advisory mode, survive retries/restarts, and explain every recommendation.</w:t>
            </w:r>
          </w:p>
        </w:tc>
      </w:tr>
    </w:tbl>
    <w:p>
      <w:pPr>
        <w:spacing w:after="20"/>
      </w:pPr>
    </w:p>
    <w:p>
      <w:pPr>
        <w:pStyle w:val="Heading1"/>
      </w:pPr>
      <w:r>
        <w:t>5. Production rollout P2 - Framework and telemetry integrations</w:t>
      </w:r>
    </w:p>
    <w:p>
      <w:pPr>
        <w:spacing w:after="160"/>
      </w:pPr>
      <w:r>
        <w:rPr>
          <w:color w:val="52606D"/>
        </w:rPr>
        <w:t>Objective: stop depending on one experimental harness.</w:t>
      </w:r>
    </w:p>
    <w:p>
      <w:pPr>
        <w:pStyle w:val="Heading2"/>
      </w:pPr>
      <w:r>
        <w:t>5.1 Adapter strategy</w:t>
      </w:r>
    </w:p>
    <w:p>
      <w:pPr>
        <w:pStyle w:val="ListBullet"/>
        <w:spacing w:after="50"/>
      </w:pPr>
      <w:r>
        <w:t>Keep a framework-neutral core: planned action, environment, incident, recovery, outcome.</w:t>
      </w:r>
    </w:p>
    <w:p>
      <w:pPr>
        <w:pStyle w:val="ListBullet"/>
        <w:spacing w:after="50"/>
      </w:pPr>
      <w:r>
        <w:t>Provide thin adapters for PydanticAI first, then LangGraph/OpenAI Agents SDK/CrewAI/AutoGen or other frameworks only when user demand exists.</w:t>
      </w:r>
    </w:p>
    <w:p>
      <w:pPr>
        <w:pStyle w:val="ListBullet"/>
        <w:spacing w:after="50"/>
      </w:pPr>
      <w:r>
        <w:t>Prefer standard telemetry where practical. OpenTelemetry GenAI conventions and OpenInference are useful integration surfaces, but production adoption should follow actual ecosystem maturity.</w:t>
      </w:r>
    </w:p>
    <w:p>
      <w:pPr>
        <w:pStyle w:val="Heading2"/>
      </w:pPr>
      <w:r>
        <w:t>5.2 Candidate integration surface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44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460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 rationale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PydanticAI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Reference adapter; direct continuation of research harness.</w:t>
            </w:r>
          </w:p>
        </w:tc>
        <w:tc>
          <w:tcPr>
            <w:tcW w:type="dxa" w:w="2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First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OpenTelemetry/OpenInference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Cross-framework events and trace correlation.</w:t>
            </w:r>
          </w:p>
        </w:tc>
        <w:tc>
          <w:tcPr>
            <w:tcW w:type="dxa" w:w="2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 if customers already emit OTel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LangGraph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Large installed base and pre-tool workflow hooks.</w:t>
            </w:r>
          </w:p>
        </w:tc>
        <w:tc>
          <w:tcPr>
            <w:tcW w:type="dxa" w:w="2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Demand-driven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OpenAI Agents SDK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Alternative runtime integration.</w:t>
            </w:r>
          </w:p>
        </w:tc>
        <w:tc>
          <w:tcPr>
            <w:tcW w:type="dxa" w:w="2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Demand-driven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CrewAI / AutoGen / others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Shared operational memory for existing multi-agent stacks.</w:t>
            </w:r>
          </w:p>
        </w:tc>
        <w:tc>
          <w:tcPr>
            <w:tcW w:type="dxa" w:w="2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Later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AF5EE"/>
          <w:left w:val="single" w:sz="0" w:space="0" w:color="EAF5EE"/>
          <w:bottom w:val="single" w:sz="0" w:space="0" w:color="EAF5EE"/>
          <w:right w:val="single" w:sz="0" w:space="0" w:color="EAF5EE"/>
          <w:insideH w:val="single" w:sz="0" w:space="0" w:color="EAF5EE"/>
          <w:insideV w:val="single" w:sz="0" w:space="0" w:color="EAF5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5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</w:pPr>
            <w:r>
              <w:rPr>
                <w:b/>
                <w:color w:val="244A72"/>
              </w:rPr>
              <w:t xml:space="preserve">P2 outcome: </w:t>
            </w:r>
            <w:r>
              <w:t>Graph Swarm can observe and advise at least two agent runtimes without changing its core memory model.</w:t>
            </w:r>
          </w:p>
        </w:tc>
      </w:tr>
    </w:tbl>
    <w:p>
      <w:pPr>
        <w:spacing w:after="20"/>
      </w:pPr>
    </w:p>
    <w:p>
      <w:pPr>
        <w:pStyle w:val="Heading1"/>
      </w:pPr>
      <w:r>
        <w:t>6. Production rollout P3 - Shared multi-agent operational memory</w:t>
      </w:r>
    </w:p>
    <w:p>
      <w:pPr>
        <w:spacing w:after="160"/>
      </w:pPr>
      <w:r>
        <w:rPr>
          <w:color w:val="52606D"/>
        </w:rPr>
        <w:t>Objective: extend verified failure experience from one agent across teams of agents and task dependencies.</w:t>
      </w:r>
    </w:p>
    <w:p>
      <w:pPr>
        <w:pStyle w:val="CodeBlock"/>
        <w:keepLines/>
        <w:shd w:fill="F3F6F8"/>
      </w:pPr>
      <w:r>
        <w:t>(Agent)-[:PERFORMED]-&gt;(Action)-[:ON_TASK]-&gt;(Task)</w:t>
        <w:br/>
        <w:t>(Task)-[:DEPENDS_ON]-&gt;(Task)</w:t>
        <w:br/>
        <w:t>(Action)-[:USED]-&gt;(Tool)</w:t>
        <w:br/>
        <w:t>(Action)-[:PRODUCED]-&gt;(Evidence)</w:t>
        <w:br/>
        <w:t>(Action)-[:PRODUCED]-&gt;(Claim)</w:t>
        <w:br/>
        <w:t>(FailureEpisode)-[:CANDIDATE_CAUSE]-&gt;(Action)</w:t>
        <w:br/>
        <w:t>(FailureEpisode)-[:RESOLVED_BY]-&gt;(Resolution)</w:t>
        <w:br/>
        <w:t>(Resolution)-[:VERIFIED_BY]-&gt;(Outcome)</w:t>
        <w:br/>
        <w:t>(Claim)-[:DERIVED_FROM]-&gt;(Evidence)</w:t>
        <w:br/>
        <w:t>(Claim)-[:SUPERSEDES|CONTRADICTS|SUPPORTS]-&gt;(Claim)</w:t>
      </w:r>
    </w:p>
    <w:p>
      <w:pPr>
        <w:pStyle w:val="ListBullet"/>
        <w:spacing w:after="50"/>
      </w:pPr>
      <w:r>
        <w:t>Add explicit provenance between evidence, claims, actions, tasks, and agents.</w:t>
      </w:r>
    </w:p>
    <w:p>
      <w:pPr>
        <w:pStyle w:val="ListBullet"/>
        <w:spacing w:after="50"/>
      </w:pPr>
      <w:r>
        <w:t>Allow one agent to benefit from a recovery discovered by another only when environment and task conditions are compatible.</w:t>
      </w:r>
    </w:p>
    <w:p>
      <w:pPr>
        <w:pStyle w:val="ListBullet"/>
        <w:spacing w:after="50"/>
      </w:pPr>
      <w:r>
        <w:t>Track dependency propagation so advice can mention upstream incidents rather than only semantically similar text.</w:t>
      </w:r>
    </w:p>
    <w:p>
      <w:pPr>
        <w:pStyle w:val="ListBullet"/>
        <w:spacing w:after="50"/>
      </w:pPr>
      <w:r>
        <w:t>Introduce organizational scopes/permissions so memory does not leak across teams or tenants.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AF5EE"/>
          <w:left w:val="single" w:sz="0" w:space="0" w:color="EAF5EE"/>
          <w:bottom w:val="single" w:sz="0" w:space="0" w:color="EAF5EE"/>
          <w:right w:val="single" w:sz="0" w:space="0" w:color="EAF5EE"/>
          <w:insideH w:val="single" w:sz="0" w:space="0" w:color="EAF5EE"/>
          <w:insideV w:val="single" w:sz="0" w:space="0" w:color="EAF5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5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</w:pPr>
            <w:r>
              <w:rPr>
                <w:b/>
                <w:color w:val="244A72"/>
              </w:rPr>
              <w:t xml:space="preserve">P3 outcome: </w:t>
            </w:r>
            <w:r>
              <w:t>Shared operational experience can transfer across agents while preserving provenance, access boundaries, and task-dependency context.</w:t>
            </w:r>
          </w:p>
        </w:tc>
      </w:tr>
    </w:tbl>
    <w:p>
      <w:pPr>
        <w:spacing w:after="20"/>
      </w:pPr>
    </w:p>
    <w:p>
      <w:pPr>
        <w:pStyle w:val="Heading1"/>
      </w:pPr>
      <w:r>
        <w:t>7. Production rollout P4 - Policy intervention and recovery</w:t>
      </w:r>
    </w:p>
    <w:p>
      <w:pPr>
        <w:spacing w:after="160"/>
      </w:pPr>
      <w:r>
        <w:rPr>
          <w:color w:val="52606D"/>
        </w:rPr>
        <w:t>Objective: move beyond advice only after confidence and safety are demonstrated.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60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52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Safety requirement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OBSERVE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Record and score incidents; no execution effect.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Lowest risk.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ADVISE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Provide recovery evidence before execution.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Explainable recommendation and false-advice monitoring.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INTERVENE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Block or modify a planned action under deterministic policy.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High-confidence rules, audit, rollback, explicit allow-list.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AUTONOMOUS RECOVERY</w:t>
            </w:r>
          </w:p>
        </w:tc>
        <w:tc>
          <w:tcPr>
            <w:tcW w:type="dxa" w:w="460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Execute a previously verified remediation automatically.</w:t>
            </w:r>
          </w:p>
        </w:tc>
        <w:tc>
          <w:tcPr>
            <w:tcW w:type="dxa" w:w="352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Strong verification, sandboxing, blast-radius limits, approval policy.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t>Never jump directly from research advice to autonomous execution.</w:t>
      </w:r>
    </w:p>
    <w:p>
      <w:pPr>
        <w:pStyle w:val="ListBullet"/>
        <w:spacing w:after="50"/>
      </w:pPr>
      <w:r>
        <w:t>Treat historical resolutions as untrusted input. A malicious repository or tool output could poison future memory.</w:t>
      </w:r>
    </w:p>
    <w:p>
      <w:pPr>
        <w:pStyle w:val="ListBullet"/>
        <w:spacing w:after="50"/>
      </w:pPr>
      <w:r>
        <w:t>Use policy checks for destructive commands, credentials, network actions, and security-related changes.</w:t>
      </w:r>
    </w:p>
    <w:p>
      <w:pPr>
        <w:pStyle w:val="ListBullet"/>
        <w:spacing w:after="50"/>
      </w:pPr>
      <w:r>
        <w:t>Counterfactual/suffix replay can later provide stronger evidence for interventions than observational success counts alone.</w:t>
      </w:r>
    </w:p>
    <w:p>
      <w:pPr>
        <w:pStyle w:val="Heading1"/>
      </w:pPr>
      <w:r>
        <w:t>8. Production rollout P5 - Hosted/service model</w:t>
      </w:r>
    </w:p>
    <w:p>
      <w:pPr>
        <w:spacing w:after="160"/>
      </w:pPr>
      <w:r>
        <w:rPr>
          <w:color w:val="52606D"/>
        </w:rPr>
        <w:t>Objective: make the system operable by multiple teams without requiring them to manage Graph Swarm internals.</w:t>
      </w:r>
    </w:p>
    <w:p>
      <w:pPr>
        <w:pStyle w:val="ListBullet"/>
        <w:spacing w:after="50"/>
      </w:pPr>
      <w:r>
        <w:t>Multi-tenant authentication and authorization.</w:t>
      </w:r>
    </w:p>
    <w:p>
      <w:pPr>
        <w:pStyle w:val="ListBullet"/>
        <w:spacing w:after="50"/>
      </w:pPr>
      <w:r>
        <w:t>Tenant-scoped graph partitions or database strategy.</w:t>
      </w:r>
    </w:p>
    <w:p>
      <w:pPr>
        <w:pStyle w:val="ListBullet"/>
        <w:spacing w:after="50"/>
      </w:pPr>
      <w:r>
        <w:t>Usage metering, quotas, rate limiting, and service-level objectives.</w:t>
      </w:r>
    </w:p>
    <w:p>
      <w:pPr>
        <w:pStyle w:val="ListBullet"/>
        <w:spacing w:after="50"/>
      </w:pPr>
      <w:r>
        <w:t>Managed Neo4j or equivalent graph backend plus telemetry/object storage.</w:t>
      </w:r>
    </w:p>
    <w:p>
      <w:pPr>
        <w:pStyle w:val="ListBullet"/>
        <w:spacing w:after="50"/>
      </w:pPr>
      <w:r>
        <w:t>Secrets management and regional/data-residency controls.</w:t>
      </w:r>
    </w:p>
    <w:p>
      <w:pPr>
        <w:pStyle w:val="ListBullet"/>
        <w:spacing w:after="50"/>
      </w:pPr>
      <w:r>
        <w:t>SDKs and self-hosted option if target users require private code/trace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AF5EE"/>
          <w:left w:val="single" w:sz="0" w:space="0" w:color="EAF5EE"/>
          <w:bottom w:val="single" w:sz="0" w:space="0" w:color="EAF5EE"/>
          <w:right w:val="single" w:sz="0" w:space="0" w:color="EAF5EE"/>
          <w:insideH w:val="single" w:sz="0" w:space="0" w:color="EAF5EE"/>
          <w:insideV w:val="single" w:sz="0" w:space="0" w:color="EAF5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5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Lines/>
            </w:pPr>
            <w:r>
              <w:rPr>
                <w:b/>
                <w:color w:val="244A72"/>
              </w:rPr>
              <w:t xml:space="preserve">P5 outcome: </w:t>
            </w:r>
            <w:r>
              <w:t>A hosted or self-hosted reliability-memory service can be integrated by teams without treating Graph Swarm as their agent framework.</w:t>
            </w:r>
          </w:p>
        </w:tc>
      </w:tr>
    </w:tbl>
    <w:p>
      <w:pPr>
        <w:spacing w:after="20"/>
      </w:pPr>
    </w:p>
    <w:p>
      <w:pPr>
        <w:pStyle w:val="Heading1"/>
      </w:pPr>
      <w:r>
        <w:t>9. Data architecture and storage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024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class</w:t>
            </w:r>
          </w:p>
        </w:tc>
        <w:tc>
          <w:tcPr>
            <w:tcW w:type="dxa" w:w="3168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store</w:t>
            </w:r>
          </w:p>
        </w:tc>
        <w:tc>
          <w:tcPr>
            <w:tcW w:type="dxa" w:w="3960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Raw traces, prompts, large tool payloads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Telemetry/log/object store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 volume; retention/security policies differ from graph knowledge.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Normalized actions and incident metadata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Operational database / graph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Needed for provenance and queryable relationships.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FailureEpisode / Resolution / Outcome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Neo4j operational graph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Core reliability memory.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Embeddings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Neo4j vector index initially or dedicated vector service later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Semantic candidate generation; keep deployment simple until scale requires separation.</w:t>
            </w:r>
          </w:p>
        </w:tc>
      </w:tr>
      <w:tr>
        <w:trPr>
          <w:cantSplit/>
        </w:trPr>
        <w:tc>
          <w:tcPr>
            <w:tcW w:type="dxa" w:w="30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Metrics aggregates</w:t>
            </w:r>
          </w:p>
        </w:tc>
        <w:tc>
          <w:tcPr>
            <w:tcW w:type="dxa" w:w="3168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Time-series/analytics store later</w:t>
            </w:r>
          </w:p>
        </w:tc>
        <w:tc>
          <w:tcPr>
            <w:tcW w:type="dxa" w:w="39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Dashboards and SLOs should not overload graph queries.</w:t>
            </w:r>
          </w:p>
        </w:tc>
      </w:tr>
    </w:tbl>
    <w:p>
      <w:pPr>
        <w:spacing w:after="20"/>
      </w:pPr>
    </w:p>
    <w:p>
      <w:pPr>
        <w:pStyle w:val="Heading1"/>
      </w:pPr>
      <w:r>
        <w:t>10. Security, privacy, and governance</w:t>
      </w:r>
    </w:p>
    <w:p>
      <w:pPr>
        <w:pStyle w:val="ListBullet"/>
        <w:spacing w:after="50"/>
      </w:pPr>
      <w:r>
        <w:t>Redact secrets and sensitive arguments before persistence. Never rely only on downstream UI masking.</w:t>
      </w:r>
    </w:p>
    <w:p>
      <w:pPr>
        <w:pStyle w:val="ListBullet"/>
        <w:spacing w:after="50"/>
      </w:pPr>
      <w:r>
        <w:t>Treat prompts, source code, API responses, and agent memory as potentially sensitive customer data.</w:t>
      </w:r>
    </w:p>
    <w:p>
      <w:pPr>
        <w:pStyle w:val="ListBullet"/>
        <w:spacing w:after="50"/>
      </w:pPr>
      <w:r>
        <w:t>Provide configurable capture levels. In many environments Graph Swarm should store normalized signatures rather than full payloads.</w:t>
      </w:r>
    </w:p>
    <w:p>
      <w:pPr>
        <w:pStyle w:val="ListBullet"/>
        <w:spacing w:after="50"/>
      </w:pPr>
      <w:r>
        <w:t>Implement provenance and deletion semantics so derived graph memory can be traced back to and removed with source data when required.</w:t>
      </w:r>
    </w:p>
    <w:p>
      <w:pPr>
        <w:pStyle w:val="ListBullet"/>
        <w:spacing w:after="50"/>
      </w:pPr>
      <w:r>
        <w:t>Protect the memory write path from prompt/tool poisoning. A retrieved "resolution" must pass policy and applicability checks.</w:t>
      </w:r>
    </w:p>
    <w:p>
      <w:pPr>
        <w:pStyle w:val="ListBullet"/>
        <w:spacing w:after="50"/>
      </w:pPr>
      <w:r>
        <w:t>Separate tenant/team visibility and enforce access control at query time, not only in the UI.</w:t>
      </w:r>
    </w:p>
    <w:p>
      <w:pPr>
        <w:pStyle w:val="Heading1"/>
      </w:pPr>
      <w:r>
        <w:t>11. Reliability and performance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160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777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Future target / design direction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77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Advisory mode fails open; intervention mode has stricter dependency and fallback rules.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Latency</w:t>
            </w:r>
          </w:p>
        </w:tc>
        <w:tc>
          <w:tcPr>
            <w:tcW w:type="dxa" w:w="77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Pre-execution checks should be small relative to external tool/LLM latency; use structural filtering, indexes, caching.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Idempotency</w:t>
            </w:r>
          </w:p>
        </w:tc>
        <w:tc>
          <w:tcPr>
            <w:tcW w:type="dxa" w:w="77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Duplicate telemetry must not create duplicate incidents/actions.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Consistency</w:t>
            </w:r>
          </w:p>
        </w:tc>
        <w:tc>
          <w:tcPr>
            <w:tcW w:type="dxa" w:w="77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Advice should not be based on partially written recovery evidence.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Scalability</w:t>
            </w:r>
          </w:p>
        </w:tc>
        <w:tc>
          <w:tcPr>
            <w:tcW w:type="dxa" w:w="77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Derived graph remains compact; raw trace volume is not blindly inserted into Neo4j.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Audit</w:t>
            </w:r>
          </w:p>
        </w:tc>
        <w:tc>
          <w:tcPr>
            <w:tcW w:type="dxa" w:w="777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Every intervention/recommendation is reproducible from versioned data and scoring configuration.</w:t>
            </w:r>
          </w:p>
        </w:tc>
      </w:tr>
    </w:tbl>
    <w:p>
      <w:pPr>
        <w:spacing w:after="20"/>
      </w:pPr>
    </w:p>
    <w:p>
      <w:pPr>
        <w:pStyle w:val="Heading1"/>
      </w:pPr>
      <w:r>
        <w:t>12. Observability and UI</w:t>
      </w:r>
    </w:p>
    <w:p>
      <w:r>
        <w:rPr>
          <w:i w:val="0"/>
        </w:rPr>
        <w:t>Visualization is a product feature, not the research contribution. Build it only after incident/recovery semantics are stable.</w:t>
      </w:r>
    </w:p>
    <w:p>
      <w:pPr>
        <w:pStyle w:val="ListBullet"/>
        <w:spacing w:after="50"/>
      </w:pPr>
      <w:r>
        <w:t>Dashboard: runs, recurring incidents, verified recoveries, RFR trend, false-advice trend.</w:t>
      </w:r>
    </w:p>
    <w:p>
      <w:pPr>
        <w:pStyle w:val="ListBullet"/>
        <w:spacing w:after="50"/>
      </w:pPr>
      <w:r>
        <w:t>Incident page: failure signature, affected tools/environments, timeline, resolutions, evidence, current validity.</w:t>
      </w:r>
    </w:p>
    <w:p>
      <w:pPr>
        <w:pStyle w:val="ListBullet"/>
        <w:spacing w:after="50"/>
      </w:pPr>
      <w:r>
        <w:t>Graph view: provenance and failure propagation for a selected incident, not an unfiltered global hairball.</w:t>
      </w:r>
    </w:p>
    <w:p>
      <w:pPr>
        <w:pStyle w:val="ListBullet"/>
        <w:spacing w:after="50"/>
      </w:pPr>
      <w:r>
        <w:t>Policy audit: why advice/intervention fired, which evidence was used, what was changed, and final outcome.</w:t>
      </w:r>
    </w:p>
    <w:p>
      <w:pPr>
        <w:pStyle w:val="ListBullet"/>
        <w:spacing w:after="50"/>
      </w:pPr>
      <w:r>
        <w:t>Use existing tracing platforms for raw spans rather than duplicating a full observability product unless necessary.</w:t>
      </w:r>
    </w:p>
    <w:p>
      <w:pPr>
        <w:pStyle w:val="Heading1"/>
      </w:pPr>
      <w:r>
        <w:t>13. SDK/API strategy</w:t>
      </w:r>
    </w:p>
    <w:p>
      <w:pPr>
        <w:pStyle w:val="CodeBlock"/>
        <w:keepLines/>
        <w:shd w:fill="F3F6F8"/>
      </w:pPr>
      <w:r>
        <w:t>POST /events</w:t>
        <w:br/>
        <w:t>POST /evaluate-action</w:t>
        <w:br/>
        <w:t>POST /outcomes</w:t>
        <w:br/>
        <w:t>GET  /incidents/{id}</w:t>
        <w:br/>
        <w:t>GET  /incidents?tool=&amp;environment=&amp;status=</w:t>
        <w:br/>
        <w:t>POST /resolutions/{id}/invalidate   # future governed operation</w:t>
      </w:r>
    </w:p>
    <w:p>
      <w:pPr>
        <w:pStyle w:val="ListBullet"/>
        <w:spacing w:after="50"/>
      </w:pPr>
      <w:r>
        <w:t>Core client should expose typed objects, not framework-specific trace payloads.</w:t>
      </w:r>
    </w:p>
    <w:p>
      <w:pPr>
        <w:pStyle w:val="ListBullet"/>
        <w:spacing w:after="50"/>
      </w:pPr>
      <w:r>
        <w:t>Framework adapters translate runtime events into the canonical model.</w:t>
      </w:r>
    </w:p>
    <w:p>
      <w:pPr>
        <w:pStyle w:val="ListBullet"/>
        <w:spacing w:after="50"/>
      </w:pPr>
      <w:r>
        <w:t>Version APIs and schemas early; operational memory becomes difficult to migrate after customers accumulate history.</w:t>
      </w:r>
    </w:p>
    <w:p>
      <w:pPr>
        <w:pStyle w:val="ListBullet"/>
        <w:spacing w:after="50"/>
      </w:pPr>
      <w:r>
        <w:t>Support async/batch ingestion separately from synchronous pre-action evaluation.</w:t>
      </w:r>
    </w:p>
    <w:p>
      <w:pPr>
        <w:pStyle w:val="Heading1"/>
      </w:pPr>
      <w:r>
        <w:t>14. Open-source and upstream opportunities</w:t>
      </w:r>
    </w:p>
    <w:p>
      <w:pPr>
        <w:pStyle w:val="ListBullet"/>
        <w:spacing w:after="50"/>
      </w:pPr>
      <w:r>
        <w:t>Open-source the core incident/recovery schema and evaluation harness if the research result is credible.</w:t>
      </w:r>
    </w:p>
    <w:p>
      <w:pPr>
        <w:pStyle w:val="ListBullet"/>
        <w:spacing w:after="50"/>
      </w:pPr>
      <w:r>
        <w:t>Provide PydanticAI and later other framework adapters as separate packages.</w:t>
      </w:r>
    </w:p>
    <w:p>
      <w:pPr>
        <w:pStyle w:val="ListBullet"/>
        <w:spacing w:after="50"/>
      </w:pPr>
      <w:r>
        <w:t>If operational-memory concepts prove general across frameworks, propose telemetry attributes or conventions upstream rather than inventing a private standard.</w:t>
      </w:r>
    </w:p>
    <w:p>
      <w:pPr>
        <w:pStyle w:val="ListBullet"/>
        <w:spacing w:after="50"/>
      </w:pPr>
      <w:r>
        <w:t>Neo4j Agent Memory is relevant adjacent infrastructure. A future Graph Swarm adapter/extension could coexist with or contribute patterns to that ecosystem instead of duplicating its generic memory layers.</w:t>
      </w:r>
    </w:p>
    <w:p>
      <w:pPr>
        <w:pStyle w:val="Heading1"/>
      </w:pPr>
      <w:r>
        <w:t>15. Product metrics and readiness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9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912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product teams care</w:t>
            </w:r>
          </w:p>
        </w:tc>
      </w:tr>
      <w:tr>
        <w:trPr>
          <w:cantSplit/>
        </w:trPr>
        <w:tc>
          <w:tcPr>
            <w:tcW w:type="dxa" w:w="30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Prevented recurring incidents</w:t>
            </w:r>
          </w:p>
        </w:tc>
        <w:tc>
          <w:tcPr>
            <w:tcW w:type="dxa" w:w="69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Direct reliability value.</w:t>
            </w:r>
          </w:p>
        </w:tc>
      </w:tr>
      <w:tr>
        <w:trPr>
          <w:cantSplit/>
        </w:trPr>
        <w:tc>
          <w:tcPr>
            <w:tcW w:type="dxa" w:w="30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False advice / false intervention</w:t>
            </w:r>
          </w:p>
        </w:tc>
        <w:tc>
          <w:tcPr>
            <w:tcW w:type="dxa" w:w="69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Trust and safety cost.</w:t>
            </w:r>
          </w:p>
        </w:tc>
      </w:tr>
      <w:tr>
        <w:trPr>
          <w:cantSplit/>
        </w:trPr>
        <w:tc>
          <w:tcPr>
            <w:tcW w:type="dxa" w:w="30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Recovery reuse rate</w:t>
            </w:r>
          </w:p>
        </w:tc>
        <w:tc>
          <w:tcPr>
            <w:tcW w:type="dxa" w:w="69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Whether accumulated experience compounds over time.</w:t>
            </w:r>
          </w:p>
        </w:tc>
      </w:tr>
      <w:tr>
        <w:trPr>
          <w:cantSplit/>
        </w:trPr>
        <w:tc>
          <w:tcPr>
            <w:tcW w:type="dxa" w:w="30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Time/cost saved per successful workflow</w:t>
            </w:r>
          </w:p>
        </w:tc>
        <w:tc>
          <w:tcPr>
            <w:tcW w:type="dxa" w:w="69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Economic value beyond task-success percentage.</w:t>
            </w:r>
          </w:p>
        </w:tc>
      </w:tr>
      <w:tr>
        <w:trPr>
          <w:cantSplit/>
        </w:trPr>
        <w:tc>
          <w:tcPr>
            <w:tcW w:type="dxa" w:w="30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Lookup P95/P99 latency</w:t>
            </w:r>
          </w:p>
        </w:tc>
        <w:tc>
          <w:tcPr>
            <w:tcW w:type="dxa" w:w="69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Runtime overhead.</w:t>
            </w:r>
          </w:p>
        </w:tc>
      </w:tr>
      <w:tr>
        <w:trPr>
          <w:cantSplit/>
        </w:trPr>
        <w:tc>
          <w:tcPr>
            <w:tcW w:type="dxa" w:w="30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Incident coverage</w:t>
            </w:r>
          </w:p>
        </w:tc>
        <w:tc>
          <w:tcPr>
            <w:tcW w:type="dxa" w:w="69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How much of agent failure traffic Graph Swarm can normalize.</w:t>
            </w:r>
          </w:p>
        </w:tc>
      </w:tr>
      <w:tr>
        <w:trPr>
          <w:cantSplit/>
        </w:trPr>
        <w:tc>
          <w:tcPr>
            <w:tcW w:type="dxa" w:w="30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Resolution invalidation rate</w:t>
            </w:r>
          </w:p>
        </w:tc>
        <w:tc>
          <w:tcPr>
            <w:tcW w:type="dxa" w:w="69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Measures drift and how often historical advice becomes stale.</w:t>
            </w:r>
          </w:p>
        </w:tc>
      </w:tr>
      <w:tr>
        <w:trPr>
          <w:cantSplit/>
        </w:trPr>
        <w:tc>
          <w:tcPr>
            <w:tcW w:type="dxa" w:w="309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Cross-agent transfer success</w:t>
            </w:r>
          </w:p>
        </w:tc>
        <w:tc>
          <w:tcPr>
            <w:tcW w:type="dxa" w:w="691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Value of shared organizational memory once multi-agent support exists.</w:t>
            </w:r>
          </w:p>
        </w:tc>
      </w:tr>
    </w:tbl>
    <w:p>
      <w:pPr>
        <w:spacing w:after="20"/>
      </w:pPr>
    </w:p>
    <w:p>
      <w:pPr>
        <w:pStyle w:val="Heading1"/>
      </w:pPr>
      <w:r>
        <w:t>16. Deferred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816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6192"/>
            <w:shd w:fill="244A7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deferred</w:t>
            </w:r>
          </w:p>
        </w:tc>
      </w:tr>
      <w:tr>
        <w:trPr>
          <w:cantSplit/>
        </w:trPr>
        <w:tc>
          <w:tcPr>
            <w:tcW w:type="dxa" w:w="38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Graph Data Science centrality / bottleneck ranking</w:t>
            </w:r>
          </w:p>
        </w:tc>
        <w:tc>
          <w:tcPr>
            <w:tcW w:type="dxa" w:w="61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Interesting analytics, but topological centrality is not equivalent to operational criticality.</w:t>
            </w:r>
          </w:p>
        </w:tc>
      </w:tr>
      <w:tr>
        <w:trPr>
          <w:cantSplit/>
        </w:trPr>
        <w:tc>
          <w:tcPr>
            <w:tcW w:type="dxa" w:w="38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Impact-aware contradiction resolution</w:t>
            </w:r>
          </w:p>
        </w:tc>
        <w:tc>
          <w:tcPr>
            <w:tcW w:type="dxa" w:w="61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Useful after claims/beliefs are first-class; not required for failure-recovery V1.</w:t>
            </w:r>
          </w:p>
        </w:tc>
      </w:tr>
      <w:tr>
        <w:trPr>
          <w:cantSplit/>
        </w:trPr>
        <w:tc>
          <w:tcPr>
            <w:tcW w:type="dxa" w:w="38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Counterfactual replay service</w:t>
            </w:r>
          </w:p>
        </w:tc>
        <w:tc>
          <w:tcPr>
            <w:tcW w:type="dxa" w:w="61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Potentially strong research extension, but expensive and methodologically demanding.</w:t>
            </w:r>
          </w:p>
        </w:tc>
      </w:tr>
      <w:tr>
        <w:trPr>
          <w:cantSplit/>
        </w:trPr>
        <w:tc>
          <w:tcPr>
            <w:tcW w:type="dxa" w:w="38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Learned retrieval policy</w:t>
            </w:r>
          </w:p>
        </w:tc>
        <w:tc>
          <w:tcPr>
            <w:tcW w:type="dxa" w:w="61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Requires sufficient historical data and stable baseline before RL/learning is justified.</w:t>
            </w:r>
          </w:p>
        </w:tc>
      </w:tr>
      <w:tr>
        <w:trPr>
          <w:cantSplit/>
        </w:trPr>
        <w:tc>
          <w:tcPr>
            <w:tcW w:type="dxa" w:w="38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Autonomous remediation marketplace/runbooks</w:t>
            </w:r>
          </w:p>
        </w:tc>
        <w:tc>
          <w:tcPr>
            <w:tcW w:type="dxa" w:w="61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High product value but high security/governance risk.</w:t>
            </w:r>
          </w:p>
        </w:tc>
      </w:tr>
      <w:tr>
        <w:trPr>
          <w:cantSplit/>
        </w:trPr>
        <w:tc>
          <w:tcPr>
            <w:tcW w:type="dxa" w:w="38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Large interactive graph canvas</w:t>
            </w:r>
          </w:p>
        </w:tc>
        <w:tc>
          <w:tcPr>
            <w:tcW w:type="dxa" w:w="61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Presentation feature after the graph answers concrete questions.</w:t>
            </w:r>
          </w:p>
        </w:tc>
      </w:tr>
      <w:tr>
        <w:trPr>
          <w:cantSplit/>
        </w:trPr>
        <w:tc>
          <w:tcPr>
            <w:tcW w:type="dxa" w:w="3816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Multi-region / enterprise deployment</w:t>
            </w:r>
          </w:p>
        </w:tc>
        <w:tc>
          <w:tcPr>
            <w:tcW w:type="dxa" w:w="6192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r>
              <w:rPr>
                <w:sz w:val="18"/>
              </w:rPr>
              <w:t>Only after real deployment demand exists.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2606D"/>
        <w:sz w:val="16"/>
      </w:rPr>
      <w:t xml:space="preserve">Graph Swarm  |  Future Production &amp; Integration Plan  |  </w:t>
    </w:r>
    <w:r>
      <w:rPr>
        <w:rFonts w:ascii="Arial" w:hAnsi="Arial"/>
        <w:color w:val="52606D"/>
        <w:sz w:val="16"/>
      </w:rPr>
      <w:t xml:space="preserve">Page </w:t>
    </w:r>
    <w:r>
      <w:rPr>
        <w:rFonts w:ascii="Arial" w:hAnsi="Arial"/>
        <w:color w:val="52606D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44A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D6A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44A7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5260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 w:line="240" w:lineRule="auto"/>
      <w:ind w:left="259" w:right="259"/>
    </w:pPr>
    <w:rPr>
      <w:rFonts w:ascii="Courier New" w:hAnsi="Courier New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