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60"/>
      </w:pPr>
      <w:r>
        <w:rPr>
          <w:rFonts w:ascii="Arial" w:hAnsi="Arial"/>
          <w:b/>
          <w:color w:val="2D6A7F"/>
          <w:sz w:val="24"/>
        </w:rPr>
        <w:t>GRAPH SWARM</w:t>
      </w:r>
    </w:p>
    <w:p>
      <w:pPr>
        <w:pStyle w:val="Title"/>
      </w:pPr>
      <w:r>
        <w:t>Research Ledger</w:t>
      </w:r>
    </w:p>
    <w:p>
      <w:pPr>
        <w:pStyle w:val="Subtitle"/>
      </w:pPr>
      <w:r>
        <w:t>Living record of decisions, open questions, experiments, claims, risks, and changes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4997"/>
        <w:gridCol w:w="4997"/>
      </w:tblGrid>
      <w:tr>
        <w:tc>
          <w:tcPr>
            <w:tcW w:type="dxa" w:w="1944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ACTIVE - append/update throughout the project</w:t>
            </w:r>
          </w:p>
        </w:tc>
      </w:tr>
      <w:tr>
        <w:tc>
          <w:tcPr>
            <w:tcW w:type="dxa" w:w="4997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 August 2026</w:t>
            </w:r>
          </w:p>
        </w:tc>
      </w:tr>
      <w:tr>
        <w:tc>
          <w:tcPr>
            <w:tcW w:type="dxa" w:w="4997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Highest-authority record for newer project decisions. A later dated ledger decision overrides older planning language.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1F7"/>
          <w:left w:val="single" w:sz="0" w:space="0" w:color="EAF1F7"/>
          <w:bottom w:val="single" w:sz="0" w:space="0" w:color="EAF1F7"/>
          <w:right w:val="single" w:sz="0" w:space="0" w:color="EAF1F7"/>
          <w:insideH w:val="single" w:sz="0" w:space="0" w:color="EAF1F7"/>
          <w:insideV w:val="single" w:sz="0" w:space="0" w:color="EAF1F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Source-of-truth rule: </w:t>
            </w:r>
            <w:r>
              <w:t>Use this document only for the authority stated above. When it conflicts with a newer entry in the Research Ledger, the Ledger wins. Future-production material must not be treated as current research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160"/>
      </w:pPr>
      <w:r>
        <w:rPr>
          <w:color w:val="52606D"/>
        </w:rPr>
        <w:t>This is a static navigation map intended for human readers and GPT source retrieval. Section numbers are stable unless a major revision is made.</w:t>
      </w:r>
    </w:p>
    <w:p>
      <w:pPr>
        <w:ind w:left="72"/>
      </w:pPr>
      <w:r>
        <w:rPr>
          <w:b/>
          <w:color w:val="244A72"/>
        </w:rPr>
        <w:t xml:space="preserve">1  </w:t>
      </w:r>
      <w:r>
        <w:t>Ledger rules and status vocabulary</w:t>
      </w:r>
    </w:p>
    <w:p>
      <w:pPr>
        <w:ind w:left="72"/>
      </w:pPr>
      <w:r>
        <w:rPr>
          <w:b/>
          <w:color w:val="244A72"/>
        </w:rPr>
        <w:t xml:space="preserve">2  </w:t>
      </w:r>
      <w:r>
        <w:t>Decision register</w:t>
      </w:r>
    </w:p>
    <w:p>
      <w:pPr>
        <w:ind w:left="72"/>
      </w:pPr>
      <w:r>
        <w:rPr>
          <w:b/>
          <w:color w:val="244A72"/>
        </w:rPr>
        <w:t xml:space="preserve">3  </w:t>
      </w:r>
      <w:r>
        <w:t>Open questions</w:t>
      </w:r>
    </w:p>
    <w:p>
      <w:pPr>
        <w:ind w:left="72"/>
      </w:pPr>
      <w:r>
        <w:rPr>
          <w:b/>
          <w:color w:val="244A72"/>
        </w:rPr>
        <w:t xml:space="preserve">4  </w:t>
      </w:r>
      <w:r>
        <w:t>Assumptions register</w:t>
      </w:r>
    </w:p>
    <w:p>
      <w:pPr>
        <w:ind w:left="72"/>
      </w:pPr>
      <w:r>
        <w:rPr>
          <w:b/>
          <w:color w:val="244A72"/>
        </w:rPr>
        <w:t xml:space="preserve">5  </w:t>
      </w:r>
      <w:r>
        <w:t>Experiment registry</w:t>
      </w:r>
    </w:p>
    <w:p>
      <w:pPr>
        <w:ind w:left="72"/>
      </w:pPr>
      <w:r>
        <w:rPr>
          <w:b/>
          <w:color w:val="244A72"/>
        </w:rPr>
        <w:t xml:space="preserve">6  </w:t>
      </w:r>
      <w:r>
        <w:t>Claims register</w:t>
      </w:r>
    </w:p>
    <w:p>
      <w:pPr>
        <w:ind w:left="72"/>
      </w:pPr>
      <w:r>
        <w:rPr>
          <w:b/>
          <w:color w:val="244A72"/>
        </w:rPr>
        <w:t xml:space="preserve">7  </w:t>
      </w:r>
      <w:r>
        <w:t>Risk register</w:t>
      </w:r>
    </w:p>
    <w:p>
      <w:pPr>
        <w:ind w:left="72"/>
      </w:pPr>
      <w:r>
        <w:rPr>
          <w:b/>
          <w:color w:val="244A72"/>
        </w:rPr>
        <w:t xml:space="preserve">8  </w:t>
      </w:r>
      <w:r>
        <w:t>Change log</w:t>
      </w:r>
    </w:p>
    <w:p>
      <w:pPr>
        <w:ind w:left="72"/>
      </w:pPr>
      <w:r>
        <w:rPr>
          <w:b/>
          <w:color w:val="244A72"/>
        </w:rPr>
        <w:t xml:space="preserve">9  </w:t>
      </w:r>
      <w:r>
        <w:t>Entry templates</w:t>
      </w:r>
    </w:p>
    <w:p>
      <w:r>
        <w:br w:type="page"/>
      </w:r>
    </w:p>
    <w:p>
      <w:pPr>
        <w:pStyle w:val="Heading1"/>
      </w:pPr>
      <w:r>
        <w:t>1. Ledger rules and status vocabulary</w:t>
      </w:r>
    </w:p>
    <w:p>
      <w:pPr>
        <w:pStyle w:val="ListBullet"/>
        <w:spacing w:after="50"/>
      </w:pPr>
      <w:r>
        <w:t>Add a dated entry whenever a material research, architecture, dataset, metric, or scope decision changes.</w:t>
      </w:r>
    </w:p>
    <w:p>
      <w:pPr>
        <w:pStyle w:val="ListBullet"/>
        <w:spacing w:after="50"/>
      </w:pPr>
      <w:r>
        <w:t>Do not silently rewrite history. Mark older decisions superseded and point to the newer decision ID.</w:t>
      </w:r>
    </w:p>
    <w:p>
      <w:pPr>
        <w:pStyle w:val="ListBullet"/>
        <w:spacing w:after="50"/>
      </w:pPr>
      <w:r>
        <w:t>Experiment IDs should be immutable. Reruns receive a suffix or a new ID with a documented reason.</w:t>
      </w:r>
    </w:p>
    <w:p>
      <w:pPr>
        <w:pStyle w:val="ListBullet"/>
        <w:spacing w:after="50"/>
      </w:pPr>
      <w:r>
        <w:t>Claims move from UNPROVEN to SUPPORTED only when the required evidence is linked to a completed experiment.</w:t>
      </w:r>
    </w:p>
    <w:p>
      <w:pPr>
        <w:pStyle w:val="ListBullet"/>
        <w:spacing w:after="50"/>
      </w:pPr>
      <w:r>
        <w:t>Use this document to resolve disagreements between older plans and current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9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Not yet accepted as project policy.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ACCEPTED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Current project decision.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SUPERSEDED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Replaced by a later entry.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OPEN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Unresolved question.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Cannot proceed because prerequisite evidence/work is missing.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UNPROVEN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Claim has not met its evidence requirement.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SUPPORTED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Current experiments support the scoped claim.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REJECTED</w:t>
            </w:r>
          </w:p>
        </w:tc>
        <w:tc>
          <w:tcPr>
            <w:tcW w:type="dxa" w:w="79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Evidence or scope review does not support the proposal/claim.</w:t>
            </w:r>
          </w:p>
        </w:tc>
      </w:tr>
    </w:tbl>
    <w:p>
      <w:pPr>
        <w:spacing w:after="20"/>
      </w:pPr>
    </w:p>
    <w:p>
      <w:pPr>
        <w:pStyle w:val="Heading1"/>
      </w:pPr>
      <w:r>
        <w:t>2. Decision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2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9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0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24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244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GS-D001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Research-first scope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will be treated as an experimental research system for the current two-month effort. Productionization is deferred to a separate plan.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Prevents product features from consuming the experiment window.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GS-D002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Contribution framing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Primary working mechanism is Verified Failure Memory: reuse of empirically successful recovery experience under comparable conditions.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Graph/temporal/causal memory itself is already substantial prior art.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GS-D003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Initial domain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Coding and DevOps-style agent tasks are the initial domain.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Objective outcomes such as tests, exit codes, and API results support reproducible evaluation.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GS-D004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Agent harness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Use a minimal PydanticAI agent with Groq-hosted inference for the experimental harness.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Direct Groq support, typed tools, and lifecycle hooks; the agent remains replaceable.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GS-D005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backend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Use Neo4j for explicit operational relationships and direct schema control.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The database is an implementation choice, not the novelty claim.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Research rollouts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Three rollouts: Observe &amp; Remember; Advise &amp; Prevent; Evaluate &amp; Generalize.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Each rollout must prove a stronger research property before the next one expands scope.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GS-D007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Primary benchmark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Use one SWE-smith-derived recurring-failure benchmark; manual verification is dataset QA, not a separate benchmark.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Directly tests cross-run experience transfer while controlling scope.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GS-D008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Primary metrics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Repeated Failure Rate is the primary mechanism metric; False Advice Rate is mandatory.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Prevents a system from appearing strong by warning constantly.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GS-D009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Causal language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Do not call observational failure -&gt; change -&gt; success evidence causal in V1.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Causal attribution requires stronger methodology such as controlled replay/interventions.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GS-D010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Production separation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Dashboards, multi-framework support, autonomy, scaling, and security hardening live in Future Production Plan.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Protects eight-week research schedule.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GS-D011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Controlled comparison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Keep model, prompts, tools, task order, evaluator, and resource limits constant across memory conditions.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Required for interpretable baseline vs treatment results.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GS-D012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14 Aug 2026</w:t>
            </w:r>
          </w:p>
        </w:tc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Evaluation conditions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At minimum compare no persistent memory with Graph Swarm. Add vector episodic memory if the final claim explicitly compares against conventional episodic memory.</w:t>
            </w:r>
          </w:p>
        </w:tc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Avoids unnecessary baseline explosion while preserving claim validity.</w:t>
            </w:r>
          </w:p>
        </w:tc>
      </w:tr>
    </w:tbl>
    <w:p>
      <w:pPr>
        <w:spacing w:after="20"/>
      </w:pPr>
    </w:p>
    <w:p>
      <w:pPr>
        <w:pStyle w:val="Heading1"/>
      </w:pPr>
      <w:r>
        <w:t>3. Open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9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31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Resolution path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GS-Q001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What Groq-hosted model should be frozen for the main benchmark?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Choose after a small tool-use reliability pilot; record model ID and configuration.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GS-Q002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What exact evidence threshold qualifies a recovery as "verified" for the final experiment?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Calibrate on development recurrence families; freeze before held-out evaluation.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GS-Q003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How should recurrence similarity combine structured signatures and embeddings?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Start structural-first; add semantic similarity only for variants that structured fields miss.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GS-Q004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How many recurrence families/tasks are sufficient for the main result within budget?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Pilot 5 families x 3 tasks, then estimate variance/cost before scaling.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GS-Q005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How many stochastic repetitions are required per task/condition?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Pilot variability and pre-declare a uniform rerun policy.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GS-Q006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Should a vector episodic baseline be mandatory?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Yes if the final contribution claim compares with conventional episodic memory; otherwise keep it secondary.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GS-Q007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How should stale recoveries be invalidated when dependency/tool versions change?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Start with explicit environment mismatch rules; test an environment-matching ablation later.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GS-Q008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How should accepted vs ignored Graph Swarm advice be represented?</w:t>
            </w:r>
          </w:p>
        </w:tc>
        <w:tc>
          <w:tcPr>
            <w:tcW w:type="dxa" w:w="40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Record both the advice event and subsequent action diff/outcome; do not infer acceptance from success alone.</w:t>
            </w:r>
          </w:p>
        </w:tc>
      </w:tr>
    </w:tbl>
    <w:p>
      <w:pPr>
        <w:spacing w:after="20"/>
      </w:pPr>
    </w:p>
    <w:p>
      <w:pPr>
        <w:pStyle w:val="Heading1"/>
      </w:pPr>
      <w:r>
        <w:t>4. Assumptions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9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151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71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/ response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GS-A001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The coding-agent harness can produce sufficiently reproducible failures for controlled comparison.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 impact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Validate in Rollout 1; if false, simplify tasks/tools before Graph Swarm logic.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GS-A002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At least some historical recoveries transfer across related but non-identical tasks.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CORE hypothesis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The recurrence benchmark explicitly tests this; a negative result is scientifically informative.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GS-A003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Objective evaluators are available for the selected task families.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 impact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Require tests/exit codes/API assertions in dataset inclusion criteria.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GS-A004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Pre-action advice can be injected without changing unrelated agent behavior.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Log prompt/context deltas and keep advice compact.</w:t>
            </w:r>
          </w:p>
        </w:tc>
      </w:tr>
      <w:tr>
        <w:trPr>
          <w:cantSplit/>
        </w:trPr>
        <w:tc>
          <w:tcPr>
            <w:tcW w:type="dxa" w:w="12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GS-A005</w:t>
            </w:r>
          </w:p>
        </w:tc>
        <w:tc>
          <w:tcPr>
            <w:tcW w:type="dxa" w:w="453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Neo4j lookup overhead will not dominate overall agent runtime at research scale.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LOW/MEDIUM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Measure retrieval latency; optimize only if it becomes material.</w:t>
            </w:r>
          </w:p>
        </w:tc>
      </w:tr>
    </w:tbl>
    <w:p>
      <w:pPr>
        <w:spacing w:after="20"/>
      </w:pPr>
    </w:p>
    <w:p>
      <w:pPr>
        <w:pStyle w:val="Heading1"/>
      </w:pPr>
      <w:r>
        <w:t>5. Experiment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2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4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type="dxa" w:w="396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0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GS-E001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Vertical slice: one failure remembered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Demonstrate deterministic failure -&gt; candidate resolution -&gt; objective success -&gt; persistent graph lineage.</w:t>
            </w:r>
          </w:p>
        </w:tc>
        <w:tc>
          <w:tcPr>
            <w:tcW w:type="dxa" w:w="2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R1 gate evidence.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GS-E002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One recurrence prevention case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Later related task triggers pre-action recovery advice and avoids the known failure.</w:t>
            </w:r>
          </w:p>
        </w:tc>
        <w:tc>
          <w:tcPr>
            <w:tcW w:type="dxa" w:w="2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R2 gate evidence.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GS-E003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Small recurrence pilot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5 failure families x approximately 3 tasks; baseline vs Graph Swarm.</w:t>
            </w:r>
          </w:p>
        </w:tc>
        <w:tc>
          <w:tcPr>
            <w:tcW w:type="dxa" w:w="2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Estimate effect size, instability, and benchmark problems.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GS-E004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Main frozen benchmark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Chronological validated recurrence set under frozen configs.</w:t>
            </w:r>
          </w:p>
        </w:tc>
        <w:tc>
          <w:tcPr>
            <w:tcW w:type="dxa" w:w="2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Primary results.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GS-E005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Verification ablation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retrieval without outcome-verification signal.</w:t>
            </w:r>
          </w:p>
        </w:tc>
        <w:tc>
          <w:tcPr>
            <w:tcW w:type="dxa" w:w="2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Tests H2.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GS-E006</w:t>
            </w:r>
          </w:p>
        </w:tc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Environment-matching ablation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Remove environment/version applicability.</w:t>
            </w:r>
          </w:p>
        </w:tc>
        <w:tc>
          <w:tcPr>
            <w:tcW w:type="dxa" w:w="2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Tests H3.</w:t>
            </w:r>
          </w:p>
        </w:tc>
      </w:tr>
    </w:tbl>
    <w:p>
      <w:pPr>
        <w:spacing w:after="20"/>
      </w:pPr>
    </w:p>
    <w:p>
      <w:pPr>
        <w:pStyle w:val="Heading1"/>
      </w:pPr>
      <w:r>
        <w:t>6. Claims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1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Claim</w:t>
            </w:r>
          </w:p>
        </w:tc>
        <w:tc>
          <w:tcPr>
            <w:tcW w:type="dxa" w:w="3671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requirement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GS-C001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UNPROVEN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reduces recurring known failures on the Graph Swarm recurrence benchmark.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GS-E004; RFR with denominators and uncertainty.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GS-C002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UNPROVEN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improves task efficiency (retries/tool calls) without unacceptable false advice.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GS-E004 secondary metrics + FAR.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GS-C003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UNPROVEN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Verified outcome evidence contributes beyond retrieving historical incidents.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GS-E005.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GS-C004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UNPROVEN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Environment/version matching reduces stale or wrong transfer.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GS-E006.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GS-C005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DO NOT CLAIM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memory is universally superior to vector memory.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Would require broad multi-domain comparison not planned.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GS-C006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DO NOT CLAIM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performs causal failure attribution.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Requires causal/interventional study, not observational V1.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GS-C007</w:t>
            </w:r>
          </w:p>
        </w:tc>
        <w:tc>
          <w:tcPr>
            <w:tcW w:type="dxa" w:w="15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DO NOT CLAIM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is first-of-its-kind.</w:t>
            </w:r>
          </w:p>
        </w:tc>
        <w:tc>
          <w:tcPr>
            <w:tcW w:type="dxa" w:w="367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Insufficient basis; recent related work is extensive.</w:t>
            </w:r>
          </w:p>
        </w:tc>
      </w:tr>
    </w:tbl>
    <w:p>
      <w:pPr>
        <w:spacing w:after="20"/>
      </w:pPr>
    </w:p>
    <w:p>
      <w:pPr>
        <w:pStyle w:val="Heading1"/>
      </w:pPr>
      <w:r>
        <w:t>7.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46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17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GS-R001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Recurrence pairs are artificially easy or not genuinely transferable.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Manual validation; record pair rationale; freeze before final experiment.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GS-R002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Agent variability obscures memory effect.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Pilot variance, freeze model/settings, use uniform repetition rule.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GS-R003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Graph Swarm over-warns and superficially lowers failures.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Mandatory False Advice Rate and advice coverage.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GS-R004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 later success is mislabelled as a verified fix.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Separate candidate/observed/verified states; calibrate thresholds.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GS-R005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Benchmark tuning leaks into final evaluation families.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Separate dev/eval where feasible; document every manual edit.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GS-R006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Scope expands into production features.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Use Future Production Plan as parking lot; R1-R3 gates control current work.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GS-R007</w:t>
            </w:r>
          </w:p>
        </w:tc>
        <w:tc>
          <w:tcPr>
            <w:tcW w:type="dxa" w:w="13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LOW/MEDIUM</w:t>
            </w:r>
          </w:p>
        </w:tc>
        <w:tc>
          <w:tcPr>
            <w:tcW w:type="dxa" w:w="44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Neo4j complexity distracts from research.</w:t>
            </w:r>
          </w:p>
        </w:tc>
        <w:tc>
          <w:tcPr>
            <w:tcW w:type="dxa" w:w="41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Keep schema small; direct driver; no GDS/UI in V1.</w:t>
            </w:r>
          </w:p>
        </w:tc>
      </w:tr>
    </w:tbl>
    <w:p>
      <w:pPr>
        <w:spacing w:after="20"/>
      </w:pPr>
    </w:p>
    <w:p>
      <w:pPr>
        <w:pStyle w:val="Heading1"/>
      </w:pPr>
      <w:r>
        <w:t>8. Change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60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511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Aug 2026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Initial Graph Swarm concept reframed from general multi-agent orchestrator/memory graph toward operational failure memory.</w:t>
            </w:r>
          </w:p>
        </w:tc>
        <w:tc>
          <w:tcPr>
            <w:tcW w:type="dxa" w:w="51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Sharper measurable problem; avoids competing with established graph-memory/observability systems.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Aug 2026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Contribution narrowed to Verified Failure Memory.</w:t>
            </w:r>
          </w:p>
        </w:tc>
        <w:tc>
          <w:tcPr>
            <w:tcW w:type="dxa" w:w="51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Recent agent-memory literature already covers graph, temporal, causal, and evolving memories.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Aug 2026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Research plan separated from production plan.</w:t>
            </w:r>
          </w:p>
        </w:tc>
        <w:tc>
          <w:tcPr>
            <w:tcW w:type="dxa" w:w="51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Two-month effort is an experiment, not a production platform build.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Aug 2026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Evaluation simplified to one primary SWE-smith-derived recurrence benchmark.</w:t>
            </w:r>
          </w:p>
        </w:tc>
        <w:tc>
          <w:tcPr>
            <w:tcW w:type="dxa" w:w="51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Avoids three-benchmark overcomplexity; manual subset becomes dataset QA.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Aug 2026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Three rollouts redefined as research milestones.</w:t>
            </w:r>
          </w:p>
        </w:tc>
        <w:tc>
          <w:tcPr>
            <w:tcW w:type="dxa" w:w="51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Allows all three to fit within eight weeks if gates are kept narrow.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Aug 2026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PydanticAI selected over LangGraph for initial harness.</w:t>
            </w:r>
          </w:p>
        </w:tc>
        <w:tc>
          <w:tcPr>
            <w:tcW w:type="dxa" w:w="51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Cleaner Groq integration and lifecycle interception for a minimal experimental agent.</w:t>
            </w:r>
          </w:p>
        </w:tc>
      </w:tr>
    </w:tbl>
    <w:p>
      <w:pPr>
        <w:spacing w:after="20"/>
      </w:pPr>
    </w:p>
    <w:p>
      <w:pPr>
        <w:pStyle w:val="Heading1"/>
      </w:pPr>
      <w:r>
        <w:t>9. Entry templates</w:t>
      </w:r>
    </w:p>
    <w:p>
      <w:pPr>
        <w:pStyle w:val="Heading2"/>
      </w:pPr>
      <w:r>
        <w:t>9.1 Decision template</w:t>
      </w:r>
    </w:p>
    <w:p>
      <w:pPr>
        <w:pStyle w:val="CodeBlock"/>
        <w:keepLines/>
        <w:shd w:fill="F3F6F8"/>
      </w:pPr>
      <w:r>
        <w:t>ID: GS-D###</w:t>
        <w:br/>
        <w:t>Date:</w:t>
        <w:br/>
        <w:t>Status: PROPOSED | ACCEPTED | SUPERSEDED</w:t>
        <w:br/>
        <w:t>Decision:</w:t>
        <w:br/>
        <w:t>Policy:</w:t>
        <w:br/>
        <w:t>Reason / evidence:</w:t>
        <w:br/>
        <w:t>Supersedes:</w:t>
        <w:br/>
        <w:t>Revisit trigger:</w:t>
      </w:r>
    </w:p>
    <w:p>
      <w:pPr>
        <w:pStyle w:val="Heading2"/>
      </w:pPr>
      <w:r>
        <w:t>9.2 Experiment template</w:t>
      </w:r>
    </w:p>
    <w:p>
      <w:pPr>
        <w:pStyle w:val="CodeBlock"/>
        <w:keepLines/>
        <w:shd w:fill="F3F6F8"/>
      </w:pPr>
      <w:r>
        <w:t>ID: GS-E###</w:t>
        <w:br/>
        <w:t>Date / commit:</w:t>
        <w:br/>
        <w:t>Hypothesis:</w:t>
        <w:br/>
        <w:t>Dataset/families + conditions:</w:t>
        <w:br/>
        <w:t>Model/settings + prompt version:</w:t>
        <w:br/>
        <w:t>Graph Swarm config + repetition rule:</w:t>
        <w:br/>
        <w:t>Metrics: primary + secondary</w:t>
        <w:br/>
        <w:t>Raw artifact path:</w:t>
        <w:br/>
        <w:t>Anomalies / exclusions:</w:t>
        <w:br/>
        <w:t>Result summary + conclusion:</w:t>
        <w:br/>
        <w:t>Claims affected:</w:t>
      </w:r>
    </w:p>
    <w:p>
      <w:pPr>
        <w:pStyle w:val="Heading2"/>
      </w:pPr>
      <w:r>
        <w:t>9.3 Open-question template</w:t>
      </w:r>
    </w:p>
    <w:p>
      <w:pPr>
        <w:pStyle w:val="CodeBlock"/>
        <w:keepLines/>
        <w:shd w:fill="F3F6F8"/>
      </w:pPr>
      <w:r>
        <w:t>ID: GS-Q###</w:t>
        <w:br/>
        <w:t>Question + why it matters:</w:t>
        <w:br/>
        <w:t>Candidate answers:</w:t>
        <w:br/>
        <w:t>Evidence needed:</w:t>
        <w:br/>
        <w:t>Owner (optional) + decision trigger:</w:t>
        <w:br/>
        <w:t>Resolution:</w:t>
        <w:br/>
        <w:t>Linked decision ID:</w:t>
      </w:r>
    </w:p>
    <w:p>
      <w:pPr>
        <w:pStyle w:val="Heading2"/>
      </w:pPr>
      <w:r>
        <w:t>9.4 Claim template</w:t>
      </w:r>
    </w:p>
    <w:p>
      <w:pPr>
        <w:pStyle w:val="CodeBlock"/>
        <w:keepLines/>
        <w:shd w:fill="F3F6F8"/>
      </w:pPr>
      <w:r>
        <w:t>ID: GS-C###</w:t>
        <w:br/>
        <w:t>Claim:</w:t>
        <w:br/>
        <w:t>Scope:</w:t>
        <w:br/>
        <w:t>Status: UNPROVEN | SUPPORTED | REJECTED | DO NOT CLAIM</w:t>
        <w:br/>
        <w:t>Required evidence:</w:t>
        <w:br/>
        <w:t>Supporting experiments:</w:t>
        <w:br/>
        <w:t>Counter-evidence / limitations:</w:t>
        <w:br/>
        <w:t>Allowed wording: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06D"/>
        <w:sz w:val="16"/>
      </w:rPr>
      <w:t xml:space="preserve">Graph Swarm  |  Research Ledger  |  </w:t>
    </w:r>
    <w:r>
      <w:rPr>
        <w:rFonts w:ascii="Arial" w:hAnsi="Arial"/>
        <w:color w:val="52606D"/>
        <w:sz w:val="16"/>
      </w:rPr>
      <w:t xml:space="preserve">Page </w:t>
    </w:r>
    <w:r>
      <w:rPr>
        <w:rFonts w:ascii="Arial" w:hAnsi="Arial"/>
        <w:color w:val="52606D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44A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D6A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44A7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 w:line="240" w:lineRule="auto"/>
      <w:ind w:left="259" w:right="259"/>
    </w:pPr>
    <w:rPr>
      <w:rFonts w:ascii="Courier New" w:hAnsi="Courier New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