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5B9BD5"/>
          <w:sz w:val="32"/>
        </w:rPr>
        <w:t>PROJECT REPORT</w:t>
      </w:r>
    </w:p>
    <w:p>
      <w:pPr>
        <w:pStyle w:val="Title"/>
        <w:jc w:val="center"/>
      </w:pPr>
      <w:r>
        <w:t>Telco Customer Churn</w:t>
        <w:br/>
        <w:t>Analysis and Prediction</w:t>
      </w:r>
    </w:p>
    <w:p>
      <w:pPr>
        <w:jc w:val="center"/>
      </w:pPr>
      <w:r>
        <w:rPr>
          <w:color w:val="595959"/>
          <w:sz w:val="28"/>
        </w:rPr>
        <w:t>Data Analytics and Machine Learning Project</w:t>
      </w:r>
    </w:p>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0"/>
            </w:pPr>
            <w:r/>
            <w:r>
              <w:rPr>
                <w:rFonts w:ascii="Arial" w:hAnsi="Arial"/>
                <w:b/>
                <w:sz w:val="20"/>
              </w:rPr>
              <w:t>Submitted by</w:t>
            </w:r>
          </w:p>
        </w:tc>
        <w:tc>
          <w:tcPr>
            <w:tcW w:type="dxa" w:w="4896"/>
            <w:vAlign w:val="center"/>
          </w:tcPr>
          <w:p>
            <w:pPr>
              <w:spacing w:after="0"/>
            </w:pPr>
            <w:r/>
            <w:r>
              <w:rPr>
                <w:rFonts w:ascii="Arial" w:hAnsi="Arial"/>
                <w:b w:val="0"/>
                <w:sz w:val="20"/>
              </w:rPr>
              <w:t>Mahak Kumari</w:t>
            </w:r>
          </w:p>
        </w:tc>
      </w:tr>
      <w:tr>
        <w:tc>
          <w:tcPr>
            <w:tcW w:type="dxa" w:w="4896"/>
            <w:vAlign w:val="center"/>
          </w:tcPr>
          <w:p>
            <w:pPr>
              <w:spacing w:after="0"/>
            </w:pPr>
            <w:r/>
            <w:r>
              <w:rPr>
                <w:rFonts w:ascii="Arial" w:hAnsi="Arial"/>
                <w:b/>
                <w:sz w:val="20"/>
              </w:rPr>
              <w:t>Academic Program</w:t>
            </w:r>
          </w:p>
        </w:tc>
        <w:tc>
          <w:tcPr>
            <w:tcW w:type="dxa" w:w="4896"/>
            <w:vAlign w:val="center"/>
          </w:tcPr>
          <w:p>
            <w:pPr>
              <w:spacing w:after="0"/>
            </w:pPr>
            <w:r/>
            <w:r>
              <w:rPr>
                <w:rFonts w:ascii="Arial" w:hAnsi="Arial"/>
                <w:b w:val="0"/>
                <w:sz w:val="20"/>
              </w:rPr>
              <w:t>IBM SkillsBuild Data Analytics with AI Academic Internship Program</w:t>
            </w:r>
          </w:p>
        </w:tc>
      </w:tr>
      <w:tr>
        <w:tc>
          <w:tcPr>
            <w:tcW w:type="dxa" w:w="4896"/>
            <w:vAlign w:val="center"/>
          </w:tcPr>
          <w:p>
            <w:pPr>
              <w:spacing w:after="0"/>
            </w:pPr>
            <w:r/>
            <w:r>
              <w:rPr>
                <w:rFonts w:ascii="Arial" w:hAnsi="Arial"/>
                <w:b/>
                <w:sz w:val="20"/>
              </w:rPr>
              <w:t>Organized by</w:t>
            </w:r>
          </w:p>
        </w:tc>
        <w:tc>
          <w:tcPr>
            <w:tcW w:type="dxa" w:w="4896"/>
            <w:vAlign w:val="center"/>
          </w:tcPr>
          <w:p>
            <w:pPr>
              <w:spacing w:after="0"/>
            </w:pPr>
            <w:r/>
            <w:r>
              <w:rPr>
                <w:rFonts w:ascii="Arial" w:hAnsi="Arial"/>
                <w:b w:val="0"/>
                <w:sz w:val="20"/>
              </w:rPr>
              <w:t>BharatCares in association with AICTE</w:t>
            </w:r>
          </w:p>
        </w:tc>
      </w:tr>
      <w:tr>
        <w:tc>
          <w:tcPr>
            <w:tcW w:type="dxa" w:w="4896"/>
            <w:vAlign w:val="center"/>
          </w:tcPr>
          <w:p>
            <w:pPr>
              <w:spacing w:after="0"/>
            </w:pPr>
            <w:r/>
            <w:r>
              <w:rPr>
                <w:rFonts w:ascii="Arial" w:hAnsi="Arial"/>
                <w:b/>
                <w:sz w:val="20"/>
              </w:rPr>
              <w:t>Tools</w:t>
            </w:r>
          </w:p>
        </w:tc>
        <w:tc>
          <w:tcPr>
            <w:tcW w:type="dxa" w:w="4896"/>
            <w:vAlign w:val="center"/>
          </w:tcPr>
          <w:p>
            <w:pPr>
              <w:spacing w:after="0"/>
            </w:pPr>
            <w:r/>
            <w:r>
              <w:rPr>
                <w:rFonts w:ascii="Arial" w:hAnsi="Arial"/>
                <w:b w:val="0"/>
                <w:sz w:val="20"/>
              </w:rPr>
              <w:t>Python, Google Colab, Pandas, NumPy, Matplotlib, Seaborn, Scikit-learn</w:t>
            </w:r>
          </w:p>
        </w:tc>
      </w:tr>
      <w:tr>
        <w:tc>
          <w:tcPr>
            <w:tcW w:type="dxa" w:w="4896"/>
            <w:vAlign w:val="center"/>
          </w:tcPr>
          <w:p>
            <w:pPr>
              <w:spacing w:after="0"/>
            </w:pPr>
            <w:r/>
            <w:r>
              <w:rPr>
                <w:rFonts w:ascii="Arial" w:hAnsi="Arial"/>
                <w:b/>
                <w:sz w:val="20"/>
              </w:rPr>
              <w:t>Dataset</w:t>
            </w:r>
          </w:p>
        </w:tc>
        <w:tc>
          <w:tcPr>
            <w:tcW w:type="dxa" w:w="4896"/>
            <w:vAlign w:val="center"/>
          </w:tcPr>
          <w:p>
            <w:pPr>
              <w:spacing w:after="0"/>
            </w:pPr>
            <w:r/>
            <w:r>
              <w:rPr>
                <w:rFonts w:ascii="Arial" w:hAnsi="Arial"/>
                <w:b w:val="0"/>
                <w:sz w:val="20"/>
              </w:rPr>
              <w:t>Telco Customer Churn (WA_Fn-UseC_-Telco-Customer-Churn.csv)</w:t>
            </w:r>
          </w:p>
        </w:tc>
      </w:tr>
    </w:tbl>
    <w:p>
      <w:r>
        <w:br w:type="page"/>
      </w:r>
    </w:p>
    <w:p>
      <w:pPr>
        <w:pStyle w:val="Heading1"/>
      </w:pPr>
      <w:r>
        <w:t>Table of Contents</w:t>
      </w:r>
    </w:p>
    <w:p>
      <w:r>
        <w:t>1. Abstract</w:t>
      </w:r>
    </w:p>
    <w:p>
      <w:r>
        <w:t>2. Introduction</w:t>
      </w:r>
    </w:p>
    <w:p>
      <w:r>
        <w:t>3. Problem Statement</w:t>
      </w:r>
    </w:p>
    <w:p>
      <w:r>
        <w:t>4. Project Objectives</w:t>
      </w:r>
    </w:p>
    <w:p>
      <w:r>
        <w:t>5. Dataset Description</w:t>
      </w:r>
    </w:p>
    <w:p>
      <w:r>
        <w:t>6. Tools and Technologies</w:t>
      </w:r>
    </w:p>
    <w:p>
      <w:r>
        <w:t>7. Methodology</w:t>
      </w:r>
    </w:p>
    <w:p>
      <w:r>
        <w:t>8. Data Preprocessing</w:t>
      </w:r>
    </w:p>
    <w:p>
      <w:r>
        <w:t>9. Exploratory Data Analysis</w:t>
      </w:r>
    </w:p>
    <w:p>
      <w:r>
        <w:t>10. Machine Learning Approach</w:t>
      </w:r>
    </w:p>
    <w:p>
      <w:r>
        <w:t>11. Model Evaluation and Results</w:t>
      </w:r>
    </w:p>
    <w:p>
      <w:r>
        <w:t>12. Feature Analysis</w:t>
      </w:r>
    </w:p>
    <w:p>
      <w:r>
        <w:t>13. Business Recommendations</w:t>
      </w:r>
    </w:p>
    <w:p>
      <w:r>
        <w:t>14. Limitations</w:t>
      </w:r>
    </w:p>
    <w:p>
      <w:r>
        <w:t>15. Conclusion</w:t>
      </w:r>
    </w:p>
    <w:p>
      <w:r>
        <w:t>16. Future Scope</w:t>
      </w:r>
    </w:p>
    <w:p>
      <w:r>
        <w:t>17. References</w:t>
      </w:r>
    </w:p>
    <w:p>
      <w:r>
        <w:br w:type="page"/>
      </w:r>
    </w:p>
    <w:p>
      <w:pPr>
        <w:pStyle w:val="Heading1"/>
      </w:pPr>
      <w:r>
        <w:t>1. Abstract</w:t>
      </w:r>
    </w:p>
    <w:p>
      <w:r>
        <w:t>Customer churn occurs when customers discontinue a company’s services. Understanding churn is important for subscription-based businesses because retaining existing customers can support revenue stability and improve customer relationships. This project analyzes a Telco Customer Churn dataset containing 7,043 customer records and 21 columns. The work uses Python for data cleaning, exploratory data analysis, visualization, customer segmentation, and predictive modeling. Logistic Regression and Random Forest classifiers were trained and evaluated using a held-out test set. Logistic Regression achieved a ROC-AUC of 0.8420 and recall of 0.7914, while Random Forest achieved the higher accuracy of 0.7764. The results illustrate that model selection depends on the business objective and should not rely on accuracy alone. The project also produces a customer risk report, model comparison table, and feature analysis to support further investigation into customer retention.</w:t>
      </w:r>
    </w:p>
    <w:p>
      <w:pPr>
        <w:pStyle w:val="Heading1"/>
      </w:pPr>
      <w:r>
        <w:t>2. Introduction</w:t>
      </w:r>
    </w:p>
    <w:p>
      <w:r>
        <w:t>Telecommunication companies offer multiple services and subscription plans to customers. Customers may leave because of contract preferences, service experience, pricing, support requirements, or other factors. A churn analysis project uses historical customer information to explore patterns associated with cancellation and to estimate the likelihood of churn for unseen records. Data analysis can help a business identify customer groups that deserve closer attention and design retention initiatives that can later be evaluated.</w:t>
      </w:r>
    </w:p>
    <w:p>
      <w:r>
        <w:t>This project combines descriptive analytics with supervised machine learning. Descriptive analysis summarizes the dataset and compares churn across customer characteristics. Predictive modeling estimates churn status from available features. The findings show associations in this dataset; they do not establish that any single feature causes a customer to leave.</w:t>
      </w:r>
    </w:p>
    <w:p>
      <w:pPr>
        <w:pStyle w:val="Heading1"/>
      </w:pPr>
      <w:r>
        <w:t>3. Problem Statement</w:t>
      </w:r>
    </w:p>
    <w:p>
      <w:r>
        <w:t>The project addresses the following problem: how can customer data be analyzed to understand churn patterns and build a classification model that estimates whether a customer is likely to churn? The work compares two classification algorithms and reports multiple evaluation metrics so that the trade-off between identifying churning customers and making incorrect predictions can be considered.</w:t>
      </w:r>
    </w:p>
    <w:p>
      <w:pPr>
        <w:pStyle w:val="Heading1"/>
      </w:pPr>
      <w:r>
        <w:t>4. Project Objectives</w:t>
      </w:r>
    </w:p>
    <w:p>
      <w:pPr>
        <w:pStyle w:val="ListBullet"/>
      </w:pPr>
      <w:r>
        <w:t>Load, inspect, and prepare the Telco Customer Churn dataset for analysis.</w:t>
      </w:r>
    </w:p>
    <w:p>
      <w:pPr>
        <w:pStyle w:val="ListBullet"/>
      </w:pPr>
      <w:r>
        <w:t>Check data types, missing values, duplicate records, and basic data quality.</w:t>
      </w:r>
    </w:p>
    <w:p>
      <w:pPr>
        <w:pStyle w:val="ListBullet"/>
      </w:pPr>
      <w:r>
        <w:t>Calculate the overall churn rate and visualize customer churn patterns.</w:t>
      </w:r>
    </w:p>
    <w:p>
      <w:pPr>
        <w:pStyle w:val="ListBullet"/>
      </w:pPr>
      <w:r>
        <w:t>Explore churn across contract type, internet service, payment method, technical support, and tenure groups.</w:t>
      </w:r>
    </w:p>
    <w:p>
      <w:pPr>
        <w:pStyle w:val="ListBullet"/>
      </w:pPr>
      <w:r>
        <w:t>Train and compare Logistic Regression and Random Forest classifiers.</w:t>
      </w:r>
    </w:p>
    <w:p>
      <w:pPr>
        <w:pStyle w:val="ListBullet"/>
      </w:pPr>
      <w:r>
        <w:t>Evaluate model performance using accuracy, precision, recall, F1-score, ROC-AUC, and a confusion matrix.</w:t>
      </w:r>
    </w:p>
    <w:p>
      <w:pPr>
        <w:pStyle w:val="ListBullet"/>
      </w:pPr>
      <w:r>
        <w:t>Create supporting outputs including a model comparison CSV, feature analysis CSV, customer risk report, and saved model.</w:t>
      </w:r>
    </w:p>
    <w:p>
      <w:pPr>
        <w:pStyle w:val="ListBullet"/>
      </w:pPr>
      <w:r>
        <w:t>Translate the analytical findings into practical customer-retention recommendations.</w:t>
      </w:r>
    </w:p>
    <w:p>
      <w:pPr>
        <w:pStyle w:val="Heading1"/>
      </w:pPr>
      <w:r>
        <w:t>5. Dataset Description</w:t>
      </w:r>
    </w:p>
    <w:p>
      <w:r>
        <w:t>The project uses the CSV file WA_Fn-UseC_-Telco-Customer-Churn.csv, commonly known as the Telco Customer Churn dataset. The file contains 7,043 rows and 21 columns. Each row represents a customer. The target variable is Churn, which indicates whether the customer left the service (Yes) or stayed (No). The customerID column is an identifier and is excluded from the model features.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0"/>
            </w:pPr>
            <w:r/>
            <w:r>
              <w:rPr>
                <w:rFonts w:ascii="Arial" w:hAnsi="Arial"/>
                <w:b/>
                <w:color w:val="FFFFFF"/>
                <w:sz w:val="18"/>
              </w:rPr>
              <w:t>Dataset property</w:t>
            </w:r>
          </w:p>
        </w:tc>
        <w:tc>
          <w:tcPr>
            <w:tcW w:type="dxa" w:w="4896"/>
            <w:vAlign w:val="center"/>
            <w:shd w:fill="1F4E79"/>
          </w:tcPr>
          <w:p>
            <w:pPr>
              <w:spacing w:after="0"/>
            </w:pPr>
            <w:r/>
            <w:r>
              <w:rPr>
                <w:rFonts w:ascii="Arial" w:hAnsi="Arial"/>
                <w:b/>
                <w:color w:val="FFFFFF"/>
                <w:sz w:val="18"/>
              </w:rPr>
              <w:t>Value</w:t>
            </w:r>
          </w:p>
        </w:tc>
      </w:tr>
      <w:tr>
        <w:tc>
          <w:tcPr>
            <w:tcW w:type="dxa" w:w="4896"/>
            <w:vAlign w:val="center"/>
          </w:tcPr>
          <w:p>
            <w:pPr>
              <w:spacing w:after="0"/>
            </w:pPr>
            <w:r/>
            <w:r>
              <w:rPr>
                <w:rFonts w:ascii="Arial" w:hAnsi="Arial"/>
                <w:b w:val="0"/>
                <w:sz w:val="18"/>
              </w:rPr>
              <w:t>Number of records</w:t>
            </w:r>
          </w:p>
        </w:tc>
        <w:tc>
          <w:tcPr>
            <w:tcW w:type="dxa" w:w="4896"/>
            <w:vAlign w:val="center"/>
          </w:tcPr>
          <w:p>
            <w:pPr>
              <w:spacing w:after="0"/>
            </w:pPr>
            <w:r/>
            <w:r>
              <w:rPr>
                <w:rFonts w:ascii="Arial" w:hAnsi="Arial"/>
                <w:b w:val="0"/>
                <w:sz w:val="18"/>
              </w:rPr>
              <w:t>7,043</w:t>
            </w:r>
          </w:p>
        </w:tc>
      </w:tr>
      <w:tr>
        <w:tc>
          <w:tcPr>
            <w:tcW w:type="dxa" w:w="4896"/>
            <w:vAlign w:val="center"/>
          </w:tcPr>
          <w:p>
            <w:pPr>
              <w:spacing w:after="0"/>
            </w:pPr>
            <w:r/>
            <w:r>
              <w:rPr>
                <w:rFonts w:ascii="Arial" w:hAnsi="Arial"/>
                <w:b w:val="0"/>
                <w:sz w:val="18"/>
              </w:rPr>
              <w:t>Number of columns</w:t>
            </w:r>
          </w:p>
        </w:tc>
        <w:tc>
          <w:tcPr>
            <w:tcW w:type="dxa" w:w="4896"/>
            <w:vAlign w:val="center"/>
          </w:tcPr>
          <w:p>
            <w:pPr>
              <w:spacing w:after="0"/>
            </w:pPr>
            <w:r/>
            <w:r>
              <w:rPr>
                <w:rFonts w:ascii="Arial" w:hAnsi="Arial"/>
                <w:b w:val="0"/>
                <w:sz w:val="18"/>
              </w:rPr>
              <w:t>21</w:t>
            </w:r>
          </w:p>
        </w:tc>
      </w:tr>
      <w:tr>
        <w:tc>
          <w:tcPr>
            <w:tcW w:type="dxa" w:w="4896"/>
            <w:vAlign w:val="center"/>
          </w:tcPr>
          <w:p>
            <w:pPr>
              <w:spacing w:after="0"/>
            </w:pPr>
            <w:r/>
            <w:r>
              <w:rPr>
                <w:rFonts w:ascii="Arial" w:hAnsi="Arial"/>
                <w:b w:val="0"/>
                <w:sz w:val="18"/>
              </w:rPr>
              <w:t>Target variable</w:t>
            </w:r>
          </w:p>
        </w:tc>
        <w:tc>
          <w:tcPr>
            <w:tcW w:type="dxa" w:w="4896"/>
            <w:vAlign w:val="center"/>
          </w:tcPr>
          <w:p>
            <w:pPr>
              <w:spacing w:after="0"/>
            </w:pPr>
            <w:r/>
            <w:r>
              <w:rPr>
                <w:rFonts w:ascii="Arial" w:hAnsi="Arial"/>
                <w:b w:val="0"/>
                <w:sz w:val="18"/>
              </w:rPr>
              <w:t>Churn</w:t>
            </w:r>
          </w:p>
        </w:tc>
      </w:tr>
      <w:tr>
        <w:tc>
          <w:tcPr>
            <w:tcW w:type="dxa" w:w="4896"/>
            <w:vAlign w:val="center"/>
          </w:tcPr>
          <w:p>
            <w:pPr>
              <w:spacing w:after="0"/>
            </w:pPr>
            <w:r/>
            <w:r>
              <w:rPr>
                <w:rFonts w:ascii="Arial" w:hAnsi="Arial"/>
                <w:b w:val="0"/>
                <w:sz w:val="18"/>
              </w:rPr>
              <w:t>Customers marked as churned</w:t>
            </w:r>
          </w:p>
        </w:tc>
        <w:tc>
          <w:tcPr>
            <w:tcW w:type="dxa" w:w="4896"/>
            <w:vAlign w:val="center"/>
          </w:tcPr>
          <w:p>
            <w:pPr>
              <w:spacing w:after="0"/>
            </w:pPr>
            <w:r/>
            <w:r>
              <w:rPr>
                <w:rFonts w:ascii="Arial" w:hAnsi="Arial"/>
                <w:b w:val="0"/>
                <w:sz w:val="18"/>
              </w:rPr>
              <w:t>1,869</w:t>
            </w:r>
          </w:p>
        </w:tc>
      </w:tr>
      <w:tr>
        <w:tc>
          <w:tcPr>
            <w:tcW w:type="dxa" w:w="4896"/>
            <w:vAlign w:val="center"/>
          </w:tcPr>
          <w:p>
            <w:pPr>
              <w:spacing w:after="0"/>
            </w:pPr>
            <w:r/>
            <w:r>
              <w:rPr>
                <w:rFonts w:ascii="Arial" w:hAnsi="Arial"/>
                <w:b w:val="0"/>
                <w:sz w:val="18"/>
              </w:rPr>
              <w:t>Customers marked as retained</w:t>
            </w:r>
          </w:p>
        </w:tc>
        <w:tc>
          <w:tcPr>
            <w:tcW w:type="dxa" w:w="4896"/>
            <w:vAlign w:val="center"/>
          </w:tcPr>
          <w:p>
            <w:pPr>
              <w:spacing w:after="0"/>
            </w:pPr>
            <w:r/>
            <w:r>
              <w:rPr>
                <w:rFonts w:ascii="Arial" w:hAnsi="Arial"/>
                <w:b w:val="0"/>
                <w:sz w:val="18"/>
              </w:rPr>
              <w:t>5,174</w:t>
            </w:r>
          </w:p>
        </w:tc>
      </w:tr>
      <w:tr>
        <w:tc>
          <w:tcPr>
            <w:tcW w:type="dxa" w:w="4896"/>
            <w:vAlign w:val="center"/>
          </w:tcPr>
          <w:p>
            <w:pPr>
              <w:spacing w:after="0"/>
            </w:pPr>
            <w:r/>
            <w:r>
              <w:rPr>
                <w:rFonts w:ascii="Arial" w:hAnsi="Arial"/>
                <w:b w:val="0"/>
                <w:sz w:val="18"/>
              </w:rPr>
              <w:t>Overall churn rate</w:t>
            </w:r>
          </w:p>
        </w:tc>
        <w:tc>
          <w:tcPr>
            <w:tcW w:type="dxa" w:w="4896"/>
            <w:vAlign w:val="center"/>
          </w:tcPr>
          <w:p>
            <w:pPr>
              <w:spacing w:after="0"/>
            </w:pPr>
            <w:r/>
            <w:r>
              <w:rPr>
                <w:rFonts w:ascii="Arial" w:hAnsi="Arial"/>
                <w:b w:val="0"/>
                <w:sz w:val="18"/>
              </w:rPr>
              <w:t>26.54%</w:t>
            </w:r>
          </w:p>
        </w:tc>
      </w:tr>
      <w:tr>
        <w:tc>
          <w:tcPr>
            <w:tcW w:type="dxa" w:w="4896"/>
            <w:vAlign w:val="center"/>
          </w:tcPr>
          <w:p>
            <w:pPr>
              <w:spacing w:after="0"/>
            </w:pPr>
            <w:r/>
            <w:r>
              <w:rPr>
                <w:rFonts w:ascii="Arial" w:hAnsi="Arial"/>
                <w:b w:val="0"/>
                <w:sz w:val="18"/>
              </w:rPr>
              <w:t>Key feature examples</w:t>
            </w:r>
          </w:p>
        </w:tc>
        <w:tc>
          <w:tcPr>
            <w:tcW w:type="dxa" w:w="4896"/>
            <w:vAlign w:val="center"/>
          </w:tcPr>
          <w:p>
            <w:pPr>
              <w:spacing w:after="0"/>
            </w:pPr>
            <w:r/>
            <w:r>
              <w:rPr>
                <w:rFonts w:ascii="Arial" w:hAnsi="Arial"/>
                <w:b w:val="0"/>
                <w:sz w:val="18"/>
              </w:rPr>
              <w:t>tenure, Contract, InternetService, TechSupport, PaymentMethod, MonthlyCharges, TotalCharges</w:t>
            </w:r>
          </w:p>
        </w:tc>
      </w:tr>
    </w:tbl>
    <w:p/>
    <w:p>
      <w:r>
        <w:t>Dataset source: Kaggle, Telco Customer Churn — https://www.kaggle.com/datasets/blastchar/telco-customer-churn. The project uses the CSV supplied for the assignment. The source and applicable dataset license should be checked before redistributing the raw data in a public repository.</w:t>
      </w:r>
    </w:p>
    <w:p>
      <w:pPr>
        <w:pStyle w:val="Heading1"/>
      </w:pPr>
      <w:r>
        <w:t>6. Tools and Technologies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0"/>
            </w:pPr>
            <w:r/>
            <w:r>
              <w:rPr>
                <w:rFonts w:ascii="Arial" w:hAnsi="Arial"/>
                <w:b/>
                <w:color w:val="FFFFFF"/>
                <w:sz w:val="18"/>
              </w:rPr>
              <w:t>Tool / Library</w:t>
            </w:r>
          </w:p>
        </w:tc>
        <w:tc>
          <w:tcPr>
            <w:tcW w:type="dxa" w:w="4896"/>
            <w:vAlign w:val="center"/>
            <w:shd w:fill="1F4E79"/>
          </w:tcPr>
          <w:p>
            <w:pPr>
              <w:spacing w:after="0"/>
            </w:pPr>
            <w:r/>
            <w:r>
              <w:rPr>
                <w:rFonts w:ascii="Arial" w:hAnsi="Arial"/>
                <w:b/>
                <w:color w:val="FFFFFF"/>
                <w:sz w:val="18"/>
              </w:rPr>
              <w:t>Purpose</w:t>
            </w:r>
          </w:p>
        </w:tc>
      </w:tr>
      <w:tr>
        <w:tc>
          <w:tcPr>
            <w:tcW w:type="dxa" w:w="4896"/>
            <w:vAlign w:val="center"/>
          </w:tcPr>
          <w:p>
            <w:pPr>
              <w:spacing w:after="0"/>
            </w:pPr>
            <w:r/>
            <w:r>
              <w:rPr>
                <w:rFonts w:ascii="Arial" w:hAnsi="Arial"/>
                <w:b w:val="0"/>
                <w:sz w:val="18"/>
              </w:rPr>
              <w:t>Python</w:t>
            </w:r>
          </w:p>
        </w:tc>
        <w:tc>
          <w:tcPr>
            <w:tcW w:type="dxa" w:w="4896"/>
            <w:vAlign w:val="center"/>
          </w:tcPr>
          <w:p>
            <w:pPr>
              <w:spacing w:after="0"/>
            </w:pPr>
            <w:r/>
            <w:r>
              <w:rPr>
                <w:rFonts w:ascii="Arial" w:hAnsi="Arial"/>
                <w:b w:val="0"/>
                <w:sz w:val="18"/>
              </w:rPr>
              <w:t>Main programming language for data analysis and modeling.</w:t>
            </w:r>
          </w:p>
        </w:tc>
      </w:tr>
      <w:tr>
        <w:tc>
          <w:tcPr>
            <w:tcW w:type="dxa" w:w="4896"/>
            <w:vAlign w:val="center"/>
          </w:tcPr>
          <w:p>
            <w:pPr>
              <w:spacing w:after="0"/>
            </w:pPr>
            <w:r/>
            <w:r>
              <w:rPr>
                <w:rFonts w:ascii="Arial" w:hAnsi="Arial"/>
                <w:b w:val="0"/>
                <w:sz w:val="18"/>
              </w:rPr>
              <w:t>Google Colab / Jupyter Notebook</w:t>
            </w:r>
          </w:p>
        </w:tc>
        <w:tc>
          <w:tcPr>
            <w:tcW w:type="dxa" w:w="4896"/>
            <w:vAlign w:val="center"/>
          </w:tcPr>
          <w:p>
            <w:pPr>
              <w:spacing w:after="0"/>
            </w:pPr>
            <w:r/>
            <w:r>
              <w:rPr>
                <w:rFonts w:ascii="Arial" w:hAnsi="Arial"/>
                <w:b w:val="0"/>
                <w:sz w:val="18"/>
              </w:rPr>
              <w:t>Interactive environment for running code, documenting steps, and viewing results.</w:t>
            </w:r>
          </w:p>
        </w:tc>
      </w:tr>
      <w:tr>
        <w:tc>
          <w:tcPr>
            <w:tcW w:type="dxa" w:w="4896"/>
            <w:vAlign w:val="center"/>
          </w:tcPr>
          <w:p>
            <w:pPr>
              <w:spacing w:after="0"/>
            </w:pPr>
            <w:r/>
            <w:r>
              <w:rPr>
                <w:rFonts w:ascii="Arial" w:hAnsi="Arial"/>
                <w:b w:val="0"/>
                <w:sz w:val="18"/>
              </w:rPr>
              <w:t>Pandas</w:t>
            </w:r>
          </w:p>
        </w:tc>
        <w:tc>
          <w:tcPr>
            <w:tcW w:type="dxa" w:w="4896"/>
            <w:vAlign w:val="center"/>
          </w:tcPr>
          <w:p>
            <w:pPr>
              <w:spacing w:after="0"/>
            </w:pPr>
            <w:r/>
            <w:r>
              <w:rPr>
                <w:rFonts w:ascii="Arial" w:hAnsi="Arial"/>
                <w:b w:val="0"/>
                <w:sz w:val="18"/>
              </w:rPr>
              <w:t>Data loading, cleaning, grouping, and tabular analysis.</w:t>
            </w:r>
          </w:p>
        </w:tc>
      </w:tr>
      <w:tr>
        <w:tc>
          <w:tcPr>
            <w:tcW w:type="dxa" w:w="4896"/>
            <w:vAlign w:val="center"/>
          </w:tcPr>
          <w:p>
            <w:pPr>
              <w:spacing w:after="0"/>
            </w:pPr>
            <w:r/>
            <w:r>
              <w:rPr>
                <w:rFonts w:ascii="Arial" w:hAnsi="Arial"/>
                <w:b w:val="0"/>
                <w:sz w:val="18"/>
              </w:rPr>
              <w:t>NumPy</w:t>
            </w:r>
          </w:p>
        </w:tc>
        <w:tc>
          <w:tcPr>
            <w:tcW w:type="dxa" w:w="4896"/>
            <w:vAlign w:val="center"/>
          </w:tcPr>
          <w:p>
            <w:pPr>
              <w:spacing w:after="0"/>
            </w:pPr>
            <w:r/>
            <w:r>
              <w:rPr>
                <w:rFonts w:ascii="Arial" w:hAnsi="Arial"/>
                <w:b w:val="0"/>
                <w:sz w:val="18"/>
              </w:rPr>
              <w:t>Numerical operations and array support.</w:t>
            </w:r>
          </w:p>
        </w:tc>
      </w:tr>
      <w:tr>
        <w:tc>
          <w:tcPr>
            <w:tcW w:type="dxa" w:w="4896"/>
            <w:vAlign w:val="center"/>
          </w:tcPr>
          <w:p>
            <w:pPr>
              <w:spacing w:after="0"/>
            </w:pPr>
            <w:r/>
            <w:r>
              <w:rPr>
                <w:rFonts w:ascii="Arial" w:hAnsi="Arial"/>
                <w:b w:val="0"/>
                <w:sz w:val="18"/>
              </w:rPr>
              <w:t>Matplotlib</w:t>
            </w:r>
          </w:p>
        </w:tc>
        <w:tc>
          <w:tcPr>
            <w:tcW w:type="dxa" w:w="4896"/>
            <w:vAlign w:val="center"/>
          </w:tcPr>
          <w:p>
            <w:pPr>
              <w:spacing w:after="0"/>
            </w:pPr>
            <w:r/>
            <w:r>
              <w:rPr>
                <w:rFonts w:ascii="Arial" w:hAnsi="Arial"/>
                <w:b w:val="0"/>
                <w:sz w:val="18"/>
              </w:rPr>
              <w:t>Creating charts and visual summaries.</w:t>
            </w:r>
          </w:p>
        </w:tc>
      </w:tr>
      <w:tr>
        <w:tc>
          <w:tcPr>
            <w:tcW w:type="dxa" w:w="4896"/>
            <w:vAlign w:val="center"/>
          </w:tcPr>
          <w:p>
            <w:pPr>
              <w:spacing w:after="0"/>
            </w:pPr>
            <w:r/>
            <w:r>
              <w:rPr>
                <w:rFonts w:ascii="Arial" w:hAnsi="Arial"/>
                <w:b w:val="0"/>
                <w:sz w:val="18"/>
              </w:rPr>
              <w:t>Seaborn</w:t>
            </w:r>
          </w:p>
        </w:tc>
        <w:tc>
          <w:tcPr>
            <w:tcW w:type="dxa" w:w="4896"/>
            <w:vAlign w:val="center"/>
          </w:tcPr>
          <w:p>
            <w:pPr>
              <w:spacing w:after="0"/>
            </w:pPr>
            <w:r/>
            <w:r>
              <w:rPr>
                <w:rFonts w:ascii="Arial" w:hAnsi="Arial"/>
                <w:b w:val="0"/>
                <w:sz w:val="18"/>
              </w:rPr>
              <w:t>Statistical plots such as count plots, box plots, and distribution plots.</w:t>
            </w:r>
          </w:p>
        </w:tc>
      </w:tr>
      <w:tr>
        <w:tc>
          <w:tcPr>
            <w:tcW w:type="dxa" w:w="4896"/>
            <w:vAlign w:val="center"/>
          </w:tcPr>
          <w:p>
            <w:pPr>
              <w:spacing w:after="0"/>
            </w:pPr>
            <w:r/>
            <w:r>
              <w:rPr>
                <w:rFonts w:ascii="Arial" w:hAnsi="Arial"/>
                <w:b w:val="0"/>
                <w:sz w:val="18"/>
              </w:rPr>
              <w:t>Scikit-learn</w:t>
            </w:r>
          </w:p>
        </w:tc>
        <w:tc>
          <w:tcPr>
            <w:tcW w:type="dxa" w:w="4896"/>
            <w:vAlign w:val="center"/>
          </w:tcPr>
          <w:p>
            <w:pPr>
              <w:spacing w:after="0"/>
            </w:pPr>
            <w:r/>
            <w:r>
              <w:rPr>
                <w:rFonts w:ascii="Arial" w:hAnsi="Arial"/>
                <w:b w:val="0"/>
                <w:sz w:val="18"/>
              </w:rPr>
              <w:t>Preprocessing, train/test split, model training, and evaluation metrics.</w:t>
            </w:r>
          </w:p>
        </w:tc>
      </w:tr>
      <w:tr>
        <w:tc>
          <w:tcPr>
            <w:tcW w:type="dxa" w:w="4896"/>
            <w:vAlign w:val="center"/>
          </w:tcPr>
          <w:p>
            <w:pPr>
              <w:spacing w:after="0"/>
            </w:pPr>
            <w:r/>
            <w:r>
              <w:rPr>
                <w:rFonts w:ascii="Arial" w:hAnsi="Arial"/>
                <w:b w:val="0"/>
                <w:sz w:val="18"/>
              </w:rPr>
              <w:t>Joblib</w:t>
            </w:r>
          </w:p>
        </w:tc>
        <w:tc>
          <w:tcPr>
            <w:tcW w:type="dxa" w:w="4896"/>
            <w:vAlign w:val="center"/>
          </w:tcPr>
          <w:p>
            <w:pPr>
              <w:spacing w:after="0"/>
            </w:pPr>
            <w:r/>
            <w:r>
              <w:rPr>
                <w:rFonts w:ascii="Arial" w:hAnsi="Arial"/>
                <w:b w:val="0"/>
                <w:sz w:val="18"/>
              </w:rPr>
              <w:t>Saving the trained machine-learning pipeline for later use.</w:t>
            </w:r>
          </w:p>
        </w:tc>
      </w:tr>
    </w:tbl>
    <w:p/>
    <w:p>
      <w:pPr>
        <w:pStyle w:val="Heading1"/>
      </w:pPr>
      <w:r>
        <w:t>7. Methodology</w:t>
      </w:r>
    </w:p>
    <w:p>
      <w:pPr>
        <w:pStyle w:val="ListNumber"/>
      </w:pPr>
      <w:r>
        <w:t>Data loading: read the CSV file into a Pandas DataFrame.</w:t>
      </w:r>
    </w:p>
    <w:p>
      <w:pPr>
        <w:pStyle w:val="ListNumber"/>
      </w:pPr>
      <w:r>
        <w:t>Data quality review: inspect the dataset dimensions, column types, missing values, and duplicate rows.</w:t>
      </w:r>
    </w:p>
    <w:p>
      <w:pPr>
        <w:pStyle w:val="ListNumber"/>
      </w:pPr>
      <w:r>
        <w:t>Preprocessing: convert TotalCharges to numeric, handle missing values, and separate features from the target.</w:t>
      </w:r>
    </w:p>
    <w:p>
      <w:pPr>
        <w:pStyle w:val="ListNumber"/>
      </w:pPr>
      <w:r>
        <w:t>Exploratory data analysis: calculate churn rate and visualize churn by customer characteristics.</w:t>
      </w:r>
    </w:p>
    <w:p>
      <w:pPr>
        <w:pStyle w:val="ListNumber"/>
      </w:pPr>
      <w:r>
        <w:t>Segmentation: group customers into tenure bands and compare churn rates between groups.</w:t>
      </w:r>
    </w:p>
    <w:p>
      <w:pPr>
        <w:pStyle w:val="ListNumber"/>
      </w:pPr>
      <w:r>
        <w:t>Model development: split the data into training and testing sets and train Logistic Regression and Random Forest pipelines.</w:t>
      </w:r>
    </w:p>
    <w:p>
      <w:pPr>
        <w:pStyle w:val="ListNumber"/>
      </w:pPr>
      <w:r>
        <w:t>Evaluation: compare classification metrics and inspect the confusion matrix and ROC curve.</w:t>
      </w:r>
    </w:p>
    <w:p>
      <w:pPr>
        <w:pStyle w:val="ListNumber"/>
      </w:pPr>
      <w:r>
        <w:t>Output generation: export risk predictions, model comparison results, feature analysis, and the fitted model.</w:t>
      </w:r>
    </w:p>
    <w:p>
      <w:pPr>
        <w:pStyle w:val="Heading1"/>
      </w:pPr>
      <w:r>
        <w:t>8. Data Preprocessing</w:t>
      </w:r>
    </w:p>
    <w:p>
      <w:r>
        <w:t>The dataset was loaded with Pandas. Duplicate rows were removed before analysis. The TotalCharges column was converted to a numeric data type; values that could not be converted became missing values. The dataset contains 11 blank TotalCharges values, which become missing during conversion. These values were filled using the median of the column. The Churn target was encoded as 1 for Yes and 0 for No.</w:t>
      </w:r>
    </w:p>
    <w:p>
      <w:r>
        <w:t>The customerID column was excluded from the model because it is an identifier rather than a meaningful customer behavior feature. Numeric features were imputed with the median and standardized. Categorical features were imputed with the most frequent value and one-hot encoded. The preprocessing steps were placed inside a Scikit-learn Pipeline so the same transformations are applied during training and prediction.</w:t>
      </w:r>
    </w:p>
    <w:p>
      <w:r>
        <w:t>The dataset was split into 80% training data and 20% testing data, using random_state=42 and stratification by the target. This provides a reproducible hold-out evaluation while preserving the approximate churn/non-churn proportion in both subsets.</w:t>
      </w:r>
    </w:p>
    <w:p>
      <w:pPr>
        <w:pStyle w:val="Heading1"/>
      </w:pPr>
      <w:r>
        <w:t>9. Exploratory Data Analysis</w:t>
      </w:r>
    </w:p>
    <w:p>
      <w:r>
        <w:t>The dataset contains 1,869 customers labeled as churned and 5,174 labeled as retained. The overall churn rate is 26.54%. This means approximately one in four records in this dataset is labeled as churned. This is a descriptive summary of the supplied data and should not automatically be treated as the current churn rate of a real company.</w:t>
      </w:r>
    </w:p>
    <w:p>
      <w:r>
        <w:t>The notebook explores churn distribution and churn rates by contract type, internet service, payment method, technical support, and tenure. It also compares MonthlyCharges across churn labels and creates tenure groups of 0–12, 13–24, 25–48, and 49–72 months. These views help identify segments for further investigation. The charts should be interpreted as associations, not evidence of cause and effect.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0"/>
            </w:pPr>
            <w:r/>
            <w:r>
              <w:rPr>
                <w:rFonts w:ascii="Arial" w:hAnsi="Arial"/>
                <w:b/>
                <w:color w:val="FFFFFF"/>
                <w:sz w:val="18"/>
              </w:rPr>
              <w:t>EDA analysis</w:t>
            </w:r>
          </w:p>
        </w:tc>
        <w:tc>
          <w:tcPr>
            <w:tcW w:type="dxa" w:w="4896"/>
            <w:vAlign w:val="center"/>
            <w:shd w:fill="1F4E79"/>
          </w:tcPr>
          <w:p>
            <w:pPr>
              <w:spacing w:after="0"/>
            </w:pPr>
            <w:r/>
            <w:r>
              <w:rPr>
                <w:rFonts w:ascii="Arial" w:hAnsi="Arial"/>
                <w:b/>
                <w:color w:val="FFFFFF"/>
                <w:sz w:val="18"/>
              </w:rPr>
              <w:t>Why it is useful</w:t>
            </w:r>
          </w:p>
        </w:tc>
      </w:tr>
      <w:tr>
        <w:tc>
          <w:tcPr>
            <w:tcW w:type="dxa" w:w="4896"/>
            <w:vAlign w:val="center"/>
          </w:tcPr>
          <w:p>
            <w:pPr>
              <w:spacing w:after="0"/>
            </w:pPr>
            <w:r/>
            <w:r>
              <w:rPr>
                <w:rFonts w:ascii="Arial" w:hAnsi="Arial"/>
                <w:b w:val="0"/>
                <w:sz w:val="18"/>
              </w:rPr>
              <w:t>Churn distribution</w:t>
            </w:r>
          </w:p>
        </w:tc>
        <w:tc>
          <w:tcPr>
            <w:tcW w:type="dxa" w:w="4896"/>
            <w:vAlign w:val="center"/>
          </w:tcPr>
          <w:p>
            <w:pPr>
              <w:spacing w:after="0"/>
            </w:pPr>
            <w:r/>
            <w:r>
              <w:rPr>
                <w:rFonts w:ascii="Arial" w:hAnsi="Arial"/>
                <w:b w:val="0"/>
                <w:sz w:val="18"/>
              </w:rPr>
              <w:t>Shows the class balance between customers who left and stayed.</w:t>
            </w:r>
          </w:p>
        </w:tc>
      </w:tr>
      <w:tr>
        <w:tc>
          <w:tcPr>
            <w:tcW w:type="dxa" w:w="4896"/>
            <w:vAlign w:val="center"/>
          </w:tcPr>
          <w:p>
            <w:pPr>
              <w:spacing w:after="0"/>
            </w:pPr>
            <w:r/>
            <w:r>
              <w:rPr>
                <w:rFonts w:ascii="Arial" w:hAnsi="Arial"/>
                <w:b w:val="0"/>
                <w:sz w:val="18"/>
              </w:rPr>
              <w:t>Contract type</w:t>
            </w:r>
          </w:p>
        </w:tc>
        <w:tc>
          <w:tcPr>
            <w:tcW w:type="dxa" w:w="4896"/>
            <w:vAlign w:val="center"/>
          </w:tcPr>
          <w:p>
            <w:pPr>
              <w:spacing w:after="0"/>
            </w:pPr>
            <w:r/>
            <w:r>
              <w:rPr>
                <w:rFonts w:ascii="Arial" w:hAnsi="Arial"/>
                <w:b w:val="0"/>
                <w:sz w:val="18"/>
              </w:rPr>
              <w:t>Compares churn rates across contract arrangements.</w:t>
            </w:r>
          </w:p>
        </w:tc>
      </w:tr>
      <w:tr>
        <w:tc>
          <w:tcPr>
            <w:tcW w:type="dxa" w:w="4896"/>
            <w:vAlign w:val="center"/>
          </w:tcPr>
          <w:p>
            <w:pPr>
              <w:spacing w:after="0"/>
            </w:pPr>
            <w:r/>
            <w:r>
              <w:rPr>
                <w:rFonts w:ascii="Arial" w:hAnsi="Arial"/>
                <w:b w:val="0"/>
                <w:sz w:val="18"/>
              </w:rPr>
              <w:t>Internet service</w:t>
            </w:r>
          </w:p>
        </w:tc>
        <w:tc>
          <w:tcPr>
            <w:tcW w:type="dxa" w:w="4896"/>
            <w:vAlign w:val="center"/>
          </w:tcPr>
          <w:p>
            <w:pPr>
              <w:spacing w:after="0"/>
            </w:pPr>
            <w:r/>
            <w:r>
              <w:rPr>
                <w:rFonts w:ascii="Arial" w:hAnsi="Arial"/>
                <w:b w:val="0"/>
                <w:sz w:val="18"/>
              </w:rPr>
              <w:t>Explores whether churn patterns differ by service category.</w:t>
            </w:r>
          </w:p>
        </w:tc>
      </w:tr>
      <w:tr>
        <w:tc>
          <w:tcPr>
            <w:tcW w:type="dxa" w:w="4896"/>
            <w:vAlign w:val="center"/>
          </w:tcPr>
          <w:p>
            <w:pPr>
              <w:spacing w:after="0"/>
            </w:pPr>
            <w:r/>
            <w:r>
              <w:rPr>
                <w:rFonts w:ascii="Arial" w:hAnsi="Arial"/>
                <w:b w:val="0"/>
                <w:sz w:val="18"/>
              </w:rPr>
              <w:t>Payment method</w:t>
            </w:r>
          </w:p>
        </w:tc>
        <w:tc>
          <w:tcPr>
            <w:tcW w:type="dxa" w:w="4896"/>
            <w:vAlign w:val="center"/>
          </w:tcPr>
          <w:p>
            <w:pPr>
              <w:spacing w:after="0"/>
            </w:pPr>
            <w:r/>
            <w:r>
              <w:rPr>
                <w:rFonts w:ascii="Arial" w:hAnsi="Arial"/>
                <w:b w:val="0"/>
                <w:sz w:val="18"/>
              </w:rPr>
              <w:t>Compares churn rates across payment options.</w:t>
            </w:r>
          </w:p>
        </w:tc>
      </w:tr>
      <w:tr>
        <w:tc>
          <w:tcPr>
            <w:tcW w:type="dxa" w:w="4896"/>
            <w:vAlign w:val="center"/>
          </w:tcPr>
          <w:p>
            <w:pPr>
              <w:spacing w:after="0"/>
            </w:pPr>
            <w:r/>
            <w:r>
              <w:rPr>
                <w:rFonts w:ascii="Arial" w:hAnsi="Arial"/>
                <w:b w:val="0"/>
                <w:sz w:val="18"/>
              </w:rPr>
              <w:t>Technical support</w:t>
            </w:r>
          </w:p>
        </w:tc>
        <w:tc>
          <w:tcPr>
            <w:tcW w:type="dxa" w:w="4896"/>
            <w:vAlign w:val="center"/>
          </w:tcPr>
          <w:p>
            <w:pPr>
              <w:spacing w:after="0"/>
            </w:pPr>
            <w:r/>
            <w:r>
              <w:rPr>
                <w:rFonts w:ascii="Arial" w:hAnsi="Arial"/>
                <w:b w:val="0"/>
                <w:sz w:val="18"/>
              </w:rPr>
              <w:t>Explores the relationship between support category and churn.</w:t>
            </w:r>
          </w:p>
        </w:tc>
      </w:tr>
      <w:tr>
        <w:tc>
          <w:tcPr>
            <w:tcW w:type="dxa" w:w="4896"/>
            <w:vAlign w:val="center"/>
          </w:tcPr>
          <w:p>
            <w:pPr>
              <w:spacing w:after="0"/>
            </w:pPr>
            <w:r/>
            <w:r>
              <w:rPr>
                <w:rFonts w:ascii="Arial" w:hAnsi="Arial"/>
                <w:b w:val="0"/>
                <w:sz w:val="18"/>
              </w:rPr>
              <w:t>Tenure groups</w:t>
            </w:r>
          </w:p>
        </w:tc>
        <w:tc>
          <w:tcPr>
            <w:tcW w:type="dxa" w:w="4896"/>
            <w:vAlign w:val="center"/>
          </w:tcPr>
          <w:p>
            <w:pPr>
              <w:spacing w:after="0"/>
            </w:pPr>
            <w:r/>
            <w:r>
              <w:rPr>
                <w:rFonts w:ascii="Arial" w:hAnsi="Arial"/>
                <w:b w:val="0"/>
                <w:sz w:val="18"/>
              </w:rPr>
              <w:t>Checks whether churn rates vary with customer relationship length.</w:t>
            </w:r>
          </w:p>
        </w:tc>
      </w:tr>
      <w:tr>
        <w:tc>
          <w:tcPr>
            <w:tcW w:type="dxa" w:w="4896"/>
            <w:vAlign w:val="center"/>
          </w:tcPr>
          <w:p>
            <w:pPr>
              <w:spacing w:after="0"/>
            </w:pPr>
            <w:r/>
            <w:r>
              <w:rPr>
                <w:rFonts w:ascii="Arial" w:hAnsi="Arial"/>
                <w:b w:val="0"/>
                <w:sz w:val="18"/>
              </w:rPr>
              <w:t>Monthly charges</w:t>
            </w:r>
          </w:p>
        </w:tc>
        <w:tc>
          <w:tcPr>
            <w:tcW w:type="dxa" w:w="4896"/>
            <w:vAlign w:val="center"/>
          </w:tcPr>
          <w:p>
            <w:pPr>
              <w:spacing w:after="0"/>
            </w:pPr>
            <w:r/>
            <w:r>
              <w:rPr>
                <w:rFonts w:ascii="Arial" w:hAnsi="Arial"/>
                <w:b w:val="0"/>
                <w:sz w:val="18"/>
              </w:rPr>
              <w:t>Compares the distribution of charges between churn labels.</w:t>
            </w:r>
          </w:p>
        </w:tc>
      </w:tr>
    </w:tbl>
    <w:p/>
    <w:p>
      <w:pPr>
        <w:pStyle w:val="Heading1"/>
      </w:pPr>
      <w:r>
        <w:t>10. Machine Learning Approach</w:t>
      </w:r>
    </w:p>
    <w:p>
      <w:pPr>
        <w:pStyle w:val="Heading2"/>
      </w:pPr>
      <w:r>
        <w:t>10.1 Logistic Regression</w:t>
      </w:r>
    </w:p>
    <w:p>
      <w:r>
        <w:t>Logistic Regression is a classification algorithm that estimates the probability of a binary outcome. It is a useful baseline for churn prediction because it is relatively interpretable and can provide probability estimates. In this project, max_iter was set to 1,000 and class_weight='balanced' was used to give additional weight to the minority class during training.</w:t>
      </w:r>
    </w:p>
    <w:p>
      <w:pPr>
        <w:pStyle w:val="Heading2"/>
      </w:pPr>
      <w:r>
        <w:t>10.2 Random Forest</w:t>
      </w:r>
    </w:p>
    <w:p>
      <w:r>
        <w:t>Random Forest combines predictions from multiple decision trees. It can model non-linear patterns and interactions between features. The project uses 200 trees, min_samples_leaf=2, class_weight='balanced', and random_state=42.</w:t>
      </w:r>
    </w:p>
    <w:p>
      <w:pPr>
        <w:pStyle w:val="Heading2"/>
      </w:pPr>
      <w:r>
        <w:t>10.3 Evaluation metrics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0"/>
            </w:pPr>
            <w:r/>
            <w:r>
              <w:rPr>
                <w:rFonts w:ascii="Arial" w:hAnsi="Arial"/>
                <w:b/>
                <w:color w:val="FFFFFF"/>
                <w:sz w:val="18"/>
              </w:rPr>
              <w:t>Metric</w:t>
            </w:r>
          </w:p>
        </w:tc>
        <w:tc>
          <w:tcPr>
            <w:tcW w:type="dxa" w:w="4896"/>
            <w:vAlign w:val="center"/>
            <w:shd w:fill="1F4E79"/>
          </w:tcPr>
          <w:p>
            <w:pPr>
              <w:spacing w:after="0"/>
            </w:pPr>
            <w:r/>
            <w:r>
              <w:rPr>
                <w:rFonts w:ascii="Arial" w:hAnsi="Arial"/>
                <w:b/>
                <w:color w:val="FFFFFF"/>
                <w:sz w:val="18"/>
              </w:rPr>
              <w:t>Meaning in this project</w:t>
            </w:r>
          </w:p>
        </w:tc>
      </w:tr>
      <w:tr>
        <w:tc>
          <w:tcPr>
            <w:tcW w:type="dxa" w:w="4896"/>
            <w:vAlign w:val="center"/>
          </w:tcPr>
          <w:p>
            <w:pPr>
              <w:spacing w:after="0"/>
            </w:pPr>
            <w:r/>
            <w:r>
              <w:rPr>
                <w:rFonts w:ascii="Arial" w:hAnsi="Arial"/>
                <w:b w:val="0"/>
                <w:sz w:val="18"/>
              </w:rPr>
              <w:t>Accuracy</w:t>
            </w:r>
          </w:p>
        </w:tc>
        <w:tc>
          <w:tcPr>
            <w:tcW w:type="dxa" w:w="4896"/>
            <w:vAlign w:val="center"/>
          </w:tcPr>
          <w:p>
            <w:pPr>
              <w:spacing w:after="0"/>
            </w:pPr>
            <w:r/>
            <w:r>
              <w:rPr>
                <w:rFonts w:ascii="Arial" w:hAnsi="Arial"/>
                <w:b w:val="0"/>
                <w:sz w:val="18"/>
              </w:rPr>
              <w:t>Proportion of all test records classified correctly.</w:t>
            </w:r>
          </w:p>
        </w:tc>
      </w:tr>
      <w:tr>
        <w:tc>
          <w:tcPr>
            <w:tcW w:type="dxa" w:w="4896"/>
            <w:vAlign w:val="center"/>
          </w:tcPr>
          <w:p>
            <w:pPr>
              <w:spacing w:after="0"/>
            </w:pPr>
            <w:r/>
            <w:r>
              <w:rPr>
                <w:rFonts w:ascii="Arial" w:hAnsi="Arial"/>
                <w:b w:val="0"/>
                <w:sz w:val="18"/>
              </w:rPr>
              <w:t>Precision</w:t>
            </w:r>
          </w:p>
        </w:tc>
        <w:tc>
          <w:tcPr>
            <w:tcW w:type="dxa" w:w="4896"/>
            <w:vAlign w:val="center"/>
          </w:tcPr>
          <w:p>
            <w:pPr>
              <w:spacing w:after="0"/>
            </w:pPr>
            <w:r/>
            <w:r>
              <w:rPr>
                <w:rFonts w:ascii="Arial" w:hAnsi="Arial"/>
                <w:b w:val="0"/>
                <w:sz w:val="18"/>
              </w:rPr>
              <w:t>Among customers predicted to churn, the proportion that actually churned.</w:t>
            </w:r>
          </w:p>
        </w:tc>
      </w:tr>
      <w:tr>
        <w:tc>
          <w:tcPr>
            <w:tcW w:type="dxa" w:w="4896"/>
            <w:vAlign w:val="center"/>
          </w:tcPr>
          <w:p>
            <w:pPr>
              <w:spacing w:after="0"/>
            </w:pPr>
            <w:r/>
            <w:r>
              <w:rPr>
                <w:rFonts w:ascii="Arial" w:hAnsi="Arial"/>
                <w:b w:val="0"/>
                <w:sz w:val="18"/>
              </w:rPr>
              <w:t>Recall</w:t>
            </w:r>
          </w:p>
        </w:tc>
        <w:tc>
          <w:tcPr>
            <w:tcW w:type="dxa" w:w="4896"/>
            <w:vAlign w:val="center"/>
          </w:tcPr>
          <w:p>
            <w:pPr>
              <w:spacing w:after="0"/>
            </w:pPr>
            <w:r/>
            <w:r>
              <w:rPr>
                <w:rFonts w:ascii="Arial" w:hAnsi="Arial"/>
                <w:b w:val="0"/>
                <w:sz w:val="18"/>
              </w:rPr>
              <w:t>Among customers who actually churned, the proportion identified by the model.</w:t>
            </w:r>
          </w:p>
        </w:tc>
      </w:tr>
      <w:tr>
        <w:tc>
          <w:tcPr>
            <w:tcW w:type="dxa" w:w="4896"/>
            <w:vAlign w:val="center"/>
          </w:tcPr>
          <w:p>
            <w:pPr>
              <w:spacing w:after="0"/>
            </w:pPr>
            <w:r/>
            <w:r>
              <w:rPr>
                <w:rFonts w:ascii="Arial" w:hAnsi="Arial"/>
                <w:b w:val="0"/>
                <w:sz w:val="18"/>
              </w:rPr>
              <w:t>F1-score</w:t>
            </w:r>
          </w:p>
        </w:tc>
        <w:tc>
          <w:tcPr>
            <w:tcW w:type="dxa" w:w="4896"/>
            <w:vAlign w:val="center"/>
          </w:tcPr>
          <w:p>
            <w:pPr>
              <w:spacing w:after="0"/>
            </w:pPr>
            <w:r/>
            <w:r>
              <w:rPr>
                <w:rFonts w:ascii="Arial" w:hAnsi="Arial"/>
                <w:b w:val="0"/>
                <w:sz w:val="18"/>
              </w:rPr>
              <w:t>Harmonic mean of precision and recall.</w:t>
            </w:r>
          </w:p>
        </w:tc>
      </w:tr>
      <w:tr>
        <w:tc>
          <w:tcPr>
            <w:tcW w:type="dxa" w:w="4896"/>
            <w:vAlign w:val="center"/>
          </w:tcPr>
          <w:p>
            <w:pPr>
              <w:spacing w:after="0"/>
            </w:pPr>
            <w:r/>
            <w:r>
              <w:rPr>
                <w:rFonts w:ascii="Arial" w:hAnsi="Arial"/>
                <w:b w:val="0"/>
                <w:sz w:val="18"/>
              </w:rPr>
              <w:t>ROC-AUC</w:t>
            </w:r>
          </w:p>
        </w:tc>
        <w:tc>
          <w:tcPr>
            <w:tcW w:type="dxa" w:w="4896"/>
            <w:vAlign w:val="center"/>
          </w:tcPr>
          <w:p>
            <w:pPr>
              <w:spacing w:after="0"/>
            </w:pPr>
            <w:r/>
            <w:r>
              <w:rPr>
                <w:rFonts w:ascii="Arial" w:hAnsi="Arial"/>
                <w:b w:val="0"/>
                <w:sz w:val="18"/>
              </w:rPr>
              <w:t>Measures how well the model ranks churned customers above retained customers across thresholds.</w:t>
            </w:r>
          </w:p>
        </w:tc>
      </w:tr>
    </w:tbl>
    <w:p/>
    <w:p>
      <w:pPr>
        <w:pStyle w:val="Heading1"/>
      </w:pPr>
      <w:r>
        <w:t>11. Model Evaluation and Results</w:t>
      </w:r>
    </w:p>
    <w:p>
      <w:r>
        <w:t>Both models were trained on the same training split and evaluated on the same held-out test set. The results below are taken from the project's model_comparison.csv output.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1F4E79"/>
          </w:tcPr>
          <w:p>
            <w:pPr>
              <w:spacing w:after="0"/>
            </w:pPr>
            <w:r/>
            <w:r>
              <w:rPr>
                <w:rFonts w:ascii="Arial" w:hAnsi="Arial"/>
                <w:b/>
                <w:color w:val="FFFFFF"/>
                <w:sz w:val="18"/>
              </w:rPr>
              <w:t>Model</w:t>
            </w:r>
          </w:p>
        </w:tc>
        <w:tc>
          <w:tcPr>
            <w:tcW w:type="dxa" w:w="1632"/>
            <w:vAlign w:val="center"/>
            <w:shd w:fill="1F4E79"/>
          </w:tcPr>
          <w:p>
            <w:pPr>
              <w:spacing w:after="0"/>
            </w:pPr>
            <w:r/>
            <w:r>
              <w:rPr>
                <w:rFonts w:ascii="Arial" w:hAnsi="Arial"/>
                <w:b/>
                <w:color w:val="FFFFFF"/>
                <w:sz w:val="18"/>
              </w:rPr>
              <w:t>Accuracy</w:t>
            </w:r>
          </w:p>
        </w:tc>
        <w:tc>
          <w:tcPr>
            <w:tcW w:type="dxa" w:w="1632"/>
            <w:vAlign w:val="center"/>
            <w:shd w:fill="1F4E79"/>
          </w:tcPr>
          <w:p>
            <w:pPr>
              <w:spacing w:after="0"/>
            </w:pPr>
            <w:r/>
            <w:r>
              <w:rPr>
                <w:rFonts w:ascii="Arial" w:hAnsi="Arial"/>
                <w:b/>
                <w:color w:val="FFFFFF"/>
                <w:sz w:val="18"/>
              </w:rPr>
              <w:t>Precision</w:t>
            </w:r>
          </w:p>
        </w:tc>
        <w:tc>
          <w:tcPr>
            <w:tcW w:type="dxa" w:w="1632"/>
            <w:vAlign w:val="center"/>
            <w:shd w:fill="1F4E79"/>
          </w:tcPr>
          <w:p>
            <w:pPr>
              <w:spacing w:after="0"/>
            </w:pPr>
            <w:r/>
            <w:r>
              <w:rPr>
                <w:rFonts w:ascii="Arial" w:hAnsi="Arial"/>
                <w:b/>
                <w:color w:val="FFFFFF"/>
                <w:sz w:val="18"/>
              </w:rPr>
              <w:t>Recall</w:t>
            </w:r>
          </w:p>
        </w:tc>
        <w:tc>
          <w:tcPr>
            <w:tcW w:type="dxa" w:w="1632"/>
            <w:vAlign w:val="center"/>
            <w:shd w:fill="1F4E79"/>
          </w:tcPr>
          <w:p>
            <w:pPr>
              <w:spacing w:after="0"/>
            </w:pPr>
            <w:r/>
            <w:r>
              <w:rPr>
                <w:rFonts w:ascii="Arial" w:hAnsi="Arial"/>
                <w:b/>
                <w:color w:val="FFFFFF"/>
                <w:sz w:val="18"/>
              </w:rPr>
              <w:t>F1-score</w:t>
            </w:r>
          </w:p>
        </w:tc>
        <w:tc>
          <w:tcPr>
            <w:tcW w:type="dxa" w:w="1632"/>
            <w:vAlign w:val="center"/>
            <w:shd w:fill="1F4E79"/>
          </w:tcPr>
          <w:p>
            <w:pPr>
              <w:spacing w:after="0"/>
            </w:pPr>
            <w:r/>
            <w:r>
              <w:rPr>
                <w:rFonts w:ascii="Arial" w:hAnsi="Arial"/>
                <w:b/>
                <w:color w:val="FFFFFF"/>
                <w:sz w:val="18"/>
              </w:rPr>
              <w:t>ROC-AUC</w:t>
            </w:r>
          </w:p>
        </w:tc>
      </w:tr>
      <w:tr>
        <w:tc>
          <w:tcPr>
            <w:tcW w:type="dxa" w:w="1632"/>
            <w:vAlign w:val="center"/>
          </w:tcPr>
          <w:p>
            <w:pPr>
              <w:spacing w:after="0"/>
            </w:pPr>
            <w:r/>
            <w:r>
              <w:rPr>
                <w:rFonts w:ascii="Arial" w:hAnsi="Arial"/>
                <w:b w:val="0"/>
                <w:sz w:val="18"/>
              </w:rPr>
              <w:t>Logistic Regression</w:t>
            </w:r>
          </w:p>
        </w:tc>
        <w:tc>
          <w:tcPr>
            <w:tcW w:type="dxa" w:w="1632"/>
            <w:vAlign w:val="center"/>
          </w:tcPr>
          <w:p>
            <w:pPr>
              <w:spacing w:after="0"/>
            </w:pPr>
            <w:r/>
            <w:r>
              <w:rPr>
                <w:rFonts w:ascii="Arial" w:hAnsi="Arial"/>
                <w:b w:val="0"/>
                <w:sz w:val="18"/>
              </w:rPr>
              <w:t>73.24%</w:t>
            </w:r>
          </w:p>
        </w:tc>
        <w:tc>
          <w:tcPr>
            <w:tcW w:type="dxa" w:w="1632"/>
            <w:vAlign w:val="center"/>
          </w:tcPr>
          <w:p>
            <w:pPr>
              <w:spacing w:after="0"/>
            </w:pPr>
            <w:r/>
            <w:r>
              <w:rPr>
                <w:rFonts w:ascii="Arial" w:hAnsi="Arial"/>
                <w:b w:val="0"/>
                <w:sz w:val="18"/>
              </w:rPr>
              <w:t>49.75%</w:t>
            </w:r>
          </w:p>
        </w:tc>
        <w:tc>
          <w:tcPr>
            <w:tcW w:type="dxa" w:w="1632"/>
            <w:vAlign w:val="center"/>
          </w:tcPr>
          <w:p>
            <w:pPr>
              <w:spacing w:after="0"/>
            </w:pPr>
            <w:r/>
            <w:r>
              <w:rPr>
                <w:rFonts w:ascii="Arial" w:hAnsi="Arial"/>
                <w:b w:val="0"/>
                <w:sz w:val="18"/>
              </w:rPr>
              <w:t>79.14%</w:t>
            </w:r>
          </w:p>
        </w:tc>
        <w:tc>
          <w:tcPr>
            <w:tcW w:type="dxa" w:w="1632"/>
            <w:vAlign w:val="center"/>
          </w:tcPr>
          <w:p>
            <w:pPr>
              <w:spacing w:after="0"/>
            </w:pPr>
            <w:r/>
            <w:r>
              <w:rPr>
                <w:rFonts w:ascii="Arial" w:hAnsi="Arial"/>
                <w:b w:val="0"/>
                <w:sz w:val="18"/>
              </w:rPr>
              <w:t>61.09%</w:t>
            </w:r>
          </w:p>
        </w:tc>
        <w:tc>
          <w:tcPr>
            <w:tcW w:type="dxa" w:w="1632"/>
            <w:vAlign w:val="center"/>
          </w:tcPr>
          <w:p>
            <w:pPr>
              <w:spacing w:after="0"/>
            </w:pPr>
            <w:r/>
            <w:r>
              <w:rPr>
                <w:rFonts w:ascii="Arial" w:hAnsi="Arial"/>
                <w:b w:val="0"/>
                <w:sz w:val="18"/>
              </w:rPr>
              <w:t>84.20%</w:t>
            </w:r>
          </w:p>
        </w:tc>
      </w:tr>
      <w:tr>
        <w:tc>
          <w:tcPr>
            <w:tcW w:type="dxa" w:w="1632"/>
            <w:vAlign w:val="center"/>
          </w:tcPr>
          <w:p>
            <w:pPr>
              <w:spacing w:after="0"/>
            </w:pPr>
            <w:r/>
            <w:r>
              <w:rPr>
                <w:rFonts w:ascii="Arial" w:hAnsi="Arial"/>
                <w:b w:val="0"/>
                <w:sz w:val="18"/>
              </w:rPr>
              <w:t>Random Forest</w:t>
            </w:r>
          </w:p>
        </w:tc>
        <w:tc>
          <w:tcPr>
            <w:tcW w:type="dxa" w:w="1632"/>
            <w:vAlign w:val="center"/>
          </w:tcPr>
          <w:p>
            <w:pPr>
              <w:spacing w:after="0"/>
            </w:pPr>
            <w:r/>
            <w:r>
              <w:rPr>
                <w:rFonts w:ascii="Arial" w:hAnsi="Arial"/>
                <w:b w:val="0"/>
                <w:sz w:val="18"/>
              </w:rPr>
              <w:t>77.64%</w:t>
            </w:r>
          </w:p>
        </w:tc>
        <w:tc>
          <w:tcPr>
            <w:tcW w:type="dxa" w:w="1632"/>
            <w:vAlign w:val="center"/>
          </w:tcPr>
          <w:p>
            <w:pPr>
              <w:spacing w:after="0"/>
            </w:pPr>
            <w:r/>
            <w:r>
              <w:rPr>
                <w:rFonts w:ascii="Arial" w:hAnsi="Arial"/>
                <w:b w:val="0"/>
                <w:sz w:val="18"/>
              </w:rPr>
              <w:t>57.25%</w:t>
            </w:r>
          </w:p>
        </w:tc>
        <w:tc>
          <w:tcPr>
            <w:tcW w:type="dxa" w:w="1632"/>
            <w:vAlign w:val="center"/>
          </w:tcPr>
          <w:p>
            <w:pPr>
              <w:spacing w:after="0"/>
            </w:pPr>
            <w:r/>
            <w:r>
              <w:rPr>
                <w:rFonts w:ascii="Arial" w:hAnsi="Arial"/>
                <w:b w:val="0"/>
                <w:sz w:val="18"/>
              </w:rPr>
              <w:t>62.30%</w:t>
            </w:r>
          </w:p>
        </w:tc>
        <w:tc>
          <w:tcPr>
            <w:tcW w:type="dxa" w:w="1632"/>
            <w:vAlign w:val="center"/>
          </w:tcPr>
          <w:p>
            <w:pPr>
              <w:spacing w:after="0"/>
            </w:pPr>
            <w:r/>
            <w:r>
              <w:rPr>
                <w:rFonts w:ascii="Arial" w:hAnsi="Arial"/>
                <w:b w:val="0"/>
                <w:sz w:val="18"/>
              </w:rPr>
              <w:t>59.67%</w:t>
            </w:r>
          </w:p>
        </w:tc>
        <w:tc>
          <w:tcPr>
            <w:tcW w:type="dxa" w:w="1632"/>
            <w:vAlign w:val="center"/>
          </w:tcPr>
          <w:p>
            <w:pPr>
              <w:spacing w:after="0"/>
            </w:pPr>
            <w:r/>
            <w:r>
              <w:rPr>
                <w:rFonts w:ascii="Arial" w:hAnsi="Arial"/>
                <w:b w:val="0"/>
                <w:sz w:val="18"/>
              </w:rPr>
              <w:t>83.38%</w:t>
            </w:r>
          </w:p>
        </w:tc>
      </w:tr>
    </w:tbl>
    <w:p/>
    <w:p>
      <w:r>
        <w:t>Interpretation: Random Forest achieved the higher accuracy and precision. Logistic Regression achieved higher recall, F1-score, and ROC-AUC in this run. In a churn-retention setting, recall can matter because missed churners may not receive timely retention attention. However, lower precision can lead to more customers being flagged who would not actually churn. The preferred model depends on the cost of false negatives versus false positives and the available retention budget.</w:t>
      </w:r>
    </w:p>
    <w:p>
      <w:r>
        <w:t>The notebook selects the model with the highest ROC-AUC, which is Logistic Regression for these results. This selection is consistent with the stated rule. A final deployment decision should also consider the business cost of errors, probability calibration, and performance on future data.</w:t>
      </w:r>
    </w:p>
    <w:p>
      <w:pPr>
        <w:pStyle w:val="Heading1"/>
      </w:pPr>
      <w:r>
        <w:t>12. Feature Analysis</w:t>
      </w:r>
    </w:p>
    <w:p>
      <w:r>
        <w:t>The feature analysis output highlights tenure, contract-related categories, internet service categories, and MonthlyCharges among the features with larger model-associated scores. In the current notebook, Logistic Regression uses the absolute value of the fitted coefficients as a ranking score, while Random Forest uses its built-in feature_importances_ values. These are different importance definitions and should not be interpreted as directly comparable measurements across models.</w:t>
      </w:r>
    </w:p>
    <w:p>
      <w:r>
        <w:t>The largest scores in the saved feature analysis include numeric__tenure, Contract_Two year, InternetService_Fiber optic, Contract_Month-to-month, InternetService_DSL, and MonthlyCharges. These features are useful starting points for further analysis. A coefficient magnitude alone does not show whether a feature increases or decreases churn; coefficient signs and model-specific interpretation would be needed. Feature scores also do not prove causality.</w:t>
      </w:r>
    </w:p>
    <w:p>
      <w:pPr>
        <w:pStyle w:val="Heading1"/>
      </w:pPr>
      <w:r>
        <w:t>13. Business Recommendations</w:t>
      </w:r>
    </w:p>
    <w:p>
      <w:pPr>
        <w:pStyle w:val="ListBullet"/>
      </w:pPr>
      <w:r>
        <w:t>Investigate contract segments with elevated churn and test whether clearer plan choices or suitable renewal options improve retention.</w:t>
      </w:r>
    </w:p>
    <w:p>
      <w:pPr>
        <w:pStyle w:val="ListBullet"/>
      </w:pPr>
      <w:r>
        <w:t>Review the first-year customer experience, onboarding, and early support because tenure patterns can help identify when customers may need extra attention.</w:t>
      </w:r>
    </w:p>
    <w:p>
      <w:pPr>
        <w:pStyle w:val="ListBullet"/>
      </w:pPr>
      <w:r>
        <w:t>Analyze customer feedback and service quality for internet and technical-support segments with higher observed churn rates.</w:t>
      </w:r>
    </w:p>
    <w:p>
      <w:pPr>
        <w:pStyle w:val="ListBullet"/>
      </w:pPr>
      <w:r>
        <w:t>Use model probabilities to prioritize retention outreach, but choose the probability threshold based on campaign capacity and the cost of missed churners versus unnecessary outreach.</w:t>
      </w:r>
    </w:p>
    <w:p>
      <w:pPr>
        <w:pStyle w:val="ListBullet"/>
      </w:pPr>
      <w:r>
        <w:t>Run controlled retention experiments where possible and measure actual outcomes, such as retained customers, campaign cost, and incremental revenue.</w:t>
      </w:r>
    </w:p>
    <w:p>
      <w:pPr>
        <w:pStyle w:val="ListBullet"/>
      </w:pPr>
      <w:r>
        <w:t>Monitor precision, recall, F1-score, ROC-AUC, and model performance over time; retrain and validate the model when customer behavior or services change.</w:t>
      </w:r>
    </w:p>
    <w:p>
      <w:pPr>
        <w:pStyle w:val="ListBullet"/>
      </w:pPr>
      <w:r>
        <w:t>Protect customer information. Avoid publishing customer-level risk predictions in a public repository unless there is a clear, approved reason and the data has been appropriately reviewed.</w:t>
      </w:r>
    </w:p>
    <w:p>
      <w:pPr>
        <w:pStyle w:val="Heading1"/>
      </w:pPr>
      <w:r>
        <w:t>14. Limitations</w:t>
      </w:r>
    </w:p>
    <w:p>
      <w:pPr>
        <w:pStyle w:val="ListBullet"/>
      </w:pPr>
      <w:r>
        <w:t>The results depend on the supplied dataset and may not generalize to a different telecom provider or time period.</w:t>
      </w:r>
    </w:p>
    <w:p>
      <w:pPr>
        <w:pStyle w:val="ListBullet"/>
      </w:pPr>
      <w:r>
        <w:t>The evaluation uses one stratified random train/test split. Cross-validation and time-based validation could provide a stronger estimate of generalization.</w:t>
      </w:r>
    </w:p>
    <w:p>
      <w:pPr>
        <w:pStyle w:val="ListBullet"/>
      </w:pPr>
      <w:r>
        <w:t>The default prediction threshold of 0.5 may not be optimal for a retention campaign.</w:t>
      </w:r>
    </w:p>
    <w:p>
      <w:pPr>
        <w:pStyle w:val="ListBullet"/>
      </w:pPr>
      <w:r>
        <w:t>The notebook does not establish causal relationships between customer features and churn.</w:t>
      </w:r>
    </w:p>
    <w:p>
      <w:pPr>
        <w:pStyle w:val="ListBullet"/>
      </w:pPr>
      <w:r>
        <w:t>Feature ranking for Logistic Regression is based on absolute coefficient values; direction and category-level effects require additional interpretation.</w:t>
      </w:r>
    </w:p>
    <w:p>
      <w:pPr>
        <w:pStyle w:val="ListBullet"/>
      </w:pPr>
      <w:r>
        <w:t>The risk report includes actual churn labels because it is generated from the labeled test subset. It is therefore an evaluation artifact, not a true prospective list of future customers at risk.</w:t>
      </w:r>
    </w:p>
    <w:p>
      <w:pPr>
        <w:pStyle w:val="ListBullet"/>
      </w:pPr>
      <w:r>
        <w:t>The project does not yet include a deployed application, live data pipeline, probability calibration, or a cost-based retention strategy.</w:t>
      </w:r>
    </w:p>
    <w:p>
      <w:pPr>
        <w:pStyle w:val="Heading1"/>
      </w:pPr>
      <w:r>
        <w:t>15. Conclusion</w:t>
      </w:r>
    </w:p>
    <w:p>
      <w:r>
        <w:t>This project demonstrates an end-to-end workflow for customer churn analysis using Python. It covers data preparation, exploratory analysis, customer segmentation, supervised classification, model evaluation, and export of reusable artifacts. The dataset contains 7,043 customer records and has an observed churn rate of 26.54%. Among the two tested models, Logistic Regression achieved a ROC-AUC of 84.20% and recall of 79.14%, while Random Forest achieved 77.64% accuracy. The results emphasize the importance of evaluating multiple metrics rather than choosing a model using accuracy alone. The analysis can help prioritize questions for customer retention, but recommendations should be validated with business experiments and further testing.</w:t>
      </w:r>
    </w:p>
    <w:p>
      <w:pPr>
        <w:pStyle w:val="Heading1"/>
      </w:pPr>
      <w:r>
        <w:t>16. Future Scope</w:t>
      </w:r>
    </w:p>
    <w:p>
      <w:pPr>
        <w:pStyle w:val="ListBullet"/>
      </w:pPr>
      <w:r>
        <w:t>Use stratified cross-validation and compare additional models such as Gradient Boosting or XGBoost where permitted.</w:t>
      </w:r>
    </w:p>
    <w:p>
      <w:pPr>
        <w:pStyle w:val="ListBullet"/>
      </w:pPr>
      <w:r>
        <w:t>Tune the decision threshold using a business cost function and retention campaign capacity.</w:t>
      </w:r>
    </w:p>
    <w:p>
      <w:pPr>
        <w:pStyle w:val="ListBullet"/>
      </w:pPr>
      <w:r>
        <w:t>Add probability calibration and model explainability methods such as permutation importance or SHAP.</w:t>
      </w:r>
    </w:p>
    <w:p>
      <w:pPr>
        <w:pStyle w:val="ListBullet"/>
      </w:pPr>
      <w:r>
        <w:t>Build a Streamlit dashboard for interactive exploration and individual-record predictions.</w:t>
      </w:r>
    </w:p>
    <w:p>
      <w:pPr>
        <w:pStyle w:val="ListBullet"/>
      </w:pPr>
      <w:r>
        <w:t>Use time-based validation and monitor model drift if newer customer data becomes available.</w:t>
      </w:r>
    </w:p>
    <w:p>
      <w:pPr>
        <w:pStyle w:val="ListBullet"/>
      </w:pPr>
      <w:r>
        <w:t>Create a privacy-aware retention workflow that tracks whether interventions actually reduce churn.</w:t>
      </w:r>
    </w:p>
    <w:p>
      <w:pPr>
        <w:pStyle w:val="Heading1"/>
      </w:pPr>
      <w:r>
        <w:t>17. References</w:t>
      </w:r>
    </w:p>
    <w:p>
      <w:r>
        <w:t>1. Telco Customer Churn dataset, Kaggle: https://www.kaggle.com/datasets/blastchar/telco-customer-churn</w:t>
      </w:r>
    </w:p>
    <w:p>
      <w:r>
        <w:t>2. Pandas documentation: https://pandas.pydata.org/docs/</w:t>
      </w:r>
    </w:p>
    <w:p>
      <w:r>
        <w:t>3. Scikit-learn documentation: https://scikit-learn.org/stable/</w:t>
      </w:r>
    </w:p>
    <w:p>
      <w:r>
        <w:t>4. Matplotlib documentation: https://matplotlib.org/stable/</w:t>
      </w:r>
    </w:p>
    <w:p>
      <w:r>
        <w:t>5. Seaborn documentation: https://seaborn.pydata.org/</w:t>
      </w:r>
    </w:p>
    <w:p>
      <w:pPr>
        <w:pStyle w:val="Heading1"/>
      </w:pPr>
      <w:r>
        <w:t>Appendix: Project Files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0"/>
            </w:pPr>
            <w:r/>
            <w:r>
              <w:rPr>
                <w:rFonts w:ascii="Arial" w:hAnsi="Arial"/>
                <w:b/>
                <w:color w:val="FFFFFF"/>
                <w:sz w:val="18"/>
              </w:rPr>
              <w:t>File</w:t>
            </w:r>
          </w:p>
        </w:tc>
        <w:tc>
          <w:tcPr>
            <w:tcW w:type="dxa" w:w="4896"/>
            <w:vAlign w:val="center"/>
            <w:shd w:fill="1F4E79"/>
          </w:tcPr>
          <w:p>
            <w:pPr>
              <w:spacing w:after="0"/>
            </w:pPr>
            <w:r/>
            <w:r>
              <w:rPr>
                <w:rFonts w:ascii="Arial" w:hAnsi="Arial"/>
                <w:b/>
                <w:color w:val="FFFFFF"/>
                <w:sz w:val="18"/>
              </w:rPr>
              <w:t>Description</w:t>
            </w:r>
          </w:p>
        </w:tc>
      </w:tr>
      <w:tr>
        <w:tc>
          <w:tcPr>
            <w:tcW w:type="dxa" w:w="4896"/>
            <w:vAlign w:val="center"/>
          </w:tcPr>
          <w:p>
            <w:pPr>
              <w:spacing w:after="0"/>
            </w:pPr>
            <w:r/>
            <w:r>
              <w:rPr>
                <w:rFonts w:ascii="Arial" w:hAnsi="Arial"/>
                <w:b w:val="0"/>
                <w:sz w:val="18"/>
              </w:rPr>
              <w:t>MahakKumari_TelcoCustomerChurn.ipynb</w:t>
            </w:r>
          </w:p>
        </w:tc>
        <w:tc>
          <w:tcPr>
            <w:tcW w:type="dxa" w:w="4896"/>
            <w:vAlign w:val="center"/>
          </w:tcPr>
          <w:p>
            <w:pPr>
              <w:spacing w:after="0"/>
            </w:pPr>
            <w:r/>
            <w:r>
              <w:rPr>
                <w:rFonts w:ascii="Arial" w:hAnsi="Arial"/>
                <w:b w:val="0"/>
                <w:sz w:val="18"/>
              </w:rPr>
              <w:t>Notebook containing code, analysis, plots, and model evaluation.</w:t>
            </w:r>
          </w:p>
        </w:tc>
      </w:tr>
      <w:tr>
        <w:tc>
          <w:tcPr>
            <w:tcW w:type="dxa" w:w="4896"/>
            <w:vAlign w:val="center"/>
          </w:tcPr>
          <w:p>
            <w:pPr>
              <w:spacing w:after="0"/>
            </w:pPr>
            <w:r/>
            <w:r>
              <w:rPr>
                <w:rFonts w:ascii="Arial" w:hAnsi="Arial"/>
                <w:b w:val="0"/>
                <w:sz w:val="18"/>
              </w:rPr>
              <w:t>requirements.txt</w:t>
            </w:r>
          </w:p>
        </w:tc>
        <w:tc>
          <w:tcPr>
            <w:tcW w:type="dxa" w:w="4896"/>
            <w:vAlign w:val="center"/>
          </w:tcPr>
          <w:p>
            <w:pPr>
              <w:spacing w:after="0"/>
            </w:pPr>
            <w:r/>
            <w:r>
              <w:rPr>
                <w:rFonts w:ascii="Arial" w:hAnsi="Arial"/>
                <w:b w:val="0"/>
                <w:sz w:val="18"/>
              </w:rPr>
              <w:t>Python libraries required to run the project.</w:t>
            </w:r>
          </w:p>
        </w:tc>
      </w:tr>
      <w:tr>
        <w:tc>
          <w:tcPr>
            <w:tcW w:type="dxa" w:w="4896"/>
            <w:vAlign w:val="center"/>
          </w:tcPr>
          <w:p>
            <w:pPr>
              <w:spacing w:after="0"/>
            </w:pPr>
            <w:r/>
            <w:r>
              <w:rPr>
                <w:rFonts w:ascii="Arial" w:hAnsi="Arial"/>
                <w:b w:val="0"/>
                <w:sz w:val="18"/>
              </w:rPr>
              <w:t>model_comparison.csv</w:t>
            </w:r>
          </w:p>
        </w:tc>
        <w:tc>
          <w:tcPr>
            <w:tcW w:type="dxa" w:w="4896"/>
            <w:vAlign w:val="center"/>
          </w:tcPr>
          <w:p>
            <w:pPr>
              <w:spacing w:after="0"/>
            </w:pPr>
            <w:r/>
            <w:r>
              <w:rPr>
                <w:rFonts w:ascii="Arial" w:hAnsi="Arial"/>
                <w:b w:val="0"/>
                <w:sz w:val="18"/>
              </w:rPr>
              <w:t>Evaluation metrics for Logistic Regression and Random Forest.</w:t>
            </w:r>
          </w:p>
        </w:tc>
      </w:tr>
      <w:tr>
        <w:tc>
          <w:tcPr>
            <w:tcW w:type="dxa" w:w="4896"/>
            <w:vAlign w:val="center"/>
          </w:tcPr>
          <w:p>
            <w:pPr>
              <w:spacing w:after="0"/>
            </w:pPr>
            <w:r/>
            <w:r>
              <w:rPr>
                <w:rFonts w:ascii="Arial" w:hAnsi="Arial"/>
                <w:b w:val="0"/>
                <w:sz w:val="18"/>
              </w:rPr>
              <w:t>feature_importance.csv</w:t>
            </w:r>
          </w:p>
        </w:tc>
        <w:tc>
          <w:tcPr>
            <w:tcW w:type="dxa" w:w="4896"/>
            <w:vAlign w:val="center"/>
          </w:tcPr>
          <w:p>
            <w:pPr>
              <w:spacing w:after="0"/>
            </w:pPr>
            <w:r/>
            <w:r>
              <w:rPr>
                <w:rFonts w:ascii="Arial" w:hAnsi="Arial"/>
                <w:b w:val="0"/>
                <w:sz w:val="18"/>
              </w:rPr>
              <w:t>Model-associated feature ranking output.</w:t>
            </w:r>
          </w:p>
        </w:tc>
      </w:tr>
      <w:tr>
        <w:tc>
          <w:tcPr>
            <w:tcW w:type="dxa" w:w="4896"/>
            <w:vAlign w:val="center"/>
          </w:tcPr>
          <w:p>
            <w:pPr>
              <w:spacing w:after="0"/>
            </w:pPr>
            <w:r/>
            <w:r>
              <w:rPr>
                <w:rFonts w:ascii="Arial" w:hAnsi="Arial"/>
                <w:b w:val="0"/>
                <w:sz w:val="18"/>
              </w:rPr>
              <w:t>churn_risk_report.csv</w:t>
            </w:r>
          </w:p>
        </w:tc>
        <w:tc>
          <w:tcPr>
            <w:tcW w:type="dxa" w:w="4896"/>
            <w:vAlign w:val="center"/>
          </w:tcPr>
          <w:p>
            <w:pPr>
              <w:spacing w:after="0"/>
            </w:pPr>
            <w:r/>
            <w:r>
              <w:rPr>
                <w:rFonts w:ascii="Arial" w:hAnsi="Arial"/>
                <w:b w:val="0"/>
                <w:sz w:val="18"/>
              </w:rPr>
              <w:t>Test-set prediction and risk-level output; avoid public sharing if customer-level data is unnecessary.</w:t>
            </w:r>
          </w:p>
        </w:tc>
      </w:tr>
      <w:tr>
        <w:tc>
          <w:tcPr>
            <w:tcW w:type="dxa" w:w="4896"/>
            <w:vAlign w:val="center"/>
          </w:tcPr>
          <w:p>
            <w:pPr>
              <w:spacing w:after="0"/>
            </w:pPr>
            <w:r/>
            <w:r>
              <w:rPr>
                <w:rFonts w:ascii="Arial" w:hAnsi="Arial"/>
                <w:b w:val="0"/>
                <w:sz w:val="18"/>
              </w:rPr>
              <w:t>telco_churn_model.pkl</w:t>
            </w:r>
          </w:p>
        </w:tc>
        <w:tc>
          <w:tcPr>
            <w:tcW w:type="dxa" w:w="4896"/>
            <w:vAlign w:val="center"/>
          </w:tcPr>
          <w:p>
            <w:pPr>
              <w:spacing w:after="0"/>
            </w:pPr>
            <w:r/>
            <w:r>
              <w:rPr>
                <w:rFonts w:ascii="Arial" w:hAnsi="Arial"/>
                <w:b w:val="0"/>
                <w:sz w:val="18"/>
              </w:rPr>
              <w:t>Serialized Scikit-learn preprocessing and prediction pipeline.</w:t>
            </w:r>
          </w:p>
        </w:tc>
      </w:tr>
    </w:tbl>
    <w:p/>
    <w:p>
      <w:r>
        <w:t>Suggested requirements.txt: pandas, numpy, matplotlib, seaborn, scikit-learn, joblib.</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Telco Customer Churn Analysis and Prediction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IBM SkillsBuild Data Analytics with AI | Academic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