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3F4EDB"/>
          <w:sz w:val="56"/>
          <w:szCs w:val="56"/>
        </w:rPr>
        <w:t xml:space="preserve">StudyLoop</w:t>
      </w:r>
    </w:p>
    <w:p>
      <w:pPr>
        <w:spacing w:after="40"/>
        <w:jc w:val="center"/>
      </w:pPr>
      <w:r>
        <w:rPr>
          <w:color w:val="1A1E2E"/>
          <w:sz w:val="28"/>
          <w:szCs w:val="28"/>
        </w:rPr>
        <w:t xml:space="preserve">Online Learning Platform — Mobile App</w:t>
      </w:r>
    </w:p>
    <w:p>
      <w:pPr>
        <w:spacing w:after="400"/>
        <w:jc w:val="center"/>
      </w:pPr>
      <w:r>
        <w:rPr>
          <w:i/>
          <w:iCs/>
          <w:color w:val="5B6072"/>
          <w:sz w:val="24"/>
          <w:szCs w:val="24"/>
        </w:rPr>
        <w:t xml:space="preserve">UI/UX Design Explanation</w:t>
      </w:r>
    </w:p>
    <w:p>
      <w:pPr>
        <w:spacing w:after="20"/>
        <w:jc w:val="center"/>
      </w:pPr>
      <w:r>
        <w:rPr>
          <w:b/>
          <w:bCs/>
          <w:sz w:val="22"/>
          <w:szCs w:val="22"/>
        </w:rPr>
        <w:t xml:space="preserve">Task 4 — Mini Project: Prototype Design</w:t>
      </w:r>
    </w:p>
    <w:p>
      <w:pPr>
        <w:spacing w:after="900"/>
        <w:jc w:val="center"/>
      </w:pPr>
      <w:r>
        <w:rPr>
          <w:color w:val="5B6072"/>
          <w:sz w:val="20"/>
          <w:szCs w:val="20"/>
        </w:rPr>
        <w:t xml:space="preserve">CodeAlpha UI/UX Design Internship</w:t>
      </w:r>
    </w:p>
    <w:p>
      <w:r>
        <w:br/>
        <w:t xml:space="preserve"/>
      </w:r>
    </w:p>
    <w:p>
      <w:pPr>
        <w:sectPr>
          <w:pgSz w:w="12240" w:h="15840" w:orient="portrait"/>
          <w:pgMar w:top="1440" w:right="1440" w:bottom="1440" w:left="1440" w:header="708" w:footer="708" w:gutter="0"/>
          <w:pgNumType/>
          <w:docGrid w:linePitch="360"/>
        </w:sectPr>
      </w:pPr>
    </w:p>
    <w:p>
      <w:pPr>
        <w:pStyle w:val="Heading1"/>
        <w:spacing w:after="160" w:before="300"/>
      </w:pPr>
      <w:r>
        <w:t xml:space="preserve">1. Project Overview</w:t>
      </w:r>
    </w:p>
    <w:p>
      <w:pPr>
        <w:spacing w:after="160"/>
      </w:pPr>
      <w:r>
        <w:rPr>
          <w:color w:val="333333"/>
          <w:sz w:val="22"/>
          <w:szCs w:val="22"/>
        </w:rPr>
        <w:t xml:space="preserve">StudyLoop is a mobile app concept for an online learning platform where students can browse courses, watch video lessons, take quizzes, track their progress, and earn certificates. The project was designed as part of the CodeAlpha UI/UX Design Internship, covering wireframing, high-fidelity UI design, and clickable prototyping.</w:t>
      </w:r>
    </w:p>
    <w:p>
      <w:pPr>
        <w:spacing w:after="160"/>
      </w:pPr>
      <w:r>
        <w:rPr>
          <w:color w:val="333333"/>
          <w:sz w:val="22"/>
          <w:szCs w:val="22"/>
        </w:rPr>
        <w:t xml:space="preserve">An education-focused app was chosen over more common ideas (food delivery, e-commerce) to explore richer interaction patterns such as progress tracking, video playback, quizzes, and achievement/certificate flows — all of which demand thoughtful UX beyond simple browse-and-buy journeys.</w:t>
      </w:r>
    </w:p>
    <w:p>
      <w:pPr>
        <w:pStyle w:val="Heading1"/>
        <w:spacing w:after="160" w:before="300"/>
      </w:pPr>
      <w:r>
        <w:t xml:space="preserve">2. Problem Statement</w:t>
      </w:r>
    </w:p>
    <w:p>
      <w:pPr>
        <w:spacing w:after="160"/>
      </w:pPr>
      <w:r>
        <w:rPr>
          <w:color w:val="333333"/>
          <w:sz w:val="22"/>
          <w:szCs w:val="22"/>
        </w:rPr>
        <w:t xml:space="preserve">Online learners commonly face three recurring frustrations:</w:t>
      </w:r>
    </w:p>
    <w:p>
      <w:pPr>
        <w:pStyle w:val="ListParagraph"/>
        <w:numPr>
          <w:ilvl w:val="0"/>
          <w:numId w:val="1"/>
        </w:numPr>
        <w:spacing w:after="80"/>
      </w:pPr>
      <w:r>
        <w:rPr>
          <w:sz w:val="22"/>
          <w:szCs w:val="22"/>
        </w:rPr>
        <w:t xml:space="preserve">Difficulty tracking progress across multiple enrolled courses.</w:t>
      </w:r>
    </w:p>
    <w:p>
      <w:pPr>
        <w:pStyle w:val="ListParagraph"/>
        <w:numPr>
          <w:ilvl w:val="0"/>
          <w:numId w:val="1"/>
        </w:numPr>
        <w:spacing w:after="80"/>
      </w:pPr>
      <w:r>
        <w:rPr>
          <w:sz w:val="22"/>
          <w:szCs w:val="22"/>
        </w:rPr>
        <w:t xml:space="preserve">Confusing navigation between watching a lesson and taking its related quiz.</w:t>
      </w:r>
    </w:p>
    <w:p>
      <w:pPr>
        <w:pStyle w:val="ListParagraph"/>
        <w:numPr>
          <w:ilvl w:val="0"/>
          <w:numId w:val="1"/>
        </w:numPr>
        <w:spacing w:after="80"/>
      </w:pPr>
      <w:r>
        <w:rPr>
          <w:sz w:val="22"/>
          <w:szCs w:val="22"/>
        </w:rPr>
        <w:t xml:space="preserve">Certificates and achievements are buried or hard to find after completion.</w:t>
      </w:r>
    </w:p>
    <w:p>
      <w:pPr>
        <w:spacing w:after="160"/>
      </w:pPr>
      <w:r>
        <w:rPr>
          <w:color w:val="333333"/>
          <w:sz w:val="22"/>
          <w:szCs w:val="22"/>
        </w:rPr>
        <w:t xml:space="preserve">StudyLoop's design directly addresses these three pain points through a dedicated dashboard, a linear lesson-to-quiz flow, and an easily accessible certificate view.</w:t>
      </w:r>
    </w:p>
    <w:p>
      <w:pPr>
        <w:pStyle w:val="Heading1"/>
        <w:spacing w:after="160" w:before="300"/>
      </w:pPr>
      <w:r>
        <w:t xml:space="preserve">3. Target User</w:t>
      </w:r>
    </w:p>
    <w:p>
      <w:pPr>
        <w:spacing w:after="160"/>
      </w:pPr>
      <w:r>
        <w:rPr>
          <w:color w:val="333333"/>
          <w:sz w:val="22"/>
          <w:szCs w:val="22"/>
        </w:rPr>
        <w:t xml:space="preserve">College students and working professionals who prefer mobile-first, bite-sized video learning to build new skills around their existing schedule.</w:t>
      </w:r>
    </w:p>
    <w:p>
      <w:pPr>
        <w:pStyle w:val="Heading1"/>
        <w:spacing w:after="160" w:before="300"/>
      </w:pPr>
      <w:r>
        <w:t xml:space="preserve">4. User Journey (Core Flow)</w:t>
      </w:r>
    </w:p>
    <w:p>
      <w:pPr>
        <w:spacing w:after="160"/>
      </w:pPr>
      <w:r>
        <w:rPr>
          <w:color w:val="333333"/>
          <w:sz w:val="22"/>
          <w:szCs w:val="22"/>
        </w:rPr>
        <w:t xml:space="preserve">Onboarding → Sign Up / Login → Home (browse courses) → Course Details → Checkout → Video Lesson Player → Quiz → Quiz Result → Dashboard (track progress) → Certificate.</w:t>
      </w:r>
    </w:p>
    <w:p>
      <w:pPr>
        <w:spacing w:after="160"/>
      </w:pPr>
      <w:r>
        <w:rPr>
          <w:color w:val="333333"/>
          <w:sz w:val="22"/>
          <w:szCs w:val="22"/>
        </w:rPr>
        <w:t xml:space="preserve">This flow was first mapped out as low-fidelity wireframes (Task 1) to validate layout and hierarchy before any visual styling was applied, then developed into high-fidelity screens (Task 2), and finally wired into an interactive, clickable prototype (Task 4).</w:t>
      </w:r>
    </w:p>
    <w:p>
      <w:pPr>
        <w:pStyle w:val="Heading1"/>
        <w:spacing w:after="160" w:before="300"/>
      </w:pPr>
      <w:r>
        <w:t xml:space="preserve">5. Design Decisions</w:t>
      </w:r>
    </w:p>
    <w:p>
      <w:pPr>
        <w:pStyle w:val="Heading2"/>
        <w:spacing w:after="120" w:before="240"/>
      </w:pPr>
      <w:r>
        <w:t xml:space="preserve">5.1 Color Palette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3F4EDB" w:val="clear"/>
          </w:tcPr>
          <w:p>
            <w:r>
              <w:rPr>
                <w:b/>
                <w:bCs/>
                <w:color w:val="FFFFFF"/>
                <w:sz w:val="20"/>
                <w:szCs w:val="20"/>
              </w:rPr>
              <w:t xml:space="preserve">Color</w:t>
            </w:r>
          </w:p>
        </w:tc>
        <w:tc>
          <w:tcPr>
            <w:tcW w:type="dxa" w:w="6200"/>
            <w:shd w:fill="3F4EDB" w:val="clear"/>
          </w:tcPr>
          <w:p>
            <w:r>
              <w:rPr>
                <w:b/>
                <w:bCs/>
                <w:color w:val="FFFFFF"/>
                <w:sz w:val="20"/>
                <w:szCs w:val="20"/>
              </w:rPr>
              <w:t xml:space="preserve">Usage</w:t>
            </w:r>
          </w:p>
        </w:tc>
      </w:tr>
      <w:tr>
        <w:tc>
          <w:tcPr>
            <w:tcW w:type="dxa" w:w="2800"/>
            <w:shd w:fill="F6F7FB" w:val="clear"/>
          </w:tcPr>
          <w:p>
            <w:r>
              <w:rPr>
                <w:b/>
                <w:bCs/>
                <w:color w:val="1A1E2E"/>
                <w:sz w:val="20"/>
                <w:szCs w:val="20"/>
              </w:rPr>
              <w:t xml:space="preserve">Indigo #3F4EDB</w:t>
            </w:r>
          </w:p>
        </w:tc>
        <w:tc>
          <w:tcPr>
            <w:tcW w:type="dxa" w:w="6200"/>
          </w:tcPr>
          <w:p>
            <w:r>
              <w:rPr>
                <w:b w:val="false"/>
                <w:bCs w:val="false"/>
                <w:color w:val="333333"/>
                <w:sz w:val="20"/>
                <w:szCs w:val="20"/>
              </w:rPr>
              <w:t xml:space="preserve">Primary brand color — conveys focus, trust and calm, fitting for a learning context.</w:t>
            </w:r>
          </w:p>
        </w:tc>
      </w:tr>
      <w:tr>
        <w:tc>
          <w:tcPr>
            <w:tcW w:type="dxa" w:w="2800"/>
            <w:shd w:fill="F6F7FB" w:val="clear"/>
          </w:tcPr>
          <w:p>
            <w:r>
              <w:rPr>
                <w:b/>
                <w:bCs/>
                <w:color w:val="1A1E2E"/>
                <w:sz w:val="20"/>
                <w:szCs w:val="20"/>
              </w:rPr>
              <w:t xml:space="preserve">Amber #FFB454</w:t>
            </w:r>
          </w:p>
        </w:tc>
        <w:tc>
          <w:tcPr>
            <w:tcW w:type="dxa" w:w="6200"/>
          </w:tcPr>
          <w:p>
            <w:r>
              <w:rPr>
                <w:b w:val="false"/>
                <w:bCs w:val="false"/>
                <w:color w:val="333333"/>
                <w:sz w:val="20"/>
                <w:szCs w:val="20"/>
              </w:rPr>
              <w:t xml:space="preserve">Accent color — used for achievements, certificates and progress highlights to create a warm, rewarding feel.</w:t>
            </w:r>
          </w:p>
        </w:tc>
      </w:tr>
      <w:tr>
        <w:tc>
          <w:tcPr>
            <w:tcW w:type="dxa" w:w="2800"/>
            <w:shd w:fill="F6F7FB" w:val="clear"/>
          </w:tcPr>
          <w:p>
            <w:r>
              <w:rPr>
                <w:b/>
                <w:bCs/>
                <w:color w:val="1A1E2E"/>
                <w:sz w:val="20"/>
                <w:szCs w:val="20"/>
              </w:rPr>
              <w:t xml:space="preserve">Deep Ink #1A1E2E</w:t>
            </w:r>
          </w:p>
        </w:tc>
        <w:tc>
          <w:tcPr>
            <w:tcW w:type="dxa" w:w="6200"/>
          </w:tcPr>
          <w:p>
            <w:r>
              <w:rPr>
                <w:b w:val="false"/>
                <w:bCs w:val="false"/>
                <w:color w:val="333333"/>
                <w:sz w:val="20"/>
                <w:szCs w:val="20"/>
              </w:rPr>
              <w:t xml:space="preserve">Primary text color for strong readability.</w:t>
            </w:r>
          </w:p>
        </w:tc>
      </w:tr>
      <w:tr>
        <w:tc>
          <w:tcPr>
            <w:tcW w:type="dxa" w:w="2800"/>
            <w:shd w:fill="F6F7FB" w:val="clear"/>
          </w:tcPr>
          <w:p>
            <w:r>
              <w:rPr>
                <w:b/>
                <w:bCs/>
                <w:color w:val="1A1E2E"/>
                <w:sz w:val="20"/>
                <w:szCs w:val="20"/>
              </w:rPr>
              <w:t xml:space="preserve">Soft Background #F6F7FB</w:t>
            </w:r>
          </w:p>
        </w:tc>
        <w:tc>
          <w:tcPr>
            <w:tcW w:type="dxa" w:w="6200"/>
          </w:tcPr>
          <w:p>
            <w:r>
              <w:rPr>
                <w:b w:val="false"/>
                <w:bCs w:val="false"/>
                <w:color w:val="333333"/>
                <w:sz w:val="20"/>
                <w:szCs w:val="20"/>
              </w:rPr>
              <w:t xml:space="preserve">App background — keeps the interface calm and uncluttered.</w:t>
            </w:r>
          </w:p>
        </w:tc>
      </w:tr>
    </w:tbl>
    <w:p>
      <w:pPr>
        <w:pStyle w:val="Heading2"/>
        <w:spacing w:after="120" w:before="240"/>
      </w:pPr>
      <w:r>
        <w:t xml:space="preserve">5.2 Typography</w:t>
      </w:r>
    </w:p>
    <w:p>
      <w:pPr>
        <w:spacing w:after="160"/>
      </w:pPr>
      <w:r>
        <w:rPr>
          <w:color w:val="333333"/>
          <w:sz w:val="22"/>
          <w:szCs w:val="22"/>
        </w:rPr>
        <w:t xml:space="preserve">Headings use Sora — a geometric, modern sans-serif that feels friendly and confident. Body text uses Manrope, chosen for its high readability at small mobile sizes.</w:t>
      </w:r>
    </w:p>
    <w:p>
      <w:pPr>
        <w:pStyle w:val="Heading2"/>
        <w:spacing w:after="120" w:before="240"/>
      </w:pPr>
      <w:r>
        <w:t xml:space="preserve">5.3 UI Principles Applied</w:t>
      </w:r>
    </w:p>
    <w:p>
      <w:pPr>
        <w:pStyle w:val="ListParagraph"/>
        <w:numPr>
          <w:ilvl w:val="0"/>
          <w:numId w:val="1"/>
        </w:numPr>
        <w:spacing w:after="80"/>
      </w:pPr>
      <w:r>
        <w:rPr>
          <w:sz w:val="22"/>
          <w:szCs w:val="22"/>
        </w:rPr>
        <w:t xml:space="preserve">Consistency: repeated card, chip, and button styles across all screens for a predictable experience.</w:t>
      </w:r>
    </w:p>
    <w:p>
      <w:pPr>
        <w:pStyle w:val="ListParagraph"/>
        <w:numPr>
          <w:ilvl w:val="0"/>
          <w:numId w:val="1"/>
        </w:numPr>
        <w:spacing w:after="80"/>
      </w:pPr>
      <w:r>
        <w:rPr>
          <w:sz w:val="22"/>
          <w:szCs w:val="22"/>
        </w:rPr>
        <w:t xml:space="preserve">Visual hierarchy: gradient hero sections and varied corner radii (larger on hero cards, smaller on list rows) to guide the eye.</w:t>
      </w:r>
    </w:p>
    <w:p>
      <w:pPr>
        <w:pStyle w:val="ListParagraph"/>
        <w:numPr>
          <w:ilvl w:val="0"/>
          <w:numId w:val="1"/>
        </w:numPr>
        <w:spacing w:after="80"/>
      </w:pPr>
      <w:r>
        <w:rPr>
          <w:sz w:val="22"/>
          <w:szCs w:val="22"/>
        </w:rPr>
        <w:t xml:space="preserve">Feedback: progress bars and completion states are visible throughout, reinforcing a sense of advancement.</w:t>
      </w:r>
    </w:p>
    <w:p>
      <w:pPr>
        <w:pStyle w:val="ListParagraph"/>
        <w:numPr>
          <w:ilvl w:val="0"/>
          <w:numId w:val="1"/>
        </w:numPr>
        <w:spacing w:after="80"/>
      </w:pPr>
      <w:r>
        <w:rPr>
          <w:sz w:val="22"/>
          <w:szCs w:val="22"/>
        </w:rPr>
        <w:t xml:space="preserve">Accessibility: sufficient color contrast between text and backgrounds; touch targets sized for comfortable thumb reach.</w:t>
      </w:r>
    </w:p>
    <w:p>
      <w:pPr>
        <w:pStyle w:val="Heading1"/>
        <w:spacing w:after="160" w:before="300"/>
      </w:pPr>
      <w:r>
        <w:t xml:space="preserve">6. Key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3F4EDB" w:val="clear"/>
          </w:tcPr>
          <w:p>
            <w:r>
              <w:rPr>
                <w:b/>
                <w:bCs/>
                <w:color w:val="FFFFFF"/>
                <w:sz w:val="20"/>
                <w:szCs w:val="20"/>
              </w:rPr>
              <w:t xml:space="preserve">Screen</w:t>
            </w:r>
          </w:p>
        </w:tc>
        <w:tc>
          <w:tcPr>
            <w:tcW w:type="dxa" w:w="6200"/>
            <w:shd w:fill="3F4EDB" w:val="clear"/>
          </w:tcPr>
          <w:p>
            <w:r>
              <w:rPr>
                <w:b/>
                <w:bCs/>
                <w:color w:val="FFFFFF"/>
                <w:sz w:val="20"/>
                <w:szCs w:val="20"/>
              </w:rPr>
              <w:t xml:space="preserve">Purpose</w:t>
            </w:r>
          </w:p>
        </w:tc>
      </w:tr>
      <w:tr>
        <w:tc>
          <w:tcPr>
            <w:tcW w:type="dxa" w:w="2800"/>
            <w:shd w:fill="F6F7FB" w:val="clear"/>
          </w:tcPr>
          <w:p>
            <w:r>
              <w:rPr>
                <w:b/>
                <w:bCs/>
                <w:color w:val="1A1E2E"/>
                <w:sz w:val="20"/>
                <w:szCs w:val="20"/>
              </w:rPr>
              <w:t xml:space="preserve">Onboarding</w:t>
            </w:r>
          </w:p>
        </w:tc>
        <w:tc>
          <w:tcPr>
            <w:tcW w:type="dxa" w:w="6200"/>
          </w:tcPr>
          <w:p>
            <w:r>
              <w:rPr>
                <w:b w:val="false"/>
                <w:bCs w:val="false"/>
                <w:color w:val="333333"/>
                <w:sz w:val="20"/>
                <w:szCs w:val="20"/>
              </w:rPr>
              <w:t xml:space="preserve">First impression — communicates the app's core value proposition.</w:t>
            </w:r>
          </w:p>
        </w:tc>
      </w:tr>
      <w:tr>
        <w:tc>
          <w:tcPr>
            <w:tcW w:type="dxa" w:w="2800"/>
            <w:shd w:fill="F6F7FB" w:val="clear"/>
          </w:tcPr>
          <w:p>
            <w:r>
              <w:rPr>
                <w:b/>
                <w:bCs/>
                <w:color w:val="1A1E2E"/>
                <w:sz w:val="20"/>
                <w:szCs w:val="20"/>
              </w:rPr>
              <w:t xml:space="preserve">Home</w:t>
            </w:r>
          </w:p>
        </w:tc>
        <w:tc>
          <w:tcPr>
            <w:tcW w:type="dxa" w:w="6200"/>
          </w:tcPr>
          <w:p>
            <w:r>
              <w:rPr>
                <w:b w:val="false"/>
                <w:bCs w:val="false"/>
                <w:color w:val="333333"/>
                <w:sz w:val="20"/>
                <w:szCs w:val="20"/>
              </w:rPr>
              <w:t xml:space="preserve">Course discovery and quick access to in-progress courses.</w:t>
            </w:r>
          </w:p>
        </w:tc>
      </w:tr>
      <w:tr>
        <w:tc>
          <w:tcPr>
            <w:tcW w:type="dxa" w:w="2800"/>
            <w:shd w:fill="F6F7FB" w:val="clear"/>
          </w:tcPr>
          <w:p>
            <w:r>
              <w:rPr>
                <w:b/>
                <w:bCs/>
                <w:color w:val="1A1E2E"/>
                <w:sz w:val="20"/>
                <w:szCs w:val="20"/>
              </w:rPr>
              <w:t xml:space="preserve">Course Details</w:t>
            </w:r>
          </w:p>
        </w:tc>
        <w:tc>
          <w:tcPr>
            <w:tcW w:type="dxa" w:w="6200"/>
          </w:tcPr>
          <w:p>
            <w:r>
              <w:rPr>
                <w:b w:val="false"/>
                <w:bCs w:val="false"/>
                <w:color w:val="333333"/>
                <w:sz w:val="20"/>
                <w:szCs w:val="20"/>
              </w:rPr>
              <w:t xml:space="preserve">Gives the learner everything needed to decide to enroll: syllabus, rating, instructor, price.</w:t>
            </w:r>
          </w:p>
        </w:tc>
      </w:tr>
      <w:tr>
        <w:tc>
          <w:tcPr>
            <w:tcW w:type="dxa" w:w="2800"/>
            <w:shd w:fill="F6F7FB" w:val="clear"/>
          </w:tcPr>
          <w:p>
            <w:r>
              <w:rPr>
                <w:b/>
                <w:bCs/>
                <w:color w:val="1A1E2E"/>
                <w:sz w:val="20"/>
                <w:szCs w:val="20"/>
              </w:rPr>
              <w:t xml:space="preserve">Video Lesson Player</w:t>
            </w:r>
          </w:p>
        </w:tc>
        <w:tc>
          <w:tcPr>
            <w:tcW w:type="dxa" w:w="6200"/>
          </w:tcPr>
          <w:p>
            <w:r>
              <w:rPr>
                <w:b w:val="false"/>
                <w:bCs w:val="false"/>
                <w:color w:val="333333"/>
                <w:sz w:val="20"/>
                <w:szCs w:val="20"/>
              </w:rPr>
              <w:t xml:space="preserve">Core learning experience with lesson list and progress tracking.</w:t>
            </w:r>
          </w:p>
        </w:tc>
      </w:tr>
      <w:tr>
        <w:tc>
          <w:tcPr>
            <w:tcW w:type="dxa" w:w="2800"/>
            <w:shd w:fill="F6F7FB" w:val="clear"/>
          </w:tcPr>
          <w:p>
            <w:r>
              <w:rPr>
                <w:b/>
                <w:bCs/>
                <w:color w:val="1A1E2E"/>
                <w:sz w:val="20"/>
                <w:szCs w:val="20"/>
              </w:rPr>
              <w:t xml:space="preserve">Quiz</w:t>
            </w:r>
          </w:p>
        </w:tc>
        <w:tc>
          <w:tcPr>
            <w:tcW w:type="dxa" w:w="6200"/>
          </w:tcPr>
          <w:p>
            <w:r>
              <w:rPr>
                <w:b w:val="false"/>
                <w:bCs w:val="false"/>
                <w:color w:val="333333"/>
                <w:sz w:val="20"/>
                <w:szCs w:val="20"/>
              </w:rPr>
              <w:t xml:space="preserve">Reinforces learning and checks understanding after each module.</w:t>
            </w:r>
          </w:p>
        </w:tc>
      </w:tr>
      <w:tr>
        <w:tc>
          <w:tcPr>
            <w:tcW w:type="dxa" w:w="2800"/>
            <w:shd w:fill="F6F7FB" w:val="clear"/>
          </w:tcPr>
          <w:p>
            <w:r>
              <w:rPr>
                <w:b/>
                <w:bCs/>
                <w:color w:val="1A1E2E"/>
                <w:sz w:val="20"/>
                <w:szCs w:val="20"/>
              </w:rPr>
              <w:t xml:space="preserve">Dashboard</w:t>
            </w:r>
          </w:p>
        </w:tc>
        <w:tc>
          <w:tcPr>
            <w:tcW w:type="dxa" w:w="6200"/>
          </w:tcPr>
          <w:p>
            <w:r>
              <w:rPr>
                <w:b w:val="false"/>
                <w:bCs w:val="false"/>
                <w:color w:val="333333"/>
                <w:sz w:val="20"/>
                <w:szCs w:val="20"/>
              </w:rPr>
              <w:t xml:space="preserve">Central hub for tracking progress across all enrolled courses.</w:t>
            </w:r>
          </w:p>
        </w:tc>
      </w:tr>
      <w:tr>
        <w:tc>
          <w:tcPr>
            <w:tcW w:type="dxa" w:w="2800"/>
            <w:shd w:fill="F6F7FB" w:val="clear"/>
          </w:tcPr>
          <w:p>
            <w:r>
              <w:rPr>
                <w:b/>
                <w:bCs/>
                <w:color w:val="1A1E2E"/>
                <w:sz w:val="20"/>
                <w:szCs w:val="20"/>
              </w:rPr>
              <w:t xml:space="preserve">Certificate</w:t>
            </w:r>
          </w:p>
        </w:tc>
        <w:tc>
          <w:tcPr>
            <w:tcW w:type="dxa" w:w="6200"/>
          </w:tcPr>
          <w:p>
            <w:r>
              <w:rPr>
                <w:b w:val="false"/>
                <w:bCs w:val="false"/>
                <w:color w:val="333333"/>
                <w:sz w:val="20"/>
                <w:szCs w:val="20"/>
              </w:rPr>
              <w:t xml:space="preserve">Rewards course completion, encouraging learners to finish what they start.</w:t>
            </w:r>
          </w:p>
        </w:tc>
      </w:tr>
    </w:tbl>
    <w:p>
      <w:pPr>
        <w:pStyle w:val="Heading1"/>
        <w:spacing w:after="160" w:before="300"/>
      </w:pPr>
      <w:r>
        <w:t xml:space="preserve">7. Prototype Overview</w:t>
      </w:r>
    </w:p>
    <w:p>
      <w:pPr>
        <w:spacing w:after="160"/>
      </w:pPr>
      <w:r>
        <w:rPr>
          <w:color w:val="333333"/>
          <w:sz w:val="22"/>
          <w:szCs w:val="22"/>
        </w:rPr>
        <w:t xml:space="preserve">The high-fidelity screens were connected in Figma using tap-based navigation to simulate a real app experience. The prototype covers the full core journey — from onboarding through course enrollment, lesson viewing, quiz-taking, and progress tracking — allowing a reviewer to click through the app exactly as an end user would.</w:t>
      </w:r>
    </w:p>
    <w:p>
      <w:pPr>
        <w:spacing w:after="160"/>
      </w:pPr>
      <w:r>
        <w:rPr>
          <w:color w:val="333333"/>
          <w:sz w:val="22"/>
          <w:szCs w:val="22"/>
        </w:rPr>
        <w:t xml:space="preserve">Prototype link: [Insert your Figma prototype share link here]</w:t>
      </w:r>
    </w:p>
    <w:p>
      <w:pPr>
        <w:pStyle w:val="Heading1"/>
        <w:spacing w:after="160" w:before="300"/>
      </w:pPr>
      <w:r>
        <w:t xml:space="preserve">8. Conclusion</w:t>
      </w:r>
    </w:p>
    <w:p>
      <w:pPr>
        <w:spacing w:after="160"/>
      </w:pPr>
      <w:r>
        <w:rPr>
          <w:color w:val="333333"/>
          <w:sz w:val="22"/>
          <w:szCs w:val="22"/>
        </w:rPr>
        <w:t xml:space="preserve">StudyLoop demonstrates a complete UI/UX design process — from low-fidelity wireframes through high-fidelity visual design to a fully connected clickable prototype — applying core usability principles at every stage to solve real, well-defined problems for online learners.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2026-09-19T08:10:27.878Z</dcterms:created>
  <dcterms:modified xsi:type="dcterms:W3CDTF">2026-09-19T08:10:27.886Z</dcterms:modified>
</cp:coreProperties>
</file>

<file path=docProps/custom.xml><?xml version="1.0" encoding="utf-8"?>
<Properties xmlns="http://schemas.openxmlformats.org/officeDocument/2006/custom-properties" xmlns:vt="http://schemas.openxmlformats.org/officeDocument/2006/docPropsVTypes"/>
</file>