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3A64B" w14:textId="77777777" w:rsidR="00B4334B" w:rsidRPr="00B4334B" w:rsidRDefault="00B4334B" w:rsidP="00B4334B">
      <w:pPr>
        <w:rPr>
          <w:rFonts w:ascii="Times New Roman" w:hAnsi="Times New Roman" w:cs="Times New Roman"/>
          <w:b/>
          <w:bCs/>
        </w:rPr>
      </w:pPr>
      <w:r w:rsidRPr="00B4334B">
        <w:rPr>
          <w:rFonts w:ascii="Times New Roman" w:hAnsi="Times New Roman" w:cs="Times New Roman"/>
          <w:b/>
          <w:bCs/>
        </w:rPr>
        <w:t>HR Analytics Dashboard Report</w:t>
      </w:r>
    </w:p>
    <w:p w14:paraId="3B8F4C22"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Workforce &amp; Talent Intelligence Analysis</w:t>
      </w:r>
    </w:p>
    <w:p w14:paraId="036899BC"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1. Introduction</w:t>
      </w:r>
    </w:p>
    <w:p w14:paraId="5EDE6B8E" w14:textId="77777777" w:rsid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This HR Analytics Dashboard provides a comprehensive analysis of workforce structure, diversity, hiring trends, talent distribution, and tenure metrics. The dashboard was developed using Excel to transform raw HR data into actionable business insights for strategic decision-making.</w:t>
      </w:r>
    </w:p>
    <w:p w14:paraId="54A0E337" w14:textId="143215AA"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drawing>
          <wp:inline distT="0" distB="0" distL="0" distR="0" wp14:anchorId="6075E4A3" wp14:editId="440A6B13">
            <wp:extent cx="5985164" cy="2571115"/>
            <wp:effectExtent l="0" t="0" r="0" b="635"/>
            <wp:docPr id="92981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18066" name=""/>
                    <pic:cNvPicPr/>
                  </pic:nvPicPr>
                  <pic:blipFill>
                    <a:blip r:embed="rId5"/>
                    <a:stretch>
                      <a:fillRect/>
                    </a:stretch>
                  </pic:blipFill>
                  <pic:spPr>
                    <a:xfrm>
                      <a:off x="0" y="0"/>
                      <a:ext cx="6008067" cy="2580954"/>
                    </a:xfrm>
                    <a:prstGeom prst="rect">
                      <a:avLst/>
                    </a:prstGeom>
                  </pic:spPr>
                </pic:pic>
              </a:graphicData>
            </a:graphic>
          </wp:inline>
        </w:drawing>
      </w:r>
    </w:p>
    <w:p w14:paraId="15D11183"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pict w14:anchorId="1DB8C04A">
          <v:rect id="_x0000_i1178" style="width:0;height:1.5pt" o:hralign="center" o:hrstd="t" o:hr="t" fillcolor="#a0a0a0" stroked="f"/>
        </w:pict>
      </w:r>
    </w:p>
    <w:p w14:paraId="109989C9"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2. Workforce Structure Analysis</w:t>
      </w:r>
    </w:p>
    <w:p w14:paraId="6D47AA86"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Total Headcount</w:t>
      </w:r>
    </w:p>
    <w:p w14:paraId="7165D3F5"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The organization’s total active employee count provides an overview of workforce size and organizational scale.</w:t>
      </w:r>
    </w:p>
    <w:p w14:paraId="6A8152D1"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Department-wise Headcount</w:t>
      </w:r>
    </w:p>
    <w:p w14:paraId="7E52FCA8"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Analysis of employees across departments helps evaluate resource allocation and functional workforce distribution.</w:t>
      </w:r>
    </w:p>
    <w:p w14:paraId="50B3A5FA"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Location-wise Headcount</w:t>
      </w:r>
    </w:p>
    <w:p w14:paraId="16F345DC"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Regional distribution highlights geographic workforce concentration and operational spread.</w:t>
      </w:r>
    </w:p>
    <w:p w14:paraId="0DCBBAD4"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Age Band Distribution</w:t>
      </w:r>
    </w:p>
    <w:p w14:paraId="5BCB0971"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The workforce is categorized into age groups to understand the balance between young professionals and experienced employees.</w:t>
      </w:r>
    </w:p>
    <w:p w14:paraId="17361742"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pict w14:anchorId="53B586C3">
          <v:rect id="_x0000_i1179" style="width:0;height:1.5pt" o:hralign="center" o:hrstd="t" o:hr="t" fillcolor="#a0a0a0" stroked="f"/>
        </w:pict>
      </w:r>
    </w:p>
    <w:p w14:paraId="11270556"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3. Diversity &amp; Inclusion Metrics</w:t>
      </w:r>
    </w:p>
    <w:p w14:paraId="21047D39"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Gender Ratio (%)</w:t>
      </w:r>
    </w:p>
    <w:p w14:paraId="4444CA66"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The percentage of female employees indicates the organization’s gender diversity balance.</w:t>
      </w:r>
    </w:p>
    <w:p w14:paraId="1E158AF7"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Gender Mix by Department</w:t>
      </w:r>
    </w:p>
    <w:p w14:paraId="3B80EC63"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Department-level gender distribution identifies diversity gaps and inclusivity patterns.</w:t>
      </w:r>
    </w:p>
    <w:p w14:paraId="5BF976D1"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pict w14:anchorId="75FFC34C">
          <v:rect id="_x0000_i1180" style="width:0;height:1.5pt" o:hralign="center" o:hrstd="t" o:hr="t" fillcolor="#a0a0a0" stroked="f"/>
        </w:pict>
      </w:r>
    </w:p>
    <w:p w14:paraId="0C501C80"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4. Hiring &amp; Recruitment Analysis</w:t>
      </w:r>
    </w:p>
    <w:p w14:paraId="7862158A"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Hiring Source Effectiveness</w:t>
      </w:r>
    </w:p>
    <w:p w14:paraId="65E1546E"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lastRenderedPageBreak/>
        <w:t>Tracks recruitment channels such as job portals, referrals, or campus hiring to determine the most effective sourcing strategy.</w:t>
      </w:r>
    </w:p>
    <w:p w14:paraId="1070DF33"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Average Experience at Joining</w:t>
      </w:r>
    </w:p>
    <w:p w14:paraId="552F55D5"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Indicates whether the organization hires freshers or experienced professionals.</w:t>
      </w:r>
    </w:p>
    <w:p w14:paraId="13FCAFF6"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Average Age at Joining</w:t>
      </w:r>
    </w:p>
    <w:p w14:paraId="5FF73334"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Helps evaluate hiring strategy orientation.</w:t>
      </w:r>
    </w:p>
    <w:p w14:paraId="29742CA1"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Hiring Trend (Year-wise)</w:t>
      </w:r>
    </w:p>
    <w:p w14:paraId="68E0F50D"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Identifies growth or slowdown patterns in recruitment over time.</w:t>
      </w:r>
    </w:p>
    <w:p w14:paraId="1925E864"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pict w14:anchorId="6FF4405B">
          <v:rect id="_x0000_i1181" style="width:0;height:1.5pt" o:hralign="center" o:hrstd="t" o:hr="t" fillcolor="#a0a0a0" stroked="f"/>
        </w:pict>
      </w:r>
    </w:p>
    <w:p w14:paraId="5E50F0AF"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5. Experience &amp; Talent Metrics</w:t>
      </w:r>
    </w:p>
    <w:p w14:paraId="622E57CB"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Average Experience</w:t>
      </w:r>
    </w:p>
    <w:p w14:paraId="26EAE801"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Measures workforce maturity.</w:t>
      </w:r>
    </w:p>
    <w:p w14:paraId="1CD33F5D"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Experience Band Distribution</w:t>
      </w:r>
    </w:p>
    <w:p w14:paraId="6F3293D2"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Classifies employees into experience groups (0–2, 2–5, 5–10, 10+ years) to assess succession readiness.</w:t>
      </w:r>
    </w:p>
    <w:p w14:paraId="025DD29C"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Senior Workforce Ratio (&gt;10 years)</w:t>
      </w:r>
    </w:p>
    <w:p w14:paraId="64654CC3"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Shows dependency on highly experienced employees.</w:t>
      </w:r>
    </w:p>
    <w:p w14:paraId="1D3EC77C"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pict w14:anchorId="0855C5BE">
          <v:rect id="_x0000_i1182" style="width:0;height:1.5pt" o:hralign="center" o:hrstd="t" o:hr="t" fillcolor="#a0a0a0" stroked="f"/>
        </w:pict>
      </w:r>
    </w:p>
    <w:p w14:paraId="0C77A715"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6. Tenure &amp; Retention Metrics</w:t>
      </w:r>
    </w:p>
    <w:p w14:paraId="65518B98"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Average Tenure</w:t>
      </w:r>
    </w:p>
    <w:p w14:paraId="0465448D"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Measures employee retention strength.</w:t>
      </w:r>
    </w:p>
    <w:p w14:paraId="3C039224"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Long-Tenure Employees (&gt;5 years)</w:t>
      </w:r>
    </w:p>
    <w:p w14:paraId="700A3C67"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Indicates workforce stability.</w:t>
      </w:r>
    </w:p>
    <w:p w14:paraId="53BC26A4"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Recent Joiners (&lt;1 year)</w:t>
      </w:r>
    </w:p>
    <w:p w14:paraId="742338B8"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Reflects hiring growth or replacement trends.</w:t>
      </w:r>
    </w:p>
    <w:p w14:paraId="0643CE34"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pict w14:anchorId="5D8FC60A">
          <v:rect id="_x0000_i1183" style="width:0;height:1.5pt" o:hralign="center" o:hrstd="t" o:hr="t" fillcolor="#a0a0a0" stroked="f"/>
        </w:pict>
      </w:r>
    </w:p>
    <w:p w14:paraId="724A4EF8"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7. Strategic HR Insights</w:t>
      </w:r>
    </w:p>
    <w:p w14:paraId="27C47522" w14:textId="77777777" w:rsidR="00B4334B" w:rsidRPr="00B4334B" w:rsidRDefault="00B4334B" w:rsidP="00B4334B">
      <w:pPr>
        <w:numPr>
          <w:ilvl w:val="0"/>
          <w:numId w:val="2"/>
        </w:numPr>
        <w:rPr>
          <w:rFonts w:ascii="Times New Roman" w:hAnsi="Times New Roman" w:cs="Times New Roman"/>
          <w:b/>
          <w:bCs/>
          <w:sz w:val="20"/>
          <w:szCs w:val="20"/>
        </w:rPr>
      </w:pPr>
      <w:r w:rsidRPr="00B4334B">
        <w:rPr>
          <w:rFonts w:ascii="Times New Roman" w:hAnsi="Times New Roman" w:cs="Times New Roman"/>
          <w:b/>
          <w:bCs/>
          <w:sz w:val="20"/>
          <w:szCs w:val="20"/>
        </w:rPr>
        <w:t>Talent concentration risk in critical departments</w:t>
      </w:r>
    </w:p>
    <w:p w14:paraId="36CE68B4" w14:textId="77777777" w:rsidR="00B4334B" w:rsidRPr="00B4334B" w:rsidRDefault="00B4334B" w:rsidP="00B4334B">
      <w:pPr>
        <w:numPr>
          <w:ilvl w:val="0"/>
          <w:numId w:val="2"/>
        </w:numPr>
        <w:rPr>
          <w:rFonts w:ascii="Times New Roman" w:hAnsi="Times New Roman" w:cs="Times New Roman"/>
          <w:b/>
          <w:bCs/>
          <w:sz w:val="20"/>
          <w:szCs w:val="20"/>
        </w:rPr>
      </w:pPr>
      <w:r w:rsidRPr="00B4334B">
        <w:rPr>
          <w:rFonts w:ascii="Times New Roman" w:hAnsi="Times New Roman" w:cs="Times New Roman"/>
          <w:b/>
          <w:bCs/>
          <w:sz w:val="20"/>
          <w:szCs w:val="20"/>
        </w:rPr>
        <w:t>Hiring source dependency analysis</w:t>
      </w:r>
    </w:p>
    <w:p w14:paraId="27938294" w14:textId="77777777" w:rsidR="00B4334B" w:rsidRPr="00B4334B" w:rsidRDefault="00B4334B" w:rsidP="00B4334B">
      <w:pPr>
        <w:numPr>
          <w:ilvl w:val="0"/>
          <w:numId w:val="2"/>
        </w:numPr>
        <w:rPr>
          <w:rFonts w:ascii="Times New Roman" w:hAnsi="Times New Roman" w:cs="Times New Roman"/>
          <w:b/>
          <w:bCs/>
          <w:sz w:val="20"/>
          <w:szCs w:val="20"/>
        </w:rPr>
      </w:pPr>
      <w:r w:rsidRPr="00B4334B">
        <w:rPr>
          <w:rFonts w:ascii="Times New Roman" w:hAnsi="Times New Roman" w:cs="Times New Roman"/>
          <w:b/>
          <w:bCs/>
          <w:sz w:val="20"/>
          <w:szCs w:val="20"/>
        </w:rPr>
        <w:t>Workforce mobility and regional dependency patterns</w:t>
      </w:r>
    </w:p>
    <w:p w14:paraId="610542A7"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pict w14:anchorId="6FAD5A6D">
          <v:rect id="_x0000_i1184" style="width:0;height:1.5pt" o:hralign="center" o:hrstd="t" o:hr="t" fillcolor="#a0a0a0" stroked="f"/>
        </w:pict>
      </w:r>
    </w:p>
    <w:p w14:paraId="21DAE72C"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8. Key Dashboard KPIs</w:t>
      </w:r>
    </w:p>
    <w:p w14:paraId="65E3490A" w14:textId="77777777" w:rsidR="00B4334B" w:rsidRPr="00B4334B" w:rsidRDefault="00B4334B" w:rsidP="00B4334B">
      <w:pPr>
        <w:numPr>
          <w:ilvl w:val="0"/>
          <w:numId w:val="3"/>
        </w:numPr>
        <w:rPr>
          <w:rFonts w:ascii="Times New Roman" w:hAnsi="Times New Roman" w:cs="Times New Roman"/>
          <w:b/>
          <w:bCs/>
          <w:sz w:val="20"/>
          <w:szCs w:val="20"/>
        </w:rPr>
      </w:pPr>
      <w:r w:rsidRPr="00B4334B">
        <w:rPr>
          <w:rFonts w:ascii="Times New Roman" w:hAnsi="Times New Roman" w:cs="Times New Roman"/>
          <w:b/>
          <w:bCs/>
          <w:sz w:val="20"/>
          <w:szCs w:val="20"/>
        </w:rPr>
        <w:t>Total Headcount</w:t>
      </w:r>
    </w:p>
    <w:p w14:paraId="5B75FE77" w14:textId="77777777" w:rsidR="00B4334B" w:rsidRPr="00B4334B" w:rsidRDefault="00B4334B" w:rsidP="00B4334B">
      <w:pPr>
        <w:numPr>
          <w:ilvl w:val="0"/>
          <w:numId w:val="3"/>
        </w:numPr>
        <w:rPr>
          <w:rFonts w:ascii="Times New Roman" w:hAnsi="Times New Roman" w:cs="Times New Roman"/>
          <w:b/>
          <w:bCs/>
          <w:sz w:val="20"/>
          <w:szCs w:val="20"/>
        </w:rPr>
      </w:pPr>
      <w:r w:rsidRPr="00B4334B">
        <w:rPr>
          <w:rFonts w:ascii="Times New Roman" w:hAnsi="Times New Roman" w:cs="Times New Roman"/>
          <w:b/>
          <w:bCs/>
          <w:sz w:val="20"/>
          <w:szCs w:val="20"/>
        </w:rPr>
        <w:t>Average Age</w:t>
      </w:r>
    </w:p>
    <w:p w14:paraId="58B00268" w14:textId="77777777" w:rsidR="00B4334B" w:rsidRPr="00B4334B" w:rsidRDefault="00B4334B" w:rsidP="00B4334B">
      <w:pPr>
        <w:numPr>
          <w:ilvl w:val="0"/>
          <w:numId w:val="3"/>
        </w:numPr>
        <w:rPr>
          <w:rFonts w:ascii="Times New Roman" w:hAnsi="Times New Roman" w:cs="Times New Roman"/>
          <w:b/>
          <w:bCs/>
          <w:sz w:val="20"/>
          <w:szCs w:val="20"/>
        </w:rPr>
      </w:pPr>
      <w:r w:rsidRPr="00B4334B">
        <w:rPr>
          <w:rFonts w:ascii="Times New Roman" w:hAnsi="Times New Roman" w:cs="Times New Roman"/>
          <w:b/>
          <w:bCs/>
          <w:sz w:val="20"/>
          <w:szCs w:val="20"/>
        </w:rPr>
        <w:t>Average Experience</w:t>
      </w:r>
    </w:p>
    <w:p w14:paraId="73592E30" w14:textId="77777777" w:rsidR="00B4334B" w:rsidRPr="00B4334B" w:rsidRDefault="00B4334B" w:rsidP="00B4334B">
      <w:pPr>
        <w:numPr>
          <w:ilvl w:val="0"/>
          <w:numId w:val="3"/>
        </w:numPr>
        <w:rPr>
          <w:rFonts w:ascii="Times New Roman" w:hAnsi="Times New Roman" w:cs="Times New Roman"/>
          <w:b/>
          <w:bCs/>
          <w:sz w:val="20"/>
          <w:szCs w:val="20"/>
        </w:rPr>
      </w:pPr>
      <w:r w:rsidRPr="00B4334B">
        <w:rPr>
          <w:rFonts w:ascii="Times New Roman" w:hAnsi="Times New Roman" w:cs="Times New Roman"/>
          <w:b/>
          <w:bCs/>
          <w:sz w:val="20"/>
          <w:szCs w:val="20"/>
        </w:rPr>
        <w:t>Percentage of Female Employees</w:t>
      </w:r>
    </w:p>
    <w:p w14:paraId="3F4DE28C" w14:textId="77777777" w:rsidR="00B4334B" w:rsidRPr="00B4334B" w:rsidRDefault="00B4334B" w:rsidP="00B4334B">
      <w:pPr>
        <w:numPr>
          <w:ilvl w:val="0"/>
          <w:numId w:val="3"/>
        </w:numPr>
        <w:rPr>
          <w:rFonts w:ascii="Times New Roman" w:hAnsi="Times New Roman" w:cs="Times New Roman"/>
          <w:b/>
          <w:bCs/>
          <w:sz w:val="20"/>
          <w:szCs w:val="20"/>
        </w:rPr>
      </w:pPr>
      <w:r w:rsidRPr="00B4334B">
        <w:rPr>
          <w:rFonts w:ascii="Times New Roman" w:hAnsi="Times New Roman" w:cs="Times New Roman"/>
          <w:b/>
          <w:bCs/>
          <w:sz w:val="20"/>
          <w:szCs w:val="20"/>
        </w:rPr>
        <w:t>Top Hiring Source</w:t>
      </w:r>
    </w:p>
    <w:p w14:paraId="29F8D91F" w14:textId="77777777" w:rsidR="00B4334B" w:rsidRPr="00B4334B" w:rsidRDefault="00B4334B" w:rsidP="00B4334B">
      <w:pPr>
        <w:numPr>
          <w:ilvl w:val="0"/>
          <w:numId w:val="3"/>
        </w:numPr>
        <w:rPr>
          <w:rFonts w:ascii="Times New Roman" w:hAnsi="Times New Roman" w:cs="Times New Roman"/>
          <w:b/>
          <w:bCs/>
          <w:sz w:val="20"/>
          <w:szCs w:val="20"/>
        </w:rPr>
      </w:pPr>
      <w:r w:rsidRPr="00B4334B">
        <w:rPr>
          <w:rFonts w:ascii="Times New Roman" w:hAnsi="Times New Roman" w:cs="Times New Roman"/>
          <w:b/>
          <w:bCs/>
          <w:sz w:val="20"/>
          <w:szCs w:val="20"/>
        </w:rPr>
        <w:lastRenderedPageBreak/>
        <w:t>Average Tenure</w:t>
      </w:r>
    </w:p>
    <w:p w14:paraId="4AAE3FF2"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pict w14:anchorId="6872FDE8">
          <v:rect id="_x0000_i1185" style="width:0;height:1.5pt" o:hralign="center" o:hrstd="t" o:hr="t" fillcolor="#a0a0a0" stroked="f"/>
        </w:pict>
      </w:r>
    </w:p>
    <w:p w14:paraId="19D7FDE9"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9. Conclusion</w:t>
      </w:r>
    </w:p>
    <w:p w14:paraId="0E3482B4" w14:textId="77777777" w:rsidR="00B4334B" w:rsidRPr="00B4334B" w:rsidRDefault="00B4334B" w:rsidP="00B4334B">
      <w:pPr>
        <w:rPr>
          <w:rFonts w:ascii="Times New Roman" w:hAnsi="Times New Roman" w:cs="Times New Roman"/>
          <w:b/>
          <w:bCs/>
          <w:sz w:val="20"/>
          <w:szCs w:val="20"/>
        </w:rPr>
      </w:pPr>
      <w:r w:rsidRPr="00B4334B">
        <w:rPr>
          <w:rFonts w:ascii="Times New Roman" w:hAnsi="Times New Roman" w:cs="Times New Roman"/>
          <w:b/>
          <w:bCs/>
          <w:sz w:val="20"/>
          <w:szCs w:val="20"/>
        </w:rPr>
        <w:t>The HR Analytics Dashboard provides a data-driven approach to workforce planning, talent management, diversity monitoring, and recruitment strategy evaluation. It enables HR leaders to make informed strategic decisions backed by measurable insights.</w:t>
      </w:r>
    </w:p>
    <w:p w14:paraId="3214E113" w14:textId="77777777" w:rsidR="00E32083" w:rsidRPr="00B4334B" w:rsidRDefault="00E32083" w:rsidP="00B4334B">
      <w:pPr>
        <w:rPr>
          <w:rFonts w:ascii="Times New Roman" w:hAnsi="Times New Roman" w:cs="Times New Roman"/>
          <w:sz w:val="20"/>
          <w:szCs w:val="20"/>
        </w:rPr>
      </w:pPr>
    </w:p>
    <w:sectPr w:rsidR="00E32083" w:rsidRPr="00B4334B" w:rsidSect="00B4334B">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71C5E"/>
    <w:multiLevelType w:val="multilevel"/>
    <w:tmpl w:val="D4D4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B56F6"/>
    <w:multiLevelType w:val="hybridMultilevel"/>
    <w:tmpl w:val="D4AEBF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28538F2"/>
    <w:multiLevelType w:val="multilevel"/>
    <w:tmpl w:val="A38E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798892">
    <w:abstractNumId w:val="1"/>
  </w:num>
  <w:num w:numId="2" w16cid:durableId="1483546066">
    <w:abstractNumId w:val="0"/>
  </w:num>
  <w:num w:numId="3" w16cid:durableId="12406736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083"/>
    <w:rsid w:val="00456D5A"/>
    <w:rsid w:val="005B4D66"/>
    <w:rsid w:val="00606438"/>
    <w:rsid w:val="00753940"/>
    <w:rsid w:val="007778E7"/>
    <w:rsid w:val="00B4334B"/>
    <w:rsid w:val="00DC316A"/>
    <w:rsid w:val="00E32083"/>
    <w:rsid w:val="00E84C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A1D87"/>
  <w15:chartTrackingRefBased/>
  <w15:docId w15:val="{43CCA8BB-1E5F-4903-8A82-716528F10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0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20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20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20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20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20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0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0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0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0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20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20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20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20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20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0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0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083"/>
    <w:rPr>
      <w:rFonts w:eastAsiaTheme="majorEastAsia" w:cstheme="majorBidi"/>
      <w:color w:val="272727" w:themeColor="text1" w:themeTint="D8"/>
    </w:rPr>
  </w:style>
  <w:style w:type="paragraph" w:styleId="Title">
    <w:name w:val="Title"/>
    <w:basedOn w:val="Normal"/>
    <w:next w:val="Normal"/>
    <w:link w:val="TitleChar"/>
    <w:uiPriority w:val="10"/>
    <w:qFormat/>
    <w:rsid w:val="00E32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0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0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0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083"/>
    <w:pPr>
      <w:spacing w:before="160"/>
      <w:jc w:val="center"/>
    </w:pPr>
    <w:rPr>
      <w:i/>
      <w:iCs/>
      <w:color w:val="404040" w:themeColor="text1" w:themeTint="BF"/>
    </w:rPr>
  </w:style>
  <w:style w:type="character" w:customStyle="1" w:styleId="QuoteChar">
    <w:name w:val="Quote Char"/>
    <w:basedOn w:val="DefaultParagraphFont"/>
    <w:link w:val="Quote"/>
    <w:uiPriority w:val="29"/>
    <w:rsid w:val="00E32083"/>
    <w:rPr>
      <w:i/>
      <w:iCs/>
      <w:color w:val="404040" w:themeColor="text1" w:themeTint="BF"/>
    </w:rPr>
  </w:style>
  <w:style w:type="paragraph" w:styleId="ListParagraph">
    <w:name w:val="List Paragraph"/>
    <w:basedOn w:val="Normal"/>
    <w:uiPriority w:val="34"/>
    <w:qFormat/>
    <w:rsid w:val="00E32083"/>
    <w:pPr>
      <w:ind w:left="720"/>
      <w:contextualSpacing/>
    </w:pPr>
  </w:style>
  <w:style w:type="character" w:styleId="IntenseEmphasis">
    <w:name w:val="Intense Emphasis"/>
    <w:basedOn w:val="DefaultParagraphFont"/>
    <w:uiPriority w:val="21"/>
    <w:qFormat/>
    <w:rsid w:val="00E32083"/>
    <w:rPr>
      <w:i/>
      <w:iCs/>
      <w:color w:val="2F5496" w:themeColor="accent1" w:themeShade="BF"/>
    </w:rPr>
  </w:style>
  <w:style w:type="paragraph" w:styleId="IntenseQuote">
    <w:name w:val="Intense Quote"/>
    <w:basedOn w:val="Normal"/>
    <w:next w:val="Normal"/>
    <w:link w:val="IntenseQuoteChar"/>
    <w:uiPriority w:val="30"/>
    <w:qFormat/>
    <w:rsid w:val="00E320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2083"/>
    <w:rPr>
      <w:i/>
      <w:iCs/>
      <w:color w:val="2F5496" w:themeColor="accent1" w:themeShade="BF"/>
    </w:rPr>
  </w:style>
  <w:style w:type="character" w:styleId="IntenseReference">
    <w:name w:val="Intense Reference"/>
    <w:basedOn w:val="DefaultParagraphFont"/>
    <w:uiPriority w:val="32"/>
    <w:qFormat/>
    <w:rsid w:val="00E320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408</Words>
  <Characters>2329</Characters>
  <Application>Microsoft Office Word</Application>
  <DocSecurity>0</DocSecurity>
  <Lines>19</Lines>
  <Paragraphs>5</Paragraphs>
  <ScaleCrop>false</ScaleCrop>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Vellingiri N</dc:creator>
  <cp:keywords/>
  <dc:description/>
  <cp:lastModifiedBy>Naveen Sakthi</cp:lastModifiedBy>
  <cp:revision>7</cp:revision>
  <cp:lastPrinted>2026-02-10T09:25:00Z</cp:lastPrinted>
  <dcterms:created xsi:type="dcterms:W3CDTF">2026-02-10T09:05:00Z</dcterms:created>
  <dcterms:modified xsi:type="dcterms:W3CDTF">2026-02-11T06:41:00Z</dcterms:modified>
</cp:coreProperties>
</file>