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A327D">
      <w:pPr>
        <w:jc w:val="center"/>
      </w:pPr>
      <w:bookmarkStart w:id="0" w:name="_GoBack"/>
      <w:bookmarkEnd w:id="0"/>
      <w:r>
        <w:rPr>
          <w:b/>
          <w:bCs/>
          <w:i/>
          <w:iCs/>
          <w:sz w:val="24"/>
          <w:szCs w:val="24"/>
        </w:rPr>
        <w:t>Project Initialization and Planning Phase</w:t>
      </w:r>
    </w:p>
    <w:p w14:paraId="11BDEED4"/>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0"/>
      </w:tblGrid>
      <w:tr w14:paraId="2247E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EFEFEF"/>
            <w:tcMar>
              <w:top w:w="80" w:type="dxa"/>
              <w:left w:w="120" w:type="dxa"/>
              <w:bottom w:w="80" w:type="dxa"/>
              <w:right w:w="120" w:type="dxa"/>
            </w:tcMar>
          </w:tcPr>
          <w:p w14:paraId="08A32AD0">
            <w:r>
              <w:rPr>
                <w:b/>
                <w:bCs/>
                <w:sz w:val="20"/>
                <w:szCs w:val="20"/>
              </w:rPr>
              <w:t>Date</w:t>
            </w:r>
          </w:p>
        </w:tc>
        <w:tc>
          <w:tcPr>
            <w:tcW w:w="6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DC68084">
            <w:r>
              <w:rPr>
                <w:sz w:val="20"/>
                <w:szCs w:val="20"/>
              </w:rPr>
              <w:t>0</w:t>
            </w:r>
            <w:r>
              <w:rPr>
                <w:rFonts w:hint="default"/>
                <w:sz w:val="20"/>
                <w:szCs w:val="20"/>
                <w:lang w:val="en-US"/>
              </w:rPr>
              <w:t>3</w:t>
            </w:r>
            <w:r>
              <w:rPr>
                <w:sz w:val="20"/>
                <w:szCs w:val="20"/>
              </w:rPr>
              <w:t xml:space="preserve"> July 2026</w:t>
            </w:r>
          </w:p>
        </w:tc>
      </w:tr>
      <w:tr w14:paraId="3149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EFEFEF"/>
            <w:tcMar>
              <w:top w:w="80" w:type="dxa"/>
              <w:left w:w="120" w:type="dxa"/>
              <w:bottom w:w="80" w:type="dxa"/>
              <w:right w:w="120" w:type="dxa"/>
            </w:tcMar>
          </w:tcPr>
          <w:p w14:paraId="6C13DAA3">
            <w:r>
              <w:rPr>
                <w:b/>
                <w:bCs/>
                <w:sz w:val="20"/>
                <w:szCs w:val="20"/>
              </w:rPr>
              <w:t>Team ID</w:t>
            </w:r>
          </w:p>
        </w:tc>
        <w:tc>
          <w:tcPr>
            <w:tcW w:w="6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1D3850F">
            <w:r>
              <w:rPr>
                <w:sz w:val="20"/>
                <w:szCs w:val="20"/>
              </w:rPr>
              <w:t>SWTID-2026-8491</w:t>
            </w:r>
          </w:p>
        </w:tc>
      </w:tr>
      <w:tr w14:paraId="40F35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EFEFEF"/>
            <w:tcMar>
              <w:top w:w="80" w:type="dxa"/>
              <w:left w:w="120" w:type="dxa"/>
              <w:bottom w:w="80" w:type="dxa"/>
              <w:right w:w="120" w:type="dxa"/>
            </w:tcMar>
          </w:tcPr>
          <w:p w14:paraId="09E60253">
            <w:r>
              <w:rPr>
                <w:b/>
                <w:bCs/>
                <w:sz w:val="20"/>
                <w:szCs w:val="20"/>
              </w:rPr>
              <w:t>Project Name</w:t>
            </w:r>
          </w:p>
        </w:tc>
        <w:tc>
          <w:tcPr>
            <w:tcW w:w="6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3BB321D">
            <w:r>
              <w:rPr>
                <w:sz w:val="20"/>
                <w:szCs w:val="20"/>
              </w:rPr>
              <w:t>Rising Waters</w:t>
            </w:r>
          </w:p>
        </w:tc>
      </w:tr>
      <w:tr w14:paraId="11603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EFEFEF"/>
            <w:tcMar>
              <w:top w:w="80" w:type="dxa"/>
              <w:left w:w="120" w:type="dxa"/>
              <w:bottom w:w="80" w:type="dxa"/>
              <w:right w:w="120" w:type="dxa"/>
            </w:tcMar>
          </w:tcPr>
          <w:p w14:paraId="2C02C09D">
            <w:r>
              <w:rPr>
                <w:b/>
                <w:bCs/>
                <w:sz w:val="20"/>
                <w:szCs w:val="20"/>
              </w:rPr>
              <w:t>Maximum Marks</w:t>
            </w:r>
          </w:p>
        </w:tc>
        <w:tc>
          <w:tcPr>
            <w:tcW w:w="6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3542A78">
            <w:r>
              <w:rPr>
                <w:sz w:val="20"/>
                <w:szCs w:val="20"/>
              </w:rPr>
              <w:t>3 Marks</w:t>
            </w:r>
          </w:p>
        </w:tc>
      </w:tr>
    </w:tbl>
    <w:p w14:paraId="09ECE762"/>
    <w:p w14:paraId="2B73C9CD">
      <w:r>
        <w:rPr>
          <w:b/>
          <w:bCs/>
          <w:sz w:val="22"/>
          <w:szCs w:val="22"/>
        </w:rPr>
        <w:t>Define Problem Statements (Customer Problem Statement Template):</w:t>
      </w:r>
    </w:p>
    <w:p w14:paraId="39C81998"/>
    <w:p w14:paraId="5D5264D3">
      <w:r>
        <w:rPr>
          <w:sz w:val="21"/>
          <w:szCs w:val="21"/>
        </w:rPr>
        <w:t>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p w14:paraId="1C7978EE"/>
    <w:p w14:paraId="66FD7028">
      <w:r>
        <w:rPr>
          <w:b/>
          <w:bCs/>
          <w:sz w:val="22"/>
          <w:szCs w:val="22"/>
        </w:rPr>
        <w:t>Problem Statement — Rising Waters:</w:t>
      </w:r>
    </w:p>
    <w:p w14:paraId="5C6E301B"/>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43"/>
        <w:gridCol w:w="1666"/>
        <w:gridCol w:w="1666"/>
        <w:gridCol w:w="1666"/>
        <w:gridCol w:w="1666"/>
        <w:gridCol w:w="1943"/>
      </w:tblGrid>
      <w:tr w14:paraId="56A55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4" w:space="0"/>
              <w:left w:val="single" w:color="999999" w:sz="4" w:space="0"/>
              <w:bottom w:val="single" w:color="999999" w:sz="4" w:space="0"/>
              <w:right w:val="single" w:color="999999" w:sz="4" w:space="0"/>
            </w:tcBorders>
            <w:shd w:val="clear" w:color="auto" w:fill="1F4E5F"/>
            <w:tcMar>
              <w:top w:w="80" w:type="dxa"/>
              <w:left w:w="100" w:type="dxa"/>
              <w:bottom w:w="80" w:type="dxa"/>
              <w:right w:w="100" w:type="dxa"/>
            </w:tcMar>
            <w:vAlign w:val="center"/>
          </w:tcPr>
          <w:p w14:paraId="177A943F">
            <w:pPr>
              <w:jc w:val="center"/>
            </w:pPr>
            <w:r>
              <w:rPr>
                <w:b/>
                <w:bCs/>
                <w:color w:val="FFFFFF"/>
                <w:sz w:val="19"/>
                <w:szCs w:val="19"/>
              </w:rPr>
              <w:t>Problem
Statement (PS)</w:t>
            </w:r>
          </w:p>
        </w:tc>
        <w:tc>
          <w:tcPr>
            <w:tcW w:w="1500" w:type="dxa"/>
            <w:tcBorders>
              <w:top w:val="single" w:color="999999" w:sz="4" w:space="0"/>
              <w:left w:val="single" w:color="999999" w:sz="4" w:space="0"/>
              <w:bottom w:val="single" w:color="999999" w:sz="4" w:space="0"/>
              <w:right w:val="single" w:color="999999" w:sz="4" w:space="0"/>
            </w:tcBorders>
            <w:shd w:val="clear" w:color="auto" w:fill="1F4E5F"/>
            <w:tcMar>
              <w:top w:w="80" w:type="dxa"/>
              <w:left w:w="100" w:type="dxa"/>
              <w:bottom w:w="80" w:type="dxa"/>
              <w:right w:w="100" w:type="dxa"/>
            </w:tcMar>
            <w:vAlign w:val="center"/>
          </w:tcPr>
          <w:p w14:paraId="6972E8D5">
            <w:pPr>
              <w:jc w:val="center"/>
            </w:pPr>
            <w:r>
              <w:rPr>
                <w:b/>
                <w:bCs/>
                <w:color w:val="FFFFFF"/>
                <w:sz w:val="19"/>
                <w:szCs w:val="19"/>
              </w:rPr>
              <w:t>I am (Customer)</w:t>
            </w:r>
          </w:p>
        </w:tc>
        <w:tc>
          <w:tcPr>
            <w:tcW w:w="1500" w:type="dxa"/>
            <w:tcBorders>
              <w:top w:val="single" w:color="999999" w:sz="4" w:space="0"/>
              <w:left w:val="single" w:color="999999" w:sz="4" w:space="0"/>
              <w:bottom w:val="single" w:color="999999" w:sz="4" w:space="0"/>
              <w:right w:val="single" w:color="999999" w:sz="4" w:space="0"/>
            </w:tcBorders>
            <w:shd w:val="clear" w:color="auto" w:fill="1F4E5F"/>
            <w:tcMar>
              <w:top w:w="80" w:type="dxa"/>
              <w:left w:w="100" w:type="dxa"/>
              <w:bottom w:w="80" w:type="dxa"/>
              <w:right w:w="100" w:type="dxa"/>
            </w:tcMar>
            <w:vAlign w:val="center"/>
          </w:tcPr>
          <w:p w14:paraId="0DE525E8">
            <w:pPr>
              <w:jc w:val="center"/>
            </w:pPr>
            <w:r>
              <w:rPr>
                <w:b/>
                <w:bCs/>
                <w:color w:val="FFFFFF"/>
                <w:sz w:val="19"/>
                <w:szCs w:val="19"/>
              </w:rPr>
              <w:t>I'm trying to</w:t>
            </w:r>
          </w:p>
        </w:tc>
        <w:tc>
          <w:tcPr>
            <w:tcW w:w="1500" w:type="dxa"/>
            <w:tcBorders>
              <w:top w:val="single" w:color="999999" w:sz="4" w:space="0"/>
              <w:left w:val="single" w:color="999999" w:sz="4" w:space="0"/>
              <w:bottom w:val="single" w:color="999999" w:sz="4" w:space="0"/>
              <w:right w:val="single" w:color="999999" w:sz="4" w:space="0"/>
            </w:tcBorders>
            <w:shd w:val="clear" w:color="auto" w:fill="1F4E5F"/>
            <w:tcMar>
              <w:top w:w="80" w:type="dxa"/>
              <w:left w:w="100" w:type="dxa"/>
              <w:bottom w:w="80" w:type="dxa"/>
              <w:right w:w="100" w:type="dxa"/>
            </w:tcMar>
            <w:vAlign w:val="center"/>
          </w:tcPr>
          <w:p w14:paraId="3FFD51F0">
            <w:pPr>
              <w:jc w:val="center"/>
            </w:pPr>
            <w:r>
              <w:rPr>
                <w:b/>
                <w:bCs/>
                <w:color w:val="FFFFFF"/>
                <w:sz w:val="19"/>
                <w:szCs w:val="19"/>
              </w:rPr>
              <w:t>But</w:t>
            </w:r>
          </w:p>
        </w:tc>
        <w:tc>
          <w:tcPr>
            <w:tcW w:w="1500" w:type="dxa"/>
            <w:tcBorders>
              <w:top w:val="single" w:color="999999" w:sz="4" w:space="0"/>
              <w:left w:val="single" w:color="999999" w:sz="4" w:space="0"/>
              <w:bottom w:val="single" w:color="999999" w:sz="4" w:space="0"/>
              <w:right w:val="single" w:color="999999" w:sz="4" w:space="0"/>
            </w:tcBorders>
            <w:shd w:val="clear" w:color="auto" w:fill="1F4E5F"/>
            <w:tcMar>
              <w:top w:w="80" w:type="dxa"/>
              <w:left w:w="100" w:type="dxa"/>
              <w:bottom w:w="80" w:type="dxa"/>
              <w:right w:w="100" w:type="dxa"/>
            </w:tcMar>
            <w:vAlign w:val="center"/>
          </w:tcPr>
          <w:p w14:paraId="402BFFD0">
            <w:pPr>
              <w:jc w:val="center"/>
            </w:pPr>
            <w:r>
              <w:rPr>
                <w:b/>
                <w:bCs/>
                <w:color w:val="FFFFFF"/>
                <w:sz w:val="19"/>
                <w:szCs w:val="19"/>
              </w:rPr>
              <w:t>Because</w:t>
            </w:r>
          </w:p>
        </w:tc>
        <w:tc>
          <w:tcPr>
            <w:tcW w:w="1750" w:type="dxa"/>
            <w:tcBorders>
              <w:top w:val="single" w:color="999999" w:sz="4" w:space="0"/>
              <w:left w:val="single" w:color="999999" w:sz="4" w:space="0"/>
              <w:bottom w:val="single" w:color="999999" w:sz="4" w:space="0"/>
              <w:right w:val="single" w:color="999999" w:sz="4" w:space="0"/>
            </w:tcBorders>
            <w:shd w:val="clear" w:color="auto" w:fill="1F4E5F"/>
            <w:tcMar>
              <w:top w:w="80" w:type="dxa"/>
              <w:left w:w="100" w:type="dxa"/>
              <w:bottom w:w="80" w:type="dxa"/>
              <w:right w:w="100" w:type="dxa"/>
            </w:tcMar>
            <w:vAlign w:val="center"/>
          </w:tcPr>
          <w:p w14:paraId="1291F0BE">
            <w:pPr>
              <w:jc w:val="center"/>
            </w:pPr>
            <w:r>
              <w:rPr>
                <w:b/>
                <w:bCs/>
                <w:color w:val="FFFFFF"/>
                <w:sz w:val="19"/>
                <w:szCs w:val="19"/>
              </w:rPr>
              <w:t>Which makes me feel</w:t>
            </w:r>
          </w:p>
        </w:tc>
      </w:tr>
      <w:tr w14:paraId="3C2B1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00" w:type="dxa"/>
              <w:bottom w:w="80" w:type="dxa"/>
              <w:right w:w="100" w:type="dxa"/>
            </w:tcMar>
            <w:vAlign w:val="center"/>
          </w:tcPr>
          <w:p w14:paraId="3C8DE764">
            <w:pPr>
              <w:jc w:val="left"/>
            </w:pPr>
            <w:r>
              <w:rPr>
                <w:b/>
                <w:bCs/>
                <w:sz w:val="19"/>
                <w:szCs w:val="19"/>
              </w:rPr>
              <w:t>PS-1</w:t>
            </w:r>
          </w:p>
        </w:tc>
        <w:tc>
          <w:tcPr>
            <w:tcW w:w="15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00" w:type="dxa"/>
              <w:bottom w:w="80" w:type="dxa"/>
              <w:right w:w="100" w:type="dxa"/>
            </w:tcMar>
            <w:vAlign w:val="center"/>
          </w:tcPr>
          <w:p w14:paraId="16E68437">
            <w:pPr>
              <w:jc w:val="left"/>
            </w:pPr>
            <w:r>
              <w:rPr>
                <w:b w:val="0"/>
                <w:bCs w:val="0"/>
                <w:sz w:val="19"/>
                <w:szCs w:val="19"/>
              </w:rPr>
              <w:t>A family living in a low-lying riverside village.</w:t>
            </w:r>
          </w:p>
        </w:tc>
        <w:tc>
          <w:tcPr>
            <w:tcW w:w="15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00" w:type="dxa"/>
              <w:bottom w:w="80" w:type="dxa"/>
              <w:right w:w="100" w:type="dxa"/>
            </w:tcMar>
            <w:vAlign w:val="center"/>
          </w:tcPr>
          <w:p w14:paraId="1E09EB71">
            <w:pPr>
              <w:jc w:val="left"/>
            </w:pPr>
            <w:r>
              <w:rPr>
                <w:b w:val="0"/>
                <w:bCs w:val="0"/>
                <w:sz w:val="19"/>
                <w:szCs w:val="19"/>
              </w:rPr>
              <w:t>Stay safe and protect their home and belongings</w:t>
            </w:r>
          </w:p>
        </w:tc>
        <w:tc>
          <w:tcPr>
            <w:tcW w:w="15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00" w:type="dxa"/>
              <w:bottom w:w="80" w:type="dxa"/>
              <w:right w:w="100" w:type="dxa"/>
            </w:tcMar>
            <w:vAlign w:val="center"/>
          </w:tcPr>
          <w:p w14:paraId="371ED0FA">
            <w:pPr>
              <w:jc w:val="left"/>
            </w:pPr>
            <w:r>
              <w:rPr>
                <w:b w:val="0"/>
                <w:bCs w:val="0"/>
                <w:sz w:val="19"/>
                <w:szCs w:val="19"/>
              </w:rPr>
              <w:t>flood water rises suddenly with little warning during heavy monsoon rains.</w:t>
            </w:r>
          </w:p>
        </w:tc>
        <w:tc>
          <w:tcPr>
            <w:tcW w:w="15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00" w:type="dxa"/>
              <w:bottom w:w="80" w:type="dxa"/>
              <w:right w:w="100" w:type="dxa"/>
            </w:tcMar>
            <w:vAlign w:val="center"/>
          </w:tcPr>
          <w:p w14:paraId="34759081">
            <w:pPr>
              <w:jc w:val="left"/>
            </w:pPr>
            <w:r>
              <w:rPr>
                <w:b w:val="0"/>
                <w:bCs w:val="0"/>
                <w:sz w:val="19"/>
                <w:szCs w:val="19"/>
              </w:rPr>
              <w:t>there is no local system that alerts them early enough to evacuate or move valuables.</w:t>
            </w:r>
          </w:p>
        </w:tc>
        <w:tc>
          <w:tcPr>
            <w:tcW w:w="175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00" w:type="dxa"/>
              <w:bottom w:w="80" w:type="dxa"/>
              <w:right w:w="100" w:type="dxa"/>
            </w:tcMar>
            <w:vAlign w:val="center"/>
          </w:tcPr>
          <w:p w14:paraId="77D63AA8">
            <w:pPr>
              <w:jc w:val="left"/>
            </w:pPr>
            <w:r>
              <w:rPr>
                <w:b w:val="0"/>
                <w:bCs w:val="0"/>
                <w:sz w:val="19"/>
                <w:szCs w:val="19"/>
              </w:rPr>
              <w:t>anxious and unprepared every time the river level starts climbing.</w:t>
            </w:r>
          </w:p>
        </w:tc>
      </w:tr>
      <w:tr w14:paraId="2D98A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14:paraId="7C19E6E0">
            <w:pPr>
              <w:jc w:val="left"/>
            </w:pPr>
            <w:r>
              <w:rPr>
                <w:b/>
                <w:bCs/>
                <w:sz w:val="19"/>
                <w:szCs w:val="19"/>
              </w:rPr>
              <w:t>PS-2</w:t>
            </w:r>
          </w:p>
        </w:tc>
        <w:tc>
          <w:tcPr>
            <w:tcW w:w="15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14:paraId="5BB970A3">
            <w:pPr>
              <w:jc w:val="left"/>
            </w:pPr>
            <w:r>
              <w:rPr>
                <w:b w:val="0"/>
                <w:bCs w:val="0"/>
                <w:sz w:val="19"/>
                <w:szCs w:val="19"/>
              </w:rPr>
              <w:t>A smallholder farmer near a flood-prone river basin.</w:t>
            </w:r>
          </w:p>
        </w:tc>
        <w:tc>
          <w:tcPr>
            <w:tcW w:w="15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14:paraId="0A74D7F6">
            <w:pPr>
              <w:jc w:val="left"/>
            </w:pPr>
            <w:r>
              <w:rPr>
                <w:b w:val="0"/>
                <w:bCs w:val="0"/>
                <w:sz w:val="19"/>
                <w:szCs w:val="19"/>
              </w:rPr>
              <w:t>protect crops and stored produce</w:t>
            </w:r>
          </w:p>
        </w:tc>
        <w:tc>
          <w:tcPr>
            <w:tcW w:w="15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14:paraId="6774FD54">
            <w:pPr>
              <w:jc w:val="left"/>
            </w:pPr>
            <w:r>
              <w:rPr>
                <w:b w:val="0"/>
                <w:bCs w:val="0"/>
                <w:sz w:val="19"/>
                <w:szCs w:val="19"/>
              </w:rPr>
              <w:t>unexpected water-level rise from upstream rainfall floods the fields overnight.</w:t>
            </w:r>
          </w:p>
        </w:tc>
        <w:tc>
          <w:tcPr>
            <w:tcW w:w="15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14:paraId="297B4347">
            <w:pPr>
              <w:jc w:val="left"/>
            </w:pPr>
            <w:r>
              <w:rPr>
                <w:b w:val="0"/>
                <w:bCs w:val="0"/>
                <w:sz w:val="19"/>
                <w:szCs w:val="19"/>
              </w:rPr>
              <w:t>there's no easy way to track upstream rainfall or river-level trends in real time.</w:t>
            </w:r>
          </w:p>
        </w:tc>
        <w:tc>
          <w:tcPr>
            <w:tcW w:w="1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14:paraId="0839CF08">
            <w:pPr>
              <w:jc w:val="left"/>
            </w:pPr>
            <w:r>
              <w:rPr>
                <w:b w:val="0"/>
                <w:bCs w:val="0"/>
                <w:sz w:val="19"/>
                <w:szCs w:val="19"/>
              </w:rPr>
              <w:t>financially insecure and helpless before every rainy season.</w:t>
            </w:r>
          </w:p>
        </w:tc>
      </w:tr>
      <w:tr w14:paraId="63B86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00" w:type="dxa"/>
              <w:bottom w:w="80" w:type="dxa"/>
              <w:right w:w="100" w:type="dxa"/>
            </w:tcMar>
            <w:vAlign w:val="center"/>
          </w:tcPr>
          <w:p w14:paraId="4A1DD3AA">
            <w:pPr>
              <w:jc w:val="left"/>
            </w:pPr>
            <w:r>
              <w:rPr>
                <w:b/>
                <w:bCs/>
                <w:sz w:val="19"/>
                <w:szCs w:val="19"/>
              </w:rPr>
              <w:t>PS-3</w:t>
            </w:r>
          </w:p>
        </w:tc>
        <w:tc>
          <w:tcPr>
            <w:tcW w:w="15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00" w:type="dxa"/>
              <w:bottom w:w="80" w:type="dxa"/>
              <w:right w:w="100" w:type="dxa"/>
            </w:tcMar>
            <w:vAlign w:val="center"/>
          </w:tcPr>
          <w:p w14:paraId="12CE426C">
            <w:pPr>
              <w:jc w:val="left"/>
            </w:pPr>
            <w:r>
              <w:rPr>
                <w:b w:val="0"/>
                <w:bCs w:val="0"/>
                <w:sz w:val="19"/>
                <w:szCs w:val="19"/>
              </w:rPr>
              <w:t>A municipal disaster-management officer in a flood-risk town.</w:t>
            </w:r>
          </w:p>
        </w:tc>
        <w:tc>
          <w:tcPr>
            <w:tcW w:w="15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00" w:type="dxa"/>
              <w:bottom w:w="80" w:type="dxa"/>
              <w:right w:w="100" w:type="dxa"/>
            </w:tcMar>
            <w:vAlign w:val="center"/>
          </w:tcPr>
          <w:p w14:paraId="7A01FC06">
            <w:pPr>
              <w:jc w:val="left"/>
            </w:pPr>
            <w:r>
              <w:rPr>
                <w:b w:val="0"/>
                <w:bCs w:val="0"/>
                <w:sz w:val="19"/>
                <w:szCs w:val="19"/>
              </w:rPr>
              <w:t>issue timely evacuation orders to the right neighborhoods</w:t>
            </w:r>
          </w:p>
        </w:tc>
        <w:tc>
          <w:tcPr>
            <w:tcW w:w="15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00" w:type="dxa"/>
              <w:bottom w:w="80" w:type="dxa"/>
              <w:right w:w="100" w:type="dxa"/>
            </w:tcMar>
            <w:vAlign w:val="center"/>
          </w:tcPr>
          <w:p w14:paraId="4BB2A931">
            <w:pPr>
              <w:jc w:val="left"/>
            </w:pPr>
            <w:r>
              <w:rPr>
                <w:b w:val="0"/>
                <w:bCs w:val="0"/>
                <w:sz w:val="19"/>
                <w:szCs w:val="19"/>
              </w:rPr>
              <w:t>water-level data from different gauges arrives late and in inconsistent formats.</w:t>
            </w:r>
          </w:p>
        </w:tc>
        <w:tc>
          <w:tcPr>
            <w:tcW w:w="150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00" w:type="dxa"/>
              <w:bottom w:w="80" w:type="dxa"/>
              <w:right w:w="100" w:type="dxa"/>
            </w:tcMar>
            <w:vAlign w:val="center"/>
          </w:tcPr>
          <w:p w14:paraId="7F0FE7F0">
            <w:pPr>
              <w:jc w:val="left"/>
            </w:pPr>
            <w:r>
              <w:rPr>
                <w:b w:val="0"/>
                <w:bCs w:val="0"/>
                <w:sz w:val="19"/>
                <w:szCs w:val="19"/>
              </w:rPr>
              <w:t>there is no unified, real-time dashboard consolidating river and rainfall sensor data.</w:t>
            </w:r>
          </w:p>
        </w:tc>
        <w:tc>
          <w:tcPr>
            <w:tcW w:w="1750" w:type="dxa"/>
            <w:tcBorders>
              <w:top w:val="single" w:color="999999" w:sz="4" w:space="0"/>
              <w:left w:val="single" w:color="999999" w:sz="4" w:space="0"/>
              <w:bottom w:val="single" w:color="999999" w:sz="4" w:space="0"/>
              <w:right w:val="single" w:color="999999" w:sz="4" w:space="0"/>
            </w:tcBorders>
            <w:shd w:val="clear" w:color="auto" w:fill="FFFFFF"/>
            <w:tcMar>
              <w:top w:w="80" w:type="dxa"/>
              <w:left w:w="100" w:type="dxa"/>
              <w:bottom w:w="80" w:type="dxa"/>
              <w:right w:w="100" w:type="dxa"/>
            </w:tcMar>
            <w:vAlign w:val="center"/>
          </w:tcPr>
          <w:p w14:paraId="5ABF3F47">
            <w:pPr>
              <w:jc w:val="left"/>
            </w:pPr>
            <w:r>
              <w:rPr>
                <w:b w:val="0"/>
                <w:bCs w:val="0"/>
                <w:sz w:val="19"/>
                <w:szCs w:val="19"/>
              </w:rPr>
              <w:t>under pressure and worried about delayed or misdirected warnings.</w:t>
            </w:r>
          </w:p>
        </w:tc>
      </w:tr>
    </w:tbl>
    <w:p w14:paraId="71AD65A2"/>
    <w:p w14:paraId="6EB17E02"/>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isplayBackgroundShape w:val="1"/>
  <w:documentProtection w:enforcement="0"/>
  <w:compat>
    <w:compatSetting w:name="compatibilityMode" w:uri="http://schemas.microsoft.com/office/word" w:val="15"/>
  </w:compat>
  <w:rsids>
    <w:rsidRoot w:val="00000000"/>
    <w:rsid w:val="52F76E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286</Words>
  <Characters>1654</Characters>
  <TotalTime>1</TotalTime>
  <ScaleCrop>false</ScaleCrop>
  <LinksUpToDate>false</LinksUpToDate>
  <CharactersWithSpaces>1903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2026-07-05T14:00:00Z</dcterms:created>
  <dc:creator>Un-named</dc:creator>
  <cp:lastModifiedBy>Mahalakshmisrisai Pedamallu</cp:lastModifiedBy>
  <dcterms:modified xsi:type="dcterms:W3CDTF">2026-07-05T14:02:58Z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eyJoZGlkIjoiOTBiYWJiNmVmZjA4NmYxOTkwNTY0NjU3YzAyNjgxZWEiLCJ1c2VySWQiOiI1Njc2MDMwNDQyOTIifQ==</vt:lpwstr>
  </property>
  <property fmtid="{D5CDD505-2E9C-101B-9397-08002B2CF9AE}" pid="3" name="KSOProductBuildVer">
    <vt:lpwstr>1033-12.1.0.26880</vt:lpwstr>
  </property>
  <property fmtid="{D5CDD505-2E9C-101B-9397-08002B2CF9AE}" pid="4" name="ICV">
    <vt:lpwstr>B12E6737FA0E400CAC4F2C8FD11F9350_12</vt:lpwstr>
  </property>
</Properties>
</file>