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EFBEC">
      <w:pPr>
        <w:pStyle w:val="2"/>
        <w:spacing w:after="200"/>
        <w:jc w:val="center"/>
      </w:pPr>
      <w:r>
        <w:rPr>
          <w:b/>
          <w:bCs/>
        </w:rPr>
        <w:t>Data Flow Diagram – Rising Water</w:t>
      </w:r>
    </w:p>
    <w:tbl>
      <w:tblPr>
        <w:tblStyle w:val="9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8200"/>
      </w:tblGrid>
      <w:tr w14:paraId="0211D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3F5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lang w:val="en-US" w:eastAsia="en-US" w:bidi="ar"/>
              </w:rPr>
              <w:t>Date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2AA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4"/>
                <w:szCs w:val="24"/>
              </w:rPr>
              <w:t>05 July 2026</w:t>
            </w:r>
          </w:p>
        </w:tc>
      </w:tr>
      <w:tr w14:paraId="38EC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8E1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lang w:val="en-US" w:eastAsia="en-US" w:bidi="ar"/>
              </w:rPr>
              <w:t>Team ID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2EF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4"/>
                <w:szCs w:val="24"/>
              </w:rPr>
              <w:t>SWTID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4"/>
                <w:szCs w:val="24"/>
              </w:rPr>
              <w:t>-2026-8491</w:t>
            </w:r>
          </w:p>
        </w:tc>
      </w:tr>
      <w:tr w14:paraId="2264C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538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lang w:val="en-US" w:eastAsia="en-US" w:bidi="ar"/>
              </w:rPr>
              <w:t>Project Name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09F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kern w:val="2"/>
                <w:sz w:val="24"/>
                <w:szCs w:val="24"/>
              </w:rPr>
              <w:t>Rising Water</w:t>
            </w: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 xml:space="preserve"> </w:t>
            </w:r>
          </w:p>
        </w:tc>
      </w:tr>
      <w:tr w14:paraId="257F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46C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b/>
                <w:bCs/>
                <w:kern w:val="2"/>
                <w:sz w:val="20"/>
                <w:szCs w:val="2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lang w:val="en-US" w:eastAsia="en-US" w:bidi="ar"/>
              </w:rPr>
              <w:t>Maximum Marks</w:t>
            </w:r>
          </w:p>
        </w:tc>
        <w:tc>
          <w:tcPr>
            <w:tcW w:w="8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38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lang w:val="en-US" w:eastAsia="en-US" w:bidi="ar"/>
              </w:rPr>
              <w:t>2 Marks</w:t>
            </w:r>
          </w:p>
        </w:tc>
      </w:tr>
    </w:tbl>
    <w:p w14:paraId="218D3B40">
      <w:pPr>
        <w:spacing w:after="150"/>
      </w:pPr>
    </w:p>
    <w:p w14:paraId="1EF1626F">
      <w:pPr>
        <w:spacing w:after="150"/>
      </w:pPr>
    </w:p>
    <w:p w14:paraId="2D519655">
      <w:pPr>
        <w:spacing w:after="100"/>
      </w:pPr>
      <w:r>
        <w:rPr>
          <w:b/>
          <w:bCs/>
          <w:sz w:val="22"/>
          <w:szCs w:val="22"/>
        </w:rPr>
        <w:t>Data Flow Diagram</w:t>
      </w:r>
    </w:p>
    <w:p w14:paraId="3412DC5A">
      <w:pPr>
        <w:spacing w:after="150"/>
      </w:pPr>
      <w:r>
        <w:rPr>
          <w:sz w:val="20"/>
          <w:szCs w:val="20"/>
        </w:rPr>
        <w:t>This diagram shows how data moves through the Rising Water flood monitoring and alert system — between residents, the weather/sensor data provider, the disaster management authority, the app's core processes, and its data stores.</w:t>
      </w:r>
    </w:p>
    <w:p w14:paraId="346E3DDB">
      <w:pPr>
        <w:spacing w:after="100"/>
      </w:pPr>
      <w:r>
        <w:rPr>
          <w:b/>
          <w:bCs/>
          <w:sz w:val="22"/>
          <w:szCs w:val="22"/>
        </w:rPr>
        <w:t>DFD Symbol Legend</w:t>
      </w:r>
    </w:p>
    <w:tbl>
      <w:tblPr>
        <w:tblStyle w:val="9"/>
        <w:tblW w:w="10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5600"/>
      </w:tblGrid>
      <w:tr w14:paraId="2062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B77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/>
                <w:bCs/>
                <w:kern w:val="2"/>
                <w:sz w:val="20"/>
                <w:szCs w:val="20"/>
              </w:rPr>
              <w:t>Symbol</w:t>
            </w:r>
          </w:p>
        </w:tc>
        <w:tc>
          <w:tcPr>
            <w:tcW w:w="2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24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/>
                <w:bCs/>
                <w:kern w:val="2"/>
                <w:sz w:val="20"/>
                <w:szCs w:val="20"/>
              </w:rPr>
              <w:t>Name</w:t>
            </w:r>
          </w:p>
        </w:tc>
        <w:tc>
          <w:tcPr>
            <w:tcW w:w="56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338A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/>
                <w:bCs/>
                <w:kern w:val="2"/>
                <w:sz w:val="20"/>
                <w:szCs w:val="20"/>
              </w:rPr>
              <w:t>Description</w:t>
            </w:r>
          </w:p>
        </w:tc>
      </w:tr>
      <w:tr w14:paraId="264F2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34" w:hRule="atLeast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84F7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Oval / Rounded shape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33F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External Entity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45A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A person, organization, or system outside the project that sends or receives data (e.g., Resident, Weather &amp; Sensor Data Provider, Disaster Management Authority).</w:t>
            </w:r>
          </w:p>
        </w:tc>
      </w:tr>
      <w:tr w14:paraId="1C7E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42" w:hRule="atLeast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BDC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Rectangle with numbered header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910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Process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BB2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An activity that transforms incoming data into outgoing data (e.g., Manage User Profile, Monitor Water Level &amp; Alert, Process Incident Report).</w:t>
            </w:r>
          </w:p>
        </w:tc>
      </w:tr>
      <w:tr w14:paraId="6F58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66" w:hRule="atLeast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24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Rectangle (solid fill, no number)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202B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Data Store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950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A place where data is held for later use (e.g., User Datastore, Sensor Readings Datastore, Incident Reports Datastore).</w:t>
            </w:r>
          </w:p>
        </w:tc>
      </w:tr>
      <w:tr w14:paraId="2E45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104" w:hRule="atLeast"/>
        </w:trPr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F9BF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Labeled arrow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334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Data Flow</w:t>
            </w:r>
          </w:p>
        </w:tc>
        <w:tc>
          <w:tcPr>
            <w:tcW w:w="5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0F8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default" w:ascii="Calibri" w:hAnsi="Calibri" w:cs="Times New Roman"/>
                <w:kern w:val="2"/>
              </w:rPr>
            </w:pPr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The movement of data between entities, processes, and data stores, labeled with what data is being passed.</w:t>
            </w:r>
          </w:p>
        </w:tc>
      </w:tr>
    </w:tbl>
    <w:p w14:paraId="213DF604">
      <w:pPr>
        <w:spacing w:after="250"/>
      </w:pPr>
    </w:p>
    <w:p w14:paraId="7E3BDD35">
      <w:pPr>
        <w:spacing w:after="100"/>
        <w:rPr>
          <w:b/>
          <w:bCs/>
          <w:sz w:val="22"/>
          <w:szCs w:val="22"/>
        </w:rPr>
      </w:pPr>
      <w:bookmarkStart w:id="0" w:name="_GoBack"/>
      <w:bookmarkEnd w:id="0"/>
    </w:p>
    <w:p w14:paraId="1E38AD9D">
      <w:pPr>
        <w:spacing w:after="100"/>
        <w:rPr>
          <w:b/>
          <w:bCs/>
          <w:sz w:val="22"/>
          <w:szCs w:val="22"/>
        </w:rPr>
      </w:pPr>
    </w:p>
    <w:p w14:paraId="4C7B5747">
      <w:pPr>
        <w:spacing w:after="100"/>
      </w:pPr>
      <w:r>
        <w:rPr>
          <w:b/>
          <w:bCs/>
          <w:sz w:val="22"/>
          <w:szCs w:val="22"/>
        </w:rPr>
        <w:t>Diagram</w:t>
      </w:r>
    </w:p>
    <w:p w14:paraId="4582AD71">
      <w:pPr>
        <w:jc w:val="center"/>
      </w:pPr>
      <w:r>
        <w:drawing>
          <wp:inline distT="0" distB="0" distL="0" distR="0">
            <wp:extent cx="6527800" cy="716788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716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compat>
    <w:doNotExpandShiftReturn/>
    <w:compatSetting w:name="compatibilityMode" w:uri="http://schemas.microsoft.com/office/word" w:val="15"/>
  </w:compat>
  <w:rsids>
    <w:rsidRoot w:val="00000000"/>
    <w:rsid w:val="07BF5BA3"/>
    <w:rsid w:val="144C0D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Times New Roman" w:cs="Calibri"/>
      <w:sz w:val="21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Times New Roman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Times New Roman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Times New Roman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Times New Roman" w:cs="Calibr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Times New Roman" w:cs="Calibr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Times New Roman" w:cs="Calibr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Calibri" w:hAnsi="Calibri" w:cs="Times New Roman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Times New Roman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Times New Roman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Times New Roman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Times New Roman" w:cs="Calibr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167</Words>
  <Characters>934</Characters>
  <TotalTime>0</TotalTime>
  <ScaleCrop>false</ScaleCrop>
  <LinksUpToDate>false</LinksUpToDate>
  <CharactersWithSpaces>1074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2026-07-05T16:22:00Z</dcterms:created>
  <dc:creator>Un-named</dc:creator>
  <cp:lastModifiedBy>Mahalakshmisrisai Pedamallu</cp:lastModifiedBy>
  <dcterms:modified xsi:type="dcterms:W3CDTF">2026-07-07T14:42:22Z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B336B96F5B20472D989460C77359CF70_12</vt:lpwstr>
  </property>
</Properties>
</file>