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A96C6">
      <w:pPr>
        <w:spacing w:after="240"/>
        <w:jc w:val="center"/>
      </w:pPr>
      <w:r>
        <w:rPr>
          <w:b/>
          <w:bCs/>
          <w:sz w:val="32"/>
          <w:szCs w:val="32"/>
        </w:rPr>
        <w:t>Scalability &amp; Future Plan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80"/>
      </w:tblGrid>
      <w:tr w14:paraId="1046B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3E83FA5D">
            <w:r>
              <w:rPr>
                <w:b/>
                <w:bCs/>
                <w:sz w:val="20"/>
                <w:szCs w:val="20"/>
              </w:rPr>
              <w:t>Date</w:t>
            </w:r>
          </w:p>
        </w:tc>
        <w:tc>
          <w:tcPr>
            <w:tcW w:w="7480" w:type="dxa"/>
            <w:tcMar>
              <w:top w:w="100" w:type="dxa"/>
              <w:left w:w="100" w:type="dxa"/>
              <w:bottom w:w="100" w:type="dxa"/>
              <w:right w:w="100" w:type="dxa"/>
            </w:tcMar>
            <w:vAlign w:val="center"/>
          </w:tcPr>
          <w:p w14:paraId="672A610F">
            <w:r>
              <w:t>0</w:t>
            </w:r>
            <w:r>
              <w:rPr>
                <w:rFonts w:hint="default"/>
                <w:lang w:val="en-US"/>
              </w:rPr>
              <w:t xml:space="preserve">8 </w:t>
            </w:r>
            <w:r>
              <w:t>July 2026</w:t>
            </w:r>
            <w:bookmarkStart w:id="0" w:name="_GoBack"/>
            <w:bookmarkEnd w:id="0"/>
          </w:p>
        </w:tc>
      </w:tr>
      <w:tr w14:paraId="0D54E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56AEAECD">
            <w:r>
              <w:rPr>
                <w:b/>
                <w:bCs/>
                <w:sz w:val="20"/>
                <w:szCs w:val="20"/>
              </w:rPr>
              <w:t>Team ID</w:t>
            </w:r>
          </w:p>
        </w:tc>
        <w:tc>
          <w:tcPr>
            <w:tcW w:w="7480" w:type="dxa"/>
            <w:tcMar>
              <w:top w:w="100" w:type="dxa"/>
              <w:left w:w="100" w:type="dxa"/>
              <w:bottom w:w="100" w:type="dxa"/>
              <w:right w:w="100" w:type="dxa"/>
            </w:tcMar>
            <w:vAlign w:val="center"/>
          </w:tcPr>
          <w:p w14:paraId="42D2EAED">
            <w:r>
              <w:rPr>
                <w:rFonts w:hint="default" w:ascii="Calibri" w:hAnsi="Calibri" w:cs="Times New Roman"/>
                <w:b w:val="0"/>
                <w:bCs w:val="0"/>
                <w:kern w:val="2"/>
                <w:sz w:val="20"/>
                <w:szCs w:val="20"/>
              </w:rPr>
              <w:t>SWTID-2026-8491</w:t>
            </w:r>
          </w:p>
        </w:tc>
      </w:tr>
      <w:tr w14:paraId="3A0C5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5432BDD5">
            <w:r>
              <w:rPr>
                <w:b/>
                <w:bCs/>
                <w:sz w:val="20"/>
                <w:szCs w:val="20"/>
              </w:rPr>
              <w:t>Project Name</w:t>
            </w:r>
          </w:p>
        </w:tc>
        <w:tc>
          <w:tcPr>
            <w:tcW w:w="7480" w:type="dxa"/>
            <w:tcMar>
              <w:top w:w="100" w:type="dxa"/>
              <w:left w:w="100" w:type="dxa"/>
              <w:bottom w:w="100" w:type="dxa"/>
              <w:right w:w="100" w:type="dxa"/>
            </w:tcMar>
            <w:vAlign w:val="center"/>
          </w:tcPr>
          <w:p w14:paraId="65F55F56">
            <w:r>
              <w:rPr>
                <w:sz w:val="20"/>
                <w:szCs w:val="20"/>
              </w:rPr>
              <w:t>Rising Water</w:t>
            </w:r>
          </w:p>
        </w:tc>
      </w:tr>
      <w:tr w14:paraId="0A01C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100" w:type="dxa"/>
              <w:left w:w="100" w:type="dxa"/>
              <w:bottom w:w="100" w:type="dxa"/>
              <w:right w:w="100" w:type="dxa"/>
            </w:tcMar>
            <w:vAlign w:val="center"/>
          </w:tcPr>
          <w:p w14:paraId="6EEF2660">
            <w:r>
              <w:rPr>
                <w:b/>
                <w:bCs/>
                <w:sz w:val="20"/>
                <w:szCs w:val="20"/>
              </w:rPr>
              <w:t>Maximum Marks</w:t>
            </w:r>
          </w:p>
        </w:tc>
        <w:tc>
          <w:tcPr>
            <w:tcW w:w="7480" w:type="dxa"/>
            <w:tcMar>
              <w:top w:w="100" w:type="dxa"/>
              <w:left w:w="100" w:type="dxa"/>
              <w:bottom w:w="100" w:type="dxa"/>
              <w:right w:w="100" w:type="dxa"/>
            </w:tcMar>
            <w:vAlign w:val="center"/>
          </w:tcPr>
          <w:p w14:paraId="2DB10D2D">
            <w:r>
              <w:rPr>
                <w:sz w:val="20"/>
                <w:szCs w:val="20"/>
              </w:rPr>
              <w:t>1 Mark</w:t>
            </w:r>
          </w:p>
        </w:tc>
      </w:tr>
    </w:tbl>
    <w:p w14:paraId="7CA810CC">
      <w:pPr>
        <w:spacing w:after="200"/>
      </w:pPr>
    </w:p>
    <w:p w14:paraId="3F61166E">
      <w:pPr>
        <w:spacing w:after="100"/>
      </w:pPr>
      <w:r>
        <w:rPr>
          <w:b/>
          <w:bCs/>
          <w:sz w:val="22"/>
          <w:szCs w:val="22"/>
        </w:rPr>
        <w:t>Scalability &amp; Future Plan:</w:t>
      </w:r>
    </w:p>
    <w:p w14:paraId="2CC33A50">
      <w:pPr>
        <w:spacing w:after="200"/>
      </w:pPr>
      <w:r>
        <w:rPr>
          <w:sz w:val="20"/>
          <w:szCs w:val="20"/>
        </w:rPr>
        <w:t>This document outlines how the Rising Water project solution can be scaled to handle larger user bases, increased data loads, or extended features in the future. It also captures the team's roadmap for enhancing and evolving the project beyond its current state.</w:t>
      </w:r>
    </w:p>
    <w:p w14:paraId="20A6E1C4">
      <w:pPr>
        <w:spacing w:after="100"/>
      </w:pPr>
      <w:r>
        <w:rPr>
          <w:b/>
          <w:bCs/>
          <w:sz w:val="22"/>
          <w:szCs w:val="22"/>
        </w:rPr>
        <w:t>Current System Limitations: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8"/>
        <w:gridCol w:w="4482"/>
        <w:gridCol w:w="3172"/>
        <w:gridCol w:w="1838"/>
      </w:tblGrid>
      <w:tr w14:paraId="7627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100" w:type="dxa"/>
              <w:left w:w="100" w:type="dxa"/>
              <w:bottom w:w="100" w:type="dxa"/>
              <w:right w:w="100" w:type="dxa"/>
            </w:tcMar>
            <w:vAlign w:val="center"/>
          </w:tcPr>
          <w:p w14:paraId="04E3BBF5">
            <w:r>
              <w:rPr>
                <w:b/>
                <w:bCs/>
                <w:sz w:val="20"/>
                <w:szCs w:val="20"/>
              </w:rPr>
              <w:t>S.No</w:t>
            </w:r>
          </w:p>
        </w:tc>
        <w:tc>
          <w:tcPr>
            <w:tcW w:w="4700" w:type="dxa"/>
            <w:shd w:val="clear" w:color="auto" w:fill="D9D9D9"/>
            <w:tcMar>
              <w:top w:w="100" w:type="dxa"/>
              <w:left w:w="100" w:type="dxa"/>
              <w:bottom w:w="100" w:type="dxa"/>
              <w:right w:w="100" w:type="dxa"/>
            </w:tcMar>
            <w:vAlign w:val="center"/>
          </w:tcPr>
          <w:p w14:paraId="1A77F041">
            <w:r>
              <w:rPr>
                <w:b/>
                <w:bCs/>
                <w:sz w:val="20"/>
                <w:szCs w:val="20"/>
              </w:rPr>
              <w:t>Limitation</w:t>
            </w:r>
          </w:p>
        </w:tc>
        <w:tc>
          <w:tcPr>
            <w:tcW w:w="3300" w:type="dxa"/>
            <w:shd w:val="clear" w:color="auto" w:fill="D9D9D9"/>
            <w:tcMar>
              <w:top w:w="100" w:type="dxa"/>
              <w:left w:w="100" w:type="dxa"/>
              <w:bottom w:w="100" w:type="dxa"/>
              <w:right w:w="100" w:type="dxa"/>
            </w:tcMar>
            <w:vAlign w:val="center"/>
          </w:tcPr>
          <w:p w14:paraId="3CFE2B0D">
            <w:r>
              <w:rPr>
                <w:b/>
                <w:bCs/>
                <w:sz w:val="20"/>
                <w:szCs w:val="20"/>
              </w:rPr>
              <w:t>Impact</w:t>
            </w:r>
          </w:p>
        </w:tc>
        <w:tc>
          <w:tcPr>
            <w:tcW w:w="1900" w:type="dxa"/>
            <w:shd w:val="clear" w:color="auto" w:fill="D9D9D9"/>
            <w:tcMar>
              <w:top w:w="100" w:type="dxa"/>
              <w:left w:w="100" w:type="dxa"/>
              <w:bottom w:w="100" w:type="dxa"/>
              <w:right w:w="100" w:type="dxa"/>
            </w:tcMar>
            <w:vAlign w:val="center"/>
          </w:tcPr>
          <w:p w14:paraId="696188DE">
            <w:r>
              <w:rPr>
                <w:b/>
                <w:bCs/>
                <w:sz w:val="20"/>
                <w:szCs w:val="20"/>
              </w:rPr>
              <w:t>Priority to Address (High / Medium / Low)</w:t>
            </w:r>
          </w:p>
        </w:tc>
      </w:tr>
      <w:tr w14:paraId="33D2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7421E96A">
            <w:r>
              <w:rPr>
                <w:sz w:val="20"/>
                <w:szCs w:val="20"/>
              </w:rPr>
              <w:t>1</w:t>
            </w:r>
          </w:p>
        </w:tc>
        <w:tc>
          <w:tcPr>
            <w:tcW w:w="4700" w:type="dxa"/>
            <w:tcMar>
              <w:top w:w="100" w:type="dxa"/>
              <w:left w:w="100" w:type="dxa"/>
              <w:bottom w:w="100" w:type="dxa"/>
              <w:right w:w="100" w:type="dxa"/>
            </w:tcMar>
            <w:vAlign w:val="center"/>
          </w:tcPr>
          <w:p w14:paraId="3D355E6B">
            <w:r>
              <w:rPr>
                <w:sz w:val="20"/>
                <w:szCs w:val="20"/>
              </w:rPr>
              <w:t>System currently supports a limited number of sensor nodes and concurrent dashboard users.</w:t>
            </w:r>
          </w:p>
        </w:tc>
        <w:tc>
          <w:tcPr>
            <w:tcW w:w="3300" w:type="dxa"/>
            <w:tcMar>
              <w:top w:w="100" w:type="dxa"/>
              <w:left w:w="100" w:type="dxa"/>
              <w:bottom w:w="100" w:type="dxa"/>
              <w:right w:w="100" w:type="dxa"/>
            </w:tcMar>
            <w:vAlign w:val="center"/>
          </w:tcPr>
          <w:p w14:paraId="11B1765E">
            <w:r>
              <w:rPr>
                <w:sz w:val="20"/>
                <w:szCs w:val="20"/>
              </w:rPr>
              <w:t>Cannot scale to city-wide or multi-region flood monitoring without performance degradation.</w:t>
            </w:r>
          </w:p>
        </w:tc>
        <w:tc>
          <w:tcPr>
            <w:tcW w:w="1900" w:type="dxa"/>
            <w:tcMar>
              <w:top w:w="100" w:type="dxa"/>
              <w:left w:w="100" w:type="dxa"/>
              <w:bottom w:w="100" w:type="dxa"/>
              <w:right w:w="100" w:type="dxa"/>
            </w:tcMar>
            <w:vAlign w:val="center"/>
          </w:tcPr>
          <w:p w14:paraId="4F80BD76">
            <w:r>
              <w:rPr>
                <w:sz w:val="20"/>
                <w:szCs w:val="20"/>
              </w:rPr>
              <w:t>High</w:t>
            </w:r>
          </w:p>
        </w:tc>
      </w:tr>
      <w:tr w14:paraId="3008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58435438">
            <w:r>
              <w:rPr>
                <w:sz w:val="20"/>
                <w:szCs w:val="20"/>
              </w:rPr>
              <w:t>2</w:t>
            </w:r>
          </w:p>
        </w:tc>
        <w:tc>
          <w:tcPr>
            <w:tcW w:w="4700" w:type="dxa"/>
            <w:tcMar>
              <w:top w:w="100" w:type="dxa"/>
              <w:left w:w="100" w:type="dxa"/>
              <w:bottom w:w="100" w:type="dxa"/>
              <w:right w:w="100" w:type="dxa"/>
            </w:tcMar>
            <w:vAlign w:val="center"/>
          </w:tcPr>
          <w:p w14:paraId="730BBCBB">
            <w:r>
              <w:rPr>
                <w:sz w:val="20"/>
                <w:szCs w:val="20"/>
              </w:rPr>
              <w:t>Historical sensor data is stored in a single local database with no archiving strategy.</w:t>
            </w:r>
          </w:p>
        </w:tc>
        <w:tc>
          <w:tcPr>
            <w:tcW w:w="3300" w:type="dxa"/>
            <w:tcMar>
              <w:top w:w="100" w:type="dxa"/>
              <w:left w:w="100" w:type="dxa"/>
              <w:bottom w:w="100" w:type="dxa"/>
              <w:right w:w="100" w:type="dxa"/>
            </w:tcMar>
            <w:vAlign w:val="center"/>
          </w:tcPr>
          <w:p w14:paraId="04236C73">
            <w:r>
              <w:rPr>
                <w:sz w:val="20"/>
                <w:szCs w:val="20"/>
              </w:rPr>
              <w:t>Query performance slows as data volume grows; risk of storage exhaustion over time.</w:t>
            </w:r>
          </w:p>
        </w:tc>
        <w:tc>
          <w:tcPr>
            <w:tcW w:w="1900" w:type="dxa"/>
            <w:tcMar>
              <w:top w:w="100" w:type="dxa"/>
              <w:left w:w="100" w:type="dxa"/>
              <w:bottom w:w="100" w:type="dxa"/>
              <w:right w:w="100" w:type="dxa"/>
            </w:tcMar>
            <w:vAlign w:val="center"/>
          </w:tcPr>
          <w:p w14:paraId="35E52CD0">
            <w:r>
              <w:rPr>
                <w:sz w:val="20"/>
                <w:szCs w:val="20"/>
              </w:rPr>
              <w:t>High</w:t>
            </w:r>
          </w:p>
        </w:tc>
      </w:tr>
      <w:tr w14:paraId="2493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40378E45">
            <w:r>
              <w:rPr>
                <w:sz w:val="20"/>
                <w:szCs w:val="20"/>
              </w:rPr>
              <w:t>3</w:t>
            </w:r>
          </w:p>
        </w:tc>
        <w:tc>
          <w:tcPr>
            <w:tcW w:w="4700" w:type="dxa"/>
            <w:tcMar>
              <w:top w:w="100" w:type="dxa"/>
              <w:left w:w="100" w:type="dxa"/>
              <w:bottom w:w="100" w:type="dxa"/>
              <w:right w:w="100" w:type="dxa"/>
            </w:tcMar>
            <w:vAlign w:val="center"/>
          </w:tcPr>
          <w:p w14:paraId="690C81AE">
            <w:r>
              <w:rPr>
                <w:sz w:val="20"/>
                <w:szCs w:val="20"/>
              </w:rPr>
              <w:t>Alert notifications rely on a single SMS/email gateway with no fallback provider.</w:t>
            </w:r>
          </w:p>
        </w:tc>
        <w:tc>
          <w:tcPr>
            <w:tcW w:w="3300" w:type="dxa"/>
            <w:tcMar>
              <w:top w:w="100" w:type="dxa"/>
              <w:left w:w="100" w:type="dxa"/>
              <w:bottom w:w="100" w:type="dxa"/>
              <w:right w:w="100" w:type="dxa"/>
            </w:tcMar>
            <w:vAlign w:val="center"/>
          </w:tcPr>
          <w:p w14:paraId="2010AEC6">
            <w:r>
              <w:rPr>
                <w:sz w:val="20"/>
                <w:szCs w:val="20"/>
              </w:rPr>
              <w:t>Risk of missed critical alerts during gateway downtime or high-traffic flood events.</w:t>
            </w:r>
          </w:p>
        </w:tc>
        <w:tc>
          <w:tcPr>
            <w:tcW w:w="1900" w:type="dxa"/>
            <w:tcMar>
              <w:top w:w="100" w:type="dxa"/>
              <w:left w:w="100" w:type="dxa"/>
              <w:bottom w:w="100" w:type="dxa"/>
              <w:right w:w="100" w:type="dxa"/>
            </w:tcMar>
            <w:vAlign w:val="center"/>
          </w:tcPr>
          <w:p w14:paraId="10C8F0ED">
            <w:r>
              <w:rPr>
                <w:sz w:val="20"/>
                <w:szCs w:val="20"/>
              </w:rPr>
              <w:t>Medium</w:t>
            </w:r>
          </w:p>
        </w:tc>
      </w:tr>
    </w:tbl>
    <w:p w14:paraId="0BFCBC29">
      <w:pPr>
        <w:spacing w:after="200"/>
      </w:pPr>
    </w:p>
    <w:p w14:paraId="1EC5FD07">
      <w:pPr>
        <w:spacing w:after="100"/>
      </w:pPr>
      <w:r>
        <w:rPr>
          <w:b/>
          <w:bCs/>
          <w:sz w:val="22"/>
          <w:szCs w:val="22"/>
        </w:rPr>
        <w:t>Scalability Plan: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88"/>
        <w:gridCol w:w="1669"/>
        <w:gridCol w:w="2842"/>
        <w:gridCol w:w="4981"/>
      </w:tblGrid>
      <w:tr w14:paraId="111E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D9D9D9"/>
            <w:tcMar>
              <w:top w:w="100" w:type="dxa"/>
              <w:left w:w="100" w:type="dxa"/>
              <w:bottom w:w="100" w:type="dxa"/>
              <w:right w:w="100" w:type="dxa"/>
            </w:tcMar>
            <w:vAlign w:val="center"/>
          </w:tcPr>
          <w:p w14:paraId="5BA88DDA">
            <w:r>
              <w:rPr>
                <w:b/>
                <w:bCs/>
                <w:sz w:val="20"/>
                <w:szCs w:val="20"/>
              </w:rPr>
              <w:t>S.No</w:t>
            </w:r>
          </w:p>
        </w:tc>
        <w:tc>
          <w:tcPr>
            <w:tcW w:w="1800" w:type="dxa"/>
            <w:shd w:val="clear" w:color="auto" w:fill="D9D9D9"/>
            <w:tcMar>
              <w:top w:w="100" w:type="dxa"/>
              <w:left w:w="100" w:type="dxa"/>
              <w:bottom w:w="100" w:type="dxa"/>
              <w:right w:w="100" w:type="dxa"/>
            </w:tcMar>
            <w:vAlign w:val="center"/>
          </w:tcPr>
          <w:p w14:paraId="0FE063E3">
            <w:r>
              <w:rPr>
                <w:b/>
                <w:bCs/>
                <w:sz w:val="20"/>
                <w:szCs w:val="20"/>
              </w:rPr>
              <w:t>Scalability Aspect</w:t>
            </w:r>
          </w:p>
        </w:tc>
        <w:tc>
          <w:tcPr>
            <w:tcW w:w="3300" w:type="dxa"/>
            <w:shd w:val="clear" w:color="auto" w:fill="D9D9D9"/>
            <w:tcMar>
              <w:top w:w="100" w:type="dxa"/>
              <w:left w:w="100" w:type="dxa"/>
              <w:bottom w:w="100" w:type="dxa"/>
              <w:right w:w="100" w:type="dxa"/>
            </w:tcMar>
            <w:vAlign w:val="center"/>
          </w:tcPr>
          <w:p w14:paraId="60D749AE">
            <w:r>
              <w:rPr>
                <w:b/>
                <w:bCs/>
                <w:sz w:val="20"/>
                <w:szCs w:val="20"/>
              </w:rPr>
              <w:t>Current State</w:t>
            </w:r>
          </w:p>
        </w:tc>
        <w:tc>
          <w:tcPr>
            <w:tcW w:w="5900" w:type="dxa"/>
            <w:shd w:val="clear" w:color="auto" w:fill="D9D9D9"/>
            <w:tcMar>
              <w:top w:w="100" w:type="dxa"/>
              <w:left w:w="100" w:type="dxa"/>
              <w:bottom w:w="100" w:type="dxa"/>
              <w:right w:w="100" w:type="dxa"/>
            </w:tcMar>
            <w:vAlign w:val="center"/>
          </w:tcPr>
          <w:p w14:paraId="25CBE94A">
            <w:r>
              <w:rPr>
                <w:b/>
                <w:bCs/>
                <w:sz w:val="20"/>
                <w:szCs w:val="20"/>
              </w:rPr>
              <w:t>Proposed Upgrade / Solution</w:t>
            </w:r>
          </w:p>
        </w:tc>
      </w:tr>
      <w:tr w14:paraId="70B5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4E7BDB6B">
            <w:r>
              <w:rPr>
                <w:sz w:val="20"/>
                <w:szCs w:val="20"/>
              </w:rPr>
              <w:t>1</w:t>
            </w:r>
          </w:p>
        </w:tc>
        <w:tc>
          <w:tcPr>
            <w:tcW w:w="1800" w:type="dxa"/>
            <w:tcMar>
              <w:top w:w="100" w:type="dxa"/>
              <w:left w:w="100" w:type="dxa"/>
              <w:bottom w:w="100" w:type="dxa"/>
              <w:right w:w="100" w:type="dxa"/>
            </w:tcMar>
            <w:vAlign w:val="center"/>
          </w:tcPr>
          <w:p w14:paraId="52F4E579">
            <w:r>
              <w:rPr>
                <w:sz w:val="20"/>
                <w:szCs w:val="20"/>
              </w:rPr>
              <w:t>User Load</w:t>
            </w:r>
          </w:p>
        </w:tc>
        <w:tc>
          <w:tcPr>
            <w:tcW w:w="3300" w:type="dxa"/>
            <w:tcMar>
              <w:top w:w="100" w:type="dxa"/>
              <w:left w:w="100" w:type="dxa"/>
              <w:bottom w:w="100" w:type="dxa"/>
              <w:right w:w="100" w:type="dxa"/>
            </w:tcMar>
            <w:vAlign w:val="center"/>
          </w:tcPr>
          <w:p w14:paraId="605B62E0">
            <w:r>
              <w:rPr>
                <w:sz w:val="20"/>
                <w:szCs w:val="20"/>
              </w:rPr>
              <w:t>Supports a small pilot group of users and a limited number of sensor nodes.</w:t>
            </w:r>
          </w:p>
        </w:tc>
        <w:tc>
          <w:tcPr>
            <w:tcW w:w="5900" w:type="dxa"/>
            <w:tcMar>
              <w:top w:w="100" w:type="dxa"/>
              <w:left w:w="100" w:type="dxa"/>
              <w:bottom w:w="100" w:type="dxa"/>
              <w:right w:w="100" w:type="dxa"/>
            </w:tcMar>
            <w:vAlign w:val="center"/>
          </w:tcPr>
          <w:p w14:paraId="2F830851">
            <w:r>
              <w:rPr>
                <w:sz w:val="20"/>
                <w:szCs w:val="20"/>
              </w:rPr>
              <w:t>Migrate to a cloud-hosted, auto-scaling backend (e.g. Kubernetes/serverless) to support thousands of concurrent users and sensors across regions.</w:t>
            </w:r>
          </w:p>
        </w:tc>
      </w:tr>
      <w:tr w14:paraId="6650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4128D2E6">
            <w:r>
              <w:rPr>
                <w:sz w:val="20"/>
                <w:szCs w:val="20"/>
              </w:rPr>
              <w:t>2</w:t>
            </w:r>
          </w:p>
        </w:tc>
        <w:tc>
          <w:tcPr>
            <w:tcW w:w="1800" w:type="dxa"/>
            <w:tcMar>
              <w:top w:w="100" w:type="dxa"/>
              <w:left w:w="100" w:type="dxa"/>
              <w:bottom w:w="100" w:type="dxa"/>
              <w:right w:w="100" w:type="dxa"/>
            </w:tcMar>
            <w:vAlign w:val="center"/>
          </w:tcPr>
          <w:p w14:paraId="2B25AE96">
            <w:r>
              <w:rPr>
                <w:sz w:val="20"/>
                <w:szCs w:val="20"/>
              </w:rPr>
              <w:t>Data Storage</w:t>
            </w:r>
          </w:p>
        </w:tc>
        <w:tc>
          <w:tcPr>
            <w:tcW w:w="3300" w:type="dxa"/>
            <w:tcMar>
              <w:top w:w="100" w:type="dxa"/>
              <w:left w:w="100" w:type="dxa"/>
              <w:bottom w:w="100" w:type="dxa"/>
              <w:right w:w="100" w:type="dxa"/>
            </w:tcMar>
            <w:vAlign w:val="center"/>
          </w:tcPr>
          <w:p w14:paraId="472EC17F">
            <w:r>
              <w:rPr>
                <w:sz w:val="20"/>
                <w:szCs w:val="20"/>
              </w:rPr>
              <w:t>All sensor and historical data stored in a single local relational database.</w:t>
            </w:r>
          </w:p>
        </w:tc>
        <w:tc>
          <w:tcPr>
            <w:tcW w:w="5900" w:type="dxa"/>
            <w:tcMar>
              <w:top w:w="100" w:type="dxa"/>
              <w:left w:w="100" w:type="dxa"/>
              <w:bottom w:w="100" w:type="dxa"/>
              <w:right w:w="100" w:type="dxa"/>
            </w:tcMar>
            <w:vAlign w:val="center"/>
          </w:tcPr>
          <w:p w14:paraId="1D3FAF0F">
            <w:r>
              <w:rPr>
                <w:sz w:val="20"/>
                <w:szCs w:val="20"/>
              </w:rPr>
              <w:t>Adopt a time-series database (e.g. InfluxDB/TimescaleDB) with tiered/cold storage and automated archiving for long-term historical data.</w:t>
            </w:r>
          </w:p>
        </w:tc>
      </w:tr>
      <w:tr w14:paraId="406F3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1F6C7BA0">
            <w:r>
              <w:rPr>
                <w:sz w:val="20"/>
                <w:szCs w:val="20"/>
              </w:rPr>
              <w:t>3</w:t>
            </w:r>
          </w:p>
        </w:tc>
        <w:tc>
          <w:tcPr>
            <w:tcW w:w="1800" w:type="dxa"/>
            <w:tcMar>
              <w:top w:w="100" w:type="dxa"/>
              <w:left w:w="100" w:type="dxa"/>
              <w:bottom w:w="100" w:type="dxa"/>
              <w:right w:w="100" w:type="dxa"/>
            </w:tcMar>
            <w:vAlign w:val="center"/>
          </w:tcPr>
          <w:p w14:paraId="11AE1C94">
            <w:r>
              <w:rPr>
                <w:sz w:val="20"/>
                <w:szCs w:val="20"/>
              </w:rPr>
              <w:t>Performance</w:t>
            </w:r>
          </w:p>
        </w:tc>
        <w:tc>
          <w:tcPr>
            <w:tcW w:w="3300" w:type="dxa"/>
            <w:tcMar>
              <w:top w:w="100" w:type="dxa"/>
              <w:left w:w="100" w:type="dxa"/>
              <w:bottom w:w="100" w:type="dxa"/>
              <w:right w:w="100" w:type="dxa"/>
            </w:tcMar>
            <w:vAlign w:val="center"/>
          </w:tcPr>
          <w:p w14:paraId="76B01DA3">
            <w:r>
              <w:rPr>
                <w:sz w:val="20"/>
                <w:szCs w:val="20"/>
              </w:rPr>
              <w:t>Data processing and prediction run sequentially on a single server instance.</w:t>
            </w:r>
          </w:p>
        </w:tc>
        <w:tc>
          <w:tcPr>
            <w:tcW w:w="5900" w:type="dxa"/>
            <w:tcMar>
              <w:top w:w="100" w:type="dxa"/>
              <w:left w:w="100" w:type="dxa"/>
              <w:bottom w:w="100" w:type="dxa"/>
              <w:right w:w="100" w:type="dxa"/>
            </w:tcMar>
            <w:vAlign w:val="center"/>
          </w:tcPr>
          <w:p w14:paraId="177ECCDF">
            <w:r>
              <w:rPr>
                <w:sz w:val="20"/>
                <w:szCs w:val="20"/>
              </w:rPr>
              <w:t>Introduce message queues (e.g. Kafka/RabbitMQ) and distributed processing to handle high-frequency sensor streams in real time.</w:t>
            </w:r>
          </w:p>
        </w:tc>
      </w:tr>
      <w:tr w14:paraId="55BF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Mar>
              <w:top w:w="100" w:type="dxa"/>
              <w:left w:w="100" w:type="dxa"/>
              <w:bottom w:w="100" w:type="dxa"/>
              <w:right w:w="100" w:type="dxa"/>
            </w:tcMar>
            <w:vAlign w:val="center"/>
          </w:tcPr>
          <w:p w14:paraId="2E7556BD">
            <w:r>
              <w:rPr>
                <w:sz w:val="20"/>
                <w:szCs w:val="20"/>
              </w:rPr>
              <w:t>4</w:t>
            </w:r>
          </w:p>
        </w:tc>
        <w:tc>
          <w:tcPr>
            <w:tcW w:w="1800" w:type="dxa"/>
            <w:tcMar>
              <w:top w:w="100" w:type="dxa"/>
              <w:left w:w="100" w:type="dxa"/>
              <w:bottom w:w="100" w:type="dxa"/>
              <w:right w:w="100" w:type="dxa"/>
            </w:tcMar>
            <w:vAlign w:val="center"/>
          </w:tcPr>
          <w:p w14:paraId="0762A327">
            <w:r>
              <w:rPr>
                <w:sz w:val="20"/>
                <w:szCs w:val="20"/>
              </w:rPr>
              <w:t>Security</w:t>
            </w:r>
          </w:p>
        </w:tc>
        <w:tc>
          <w:tcPr>
            <w:tcW w:w="3300" w:type="dxa"/>
            <w:tcMar>
              <w:top w:w="100" w:type="dxa"/>
              <w:left w:w="100" w:type="dxa"/>
              <w:bottom w:w="100" w:type="dxa"/>
              <w:right w:w="100" w:type="dxa"/>
            </w:tcMar>
            <w:vAlign w:val="center"/>
          </w:tcPr>
          <w:p w14:paraId="77F26D53">
            <w:r>
              <w:rPr>
                <w:sz w:val="20"/>
                <w:szCs w:val="20"/>
              </w:rPr>
              <w:t>Basic authentication with limited access control on the dashboard and APIs.</w:t>
            </w:r>
          </w:p>
        </w:tc>
        <w:tc>
          <w:tcPr>
            <w:tcW w:w="5900" w:type="dxa"/>
            <w:tcMar>
              <w:top w:w="100" w:type="dxa"/>
              <w:left w:w="100" w:type="dxa"/>
              <w:bottom w:w="100" w:type="dxa"/>
              <w:right w:w="100" w:type="dxa"/>
            </w:tcMar>
            <w:vAlign w:val="center"/>
          </w:tcPr>
          <w:p w14:paraId="784B8CD1">
            <w:r>
              <w:rPr>
                <w:sz w:val="20"/>
                <w:szCs w:val="20"/>
              </w:rPr>
              <w:t>Implement role-based access control, API rate limiting, encrypted data transmission (TLS), and regular security audits.</w:t>
            </w:r>
          </w:p>
        </w:tc>
      </w:tr>
    </w:tbl>
    <w:p w14:paraId="46A0DEBD">
      <w:pPr>
        <w:spacing w:after="200"/>
      </w:pPr>
    </w:p>
    <w:p w14:paraId="175010B4">
      <w:pPr>
        <w:spacing w:after="100"/>
      </w:pPr>
      <w:r>
        <w:rPr>
          <w:b/>
          <w:bCs/>
          <w:sz w:val="22"/>
          <w:szCs w:val="22"/>
        </w:rPr>
        <w:t>Future Roadmap:</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9"/>
        <w:gridCol w:w="3680"/>
        <w:gridCol w:w="1943"/>
        <w:gridCol w:w="3198"/>
      </w:tblGrid>
      <w:tr w14:paraId="1508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D9D9"/>
            <w:tcMar>
              <w:top w:w="100" w:type="dxa"/>
              <w:left w:w="100" w:type="dxa"/>
              <w:bottom w:w="100" w:type="dxa"/>
              <w:right w:w="100" w:type="dxa"/>
            </w:tcMar>
            <w:vAlign w:val="center"/>
          </w:tcPr>
          <w:p w14:paraId="4A3CF324">
            <w:r>
              <w:rPr>
                <w:b/>
                <w:bCs/>
                <w:sz w:val="20"/>
                <w:szCs w:val="20"/>
              </w:rPr>
              <w:t>Phase</w:t>
            </w:r>
          </w:p>
        </w:tc>
        <w:tc>
          <w:tcPr>
            <w:tcW w:w="4200" w:type="dxa"/>
            <w:shd w:val="clear" w:color="auto" w:fill="D9D9D9"/>
            <w:tcMar>
              <w:top w:w="100" w:type="dxa"/>
              <w:left w:w="100" w:type="dxa"/>
              <w:bottom w:w="100" w:type="dxa"/>
              <w:right w:w="100" w:type="dxa"/>
            </w:tcMar>
            <w:vAlign w:val="center"/>
          </w:tcPr>
          <w:p w14:paraId="6419707A">
            <w:r>
              <w:rPr>
                <w:b/>
                <w:bCs/>
                <w:sz w:val="20"/>
                <w:szCs w:val="20"/>
              </w:rPr>
              <w:t>Planned Feature / Enhancement</w:t>
            </w:r>
          </w:p>
        </w:tc>
        <w:tc>
          <w:tcPr>
            <w:tcW w:w="2200" w:type="dxa"/>
            <w:shd w:val="clear" w:color="auto" w:fill="D9D9D9"/>
            <w:tcMar>
              <w:top w:w="100" w:type="dxa"/>
              <w:left w:w="100" w:type="dxa"/>
              <w:bottom w:w="100" w:type="dxa"/>
              <w:right w:w="100" w:type="dxa"/>
            </w:tcMar>
            <w:vAlign w:val="center"/>
          </w:tcPr>
          <w:p w14:paraId="6DAD9B36">
            <w:r>
              <w:rPr>
                <w:b/>
                <w:bCs/>
                <w:sz w:val="20"/>
                <w:szCs w:val="20"/>
              </w:rPr>
              <w:t>Target Timeline</w:t>
            </w:r>
          </w:p>
        </w:tc>
        <w:tc>
          <w:tcPr>
            <w:tcW w:w="3700" w:type="dxa"/>
            <w:shd w:val="clear" w:color="auto" w:fill="D9D9D9"/>
            <w:tcMar>
              <w:top w:w="100" w:type="dxa"/>
              <w:left w:w="100" w:type="dxa"/>
              <w:bottom w:w="100" w:type="dxa"/>
              <w:right w:w="100" w:type="dxa"/>
            </w:tcMar>
            <w:vAlign w:val="center"/>
          </w:tcPr>
          <w:p w14:paraId="6AE27916">
            <w:r>
              <w:rPr>
                <w:b/>
                <w:bCs/>
                <w:sz w:val="20"/>
                <w:szCs w:val="20"/>
              </w:rPr>
              <w:t>Expected Impact</w:t>
            </w:r>
          </w:p>
        </w:tc>
      </w:tr>
      <w:tr w14:paraId="6A3D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00" w:type="dxa"/>
              <w:bottom w:w="100" w:type="dxa"/>
              <w:right w:w="100" w:type="dxa"/>
            </w:tcMar>
            <w:vAlign w:val="center"/>
          </w:tcPr>
          <w:p w14:paraId="23EC8FDC">
            <w:r>
              <w:rPr>
                <w:sz w:val="20"/>
                <w:szCs w:val="20"/>
              </w:rPr>
              <w:t>Phase 2</w:t>
            </w:r>
          </w:p>
        </w:tc>
        <w:tc>
          <w:tcPr>
            <w:tcW w:w="4200" w:type="dxa"/>
            <w:tcMar>
              <w:top w:w="100" w:type="dxa"/>
              <w:left w:w="100" w:type="dxa"/>
              <w:bottom w:w="100" w:type="dxa"/>
              <w:right w:w="100" w:type="dxa"/>
            </w:tcMar>
            <w:vAlign w:val="center"/>
          </w:tcPr>
          <w:p w14:paraId="3884928A">
            <w:r>
              <w:rPr>
                <w:sz w:val="20"/>
                <w:szCs w:val="20"/>
              </w:rPr>
              <w:t>Integrate satellite/weather API data to improve flood prediction accuracy.</w:t>
            </w:r>
          </w:p>
        </w:tc>
        <w:tc>
          <w:tcPr>
            <w:tcW w:w="2200" w:type="dxa"/>
            <w:tcMar>
              <w:top w:w="100" w:type="dxa"/>
              <w:left w:w="100" w:type="dxa"/>
              <w:bottom w:w="100" w:type="dxa"/>
              <w:right w:w="100" w:type="dxa"/>
            </w:tcMar>
            <w:vAlign w:val="center"/>
          </w:tcPr>
          <w:p w14:paraId="0BBEDE63">
            <w:r>
              <w:rPr>
                <w:sz w:val="20"/>
                <w:szCs w:val="20"/>
              </w:rPr>
              <w:t>Q3 2026</w:t>
            </w:r>
          </w:p>
        </w:tc>
        <w:tc>
          <w:tcPr>
            <w:tcW w:w="3700" w:type="dxa"/>
            <w:tcMar>
              <w:top w:w="100" w:type="dxa"/>
              <w:left w:w="100" w:type="dxa"/>
              <w:bottom w:w="100" w:type="dxa"/>
              <w:right w:w="100" w:type="dxa"/>
            </w:tcMar>
            <w:vAlign w:val="center"/>
          </w:tcPr>
          <w:p w14:paraId="010CC738">
            <w:r>
              <w:rPr>
                <w:sz w:val="20"/>
                <w:szCs w:val="20"/>
              </w:rPr>
              <w:t>More accurate, earlier flood warnings with reduced false positives.</w:t>
            </w:r>
          </w:p>
        </w:tc>
      </w:tr>
      <w:tr w14:paraId="74FFE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00" w:type="dxa"/>
              <w:bottom w:w="100" w:type="dxa"/>
              <w:right w:w="100" w:type="dxa"/>
            </w:tcMar>
            <w:vAlign w:val="center"/>
          </w:tcPr>
          <w:p w14:paraId="45506DF1">
            <w:r>
              <w:rPr>
                <w:sz w:val="20"/>
                <w:szCs w:val="20"/>
              </w:rPr>
              <w:t>Phase 3</w:t>
            </w:r>
          </w:p>
        </w:tc>
        <w:tc>
          <w:tcPr>
            <w:tcW w:w="4200" w:type="dxa"/>
            <w:tcMar>
              <w:top w:w="100" w:type="dxa"/>
              <w:left w:w="100" w:type="dxa"/>
              <w:bottom w:w="100" w:type="dxa"/>
              <w:right w:w="100" w:type="dxa"/>
            </w:tcMar>
            <w:vAlign w:val="center"/>
          </w:tcPr>
          <w:p w14:paraId="0E6FBF8A">
            <w:r>
              <w:rPr>
                <w:sz w:val="20"/>
                <w:szCs w:val="20"/>
              </w:rPr>
              <w:t>Launch a mobile app with push notifications and offline SMS fallback for remote areas.</w:t>
            </w:r>
          </w:p>
        </w:tc>
        <w:tc>
          <w:tcPr>
            <w:tcW w:w="2200" w:type="dxa"/>
            <w:tcMar>
              <w:top w:w="100" w:type="dxa"/>
              <w:left w:w="100" w:type="dxa"/>
              <w:bottom w:w="100" w:type="dxa"/>
              <w:right w:w="100" w:type="dxa"/>
            </w:tcMar>
            <w:vAlign w:val="center"/>
          </w:tcPr>
          <w:p w14:paraId="3269846A">
            <w:r>
              <w:rPr>
                <w:sz w:val="20"/>
                <w:szCs w:val="20"/>
              </w:rPr>
              <w:t>Q4 2026</w:t>
            </w:r>
          </w:p>
        </w:tc>
        <w:tc>
          <w:tcPr>
            <w:tcW w:w="3700" w:type="dxa"/>
            <w:tcMar>
              <w:top w:w="100" w:type="dxa"/>
              <w:left w:w="100" w:type="dxa"/>
              <w:bottom w:w="100" w:type="dxa"/>
              <w:right w:w="100" w:type="dxa"/>
            </w:tcMar>
            <w:vAlign w:val="center"/>
          </w:tcPr>
          <w:p w14:paraId="2FBAF98F">
            <w:r>
              <w:rPr>
                <w:sz w:val="20"/>
                <w:szCs w:val="20"/>
              </w:rPr>
              <w:t>Wider reach to residents in low-connectivity regions, improving public safety.</w:t>
            </w:r>
          </w:p>
        </w:tc>
      </w:tr>
      <w:tr w14:paraId="3BB4E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00" w:type="dxa"/>
              <w:bottom w:w="100" w:type="dxa"/>
              <w:right w:w="100" w:type="dxa"/>
            </w:tcMar>
            <w:vAlign w:val="center"/>
          </w:tcPr>
          <w:p w14:paraId="26C9F1D9">
            <w:r>
              <w:rPr>
                <w:sz w:val="20"/>
                <w:szCs w:val="20"/>
              </w:rPr>
              <w:t>Phase 4</w:t>
            </w:r>
          </w:p>
        </w:tc>
        <w:tc>
          <w:tcPr>
            <w:tcW w:w="4200" w:type="dxa"/>
            <w:tcMar>
              <w:top w:w="100" w:type="dxa"/>
              <w:left w:w="100" w:type="dxa"/>
              <w:bottom w:w="100" w:type="dxa"/>
              <w:right w:w="100" w:type="dxa"/>
            </w:tcMar>
            <w:vAlign w:val="center"/>
          </w:tcPr>
          <w:p w14:paraId="2BB72DB4">
            <w:r>
              <w:rPr>
                <w:sz w:val="20"/>
                <w:szCs w:val="20"/>
              </w:rPr>
              <w:t>Expand sensor network to cover multiple river basins and integrate with government disaster response systems.</w:t>
            </w:r>
          </w:p>
        </w:tc>
        <w:tc>
          <w:tcPr>
            <w:tcW w:w="2200" w:type="dxa"/>
            <w:tcMar>
              <w:top w:w="100" w:type="dxa"/>
              <w:left w:w="100" w:type="dxa"/>
              <w:bottom w:w="100" w:type="dxa"/>
              <w:right w:w="100" w:type="dxa"/>
            </w:tcMar>
            <w:vAlign w:val="center"/>
          </w:tcPr>
          <w:p w14:paraId="7B4AB35A">
            <w:r>
              <w:rPr>
                <w:sz w:val="20"/>
                <w:szCs w:val="20"/>
              </w:rPr>
              <w:t>Q1 2027</w:t>
            </w:r>
          </w:p>
        </w:tc>
        <w:tc>
          <w:tcPr>
            <w:tcW w:w="3700" w:type="dxa"/>
            <w:tcMar>
              <w:top w:w="100" w:type="dxa"/>
              <w:left w:w="100" w:type="dxa"/>
              <w:bottom w:w="100" w:type="dxa"/>
              <w:right w:w="100" w:type="dxa"/>
            </w:tcMar>
            <w:vAlign w:val="center"/>
          </w:tcPr>
          <w:p w14:paraId="6FD4131A">
            <w:r>
              <w:rPr>
                <w:sz w:val="20"/>
                <w:szCs w:val="20"/>
              </w:rPr>
              <w:t>Regional-scale flood monitoring enabling coordinated emergency response.</w:t>
            </w:r>
          </w:p>
        </w:tc>
      </w:tr>
    </w:tbl>
    <w:p w14:paraId="1BAA9F81"/>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43912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381</Words>
  <Characters>2255</Characters>
  <TotalTime>0</TotalTime>
  <ScaleCrop>false</ScaleCrop>
  <LinksUpToDate>false</LinksUpToDate>
  <CharactersWithSpaces>2570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2026-07-12T06:14:00Z</dcterms:created>
  <dc:creator>Un-named</dc:creator>
  <cp:lastModifiedBy>Mahalakshmisrisai Pedamallu</cp:lastModifiedBy>
  <dcterms:modified xsi:type="dcterms:W3CDTF">2026-07-12T06:16:09Z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eyJoZGlkIjoiOTBiYWJiNmVmZjA4NmYxOTkwNTY0NjU3YzAyNjgxZWEiLCJ1c2VySWQiOiI1Njc2MDMwNDQyOTIifQ==</vt:lpwstr>
  </property>
  <property fmtid="{D5CDD505-2E9C-101B-9397-08002B2CF9AE}" pid="3" name="KSOProductBuildVer">
    <vt:lpwstr>1033-12.1.0.26880</vt:lpwstr>
  </property>
  <property fmtid="{D5CDD505-2E9C-101B-9397-08002B2CF9AE}" pid="4" name="ICV">
    <vt:lpwstr>78243DC7244846C792BBDF933D3F7F20_12</vt:lpwstr>
  </property>
</Properties>
</file>