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72F806">
      <w:pPr>
        <w:spacing w:after="300"/>
        <w:jc w:val="center"/>
      </w:pPr>
      <w:r>
        <w:rPr>
          <w:b/>
          <w:bCs/>
          <w:sz w:val="36"/>
          <w:szCs w:val="36"/>
        </w:rPr>
        <w:t>Problem-Solution Fit</w:t>
      </w:r>
    </w:p>
    <w:p w14:paraId="5FD00E51">
      <w:pPr>
        <w:spacing w:after="300"/>
        <w:jc w:val="center"/>
      </w:pPr>
      <w:r>
        <w:rPr>
          <w:b/>
          <w:bCs/>
          <w:color w:val="1F4E79"/>
          <w:sz w:val="26"/>
          <w:szCs w:val="26"/>
        </w:rPr>
        <w:t>Rising Water — Flood Risk Prediction System</w:t>
      </w:r>
    </w:p>
    <w:tbl>
      <w:tblPr>
        <w:tblStyle w:val="9"/>
        <w:tblW w:w="1031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43"/>
        <w:gridCol w:w="7576"/>
      </w:tblGrid>
      <w:tr w14:paraId="31CBC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88" w:hRule="atLeast"/>
        </w:trPr>
        <w:tc>
          <w:tcPr>
            <w:tcW w:w="2743" w:type="dxa"/>
            <w:shd w:val="clear" w:color="auto" w:fill="EDEDED"/>
          </w:tcPr>
          <w:p w14:paraId="32751D07">
            <w:r>
              <w:rPr>
                <w:b/>
                <w:bCs/>
              </w:rPr>
              <w:t>Date</w:t>
            </w:r>
          </w:p>
        </w:tc>
        <w:tc>
          <w:tcPr>
            <w:tcW w:w="7576" w:type="dxa"/>
          </w:tcPr>
          <w:p w14:paraId="24CF5557">
            <w:r>
              <w:t>06 July 2026</w:t>
            </w:r>
          </w:p>
        </w:tc>
      </w:tr>
      <w:tr w14:paraId="18938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88" w:hRule="atLeast"/>
        </w:trPr>
        <w:tc>
          <w:tcPr>
            <w:tcW w:w="2743" w:type="dxa"/>
            <w:shd w:val="clear" w:color="auto" w:fill="EDEDED"/>
          </w:tcPr>
          <w:p w14:paraId="68220C81">
            <w:r>
              <w:rPr>
                <w:b/>
                <w:bCs/>
              </w:rPr>
              <w:t>Team ID</w:t>
            </w:r>
          </w:p>
        </w:tc>
        <w:tc>
          <w:tcPr>
            <w:tcW w:w="7576" w:type="dxa"/>
            <w:shd w:val="clear"/>
            <w:vAlign w:val="top"/>
          </w:tcPr>
          <w:p w14:paraId="5568906E">
            <w:pPr>
              <w:rPr>
                <w:sz w:val="21"/>
                <w:szCs w:val="22"/>
              </w:rPr>
            </w:pPr>
            <w:r>
              <w:rPr>
                <w:b w:val="0"/>
                <w:bCs w:val="0"/>
                <w:sz w:val="20"/>
                <w:szCs w:val="20"/>
              </w:rPr>
              <w:t>SWTID-2026-8491</w:t>
            </w:r>
          </w:p>
        </w:tc>
      </w:tr>
      <w:tr w14:paraId="15A05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88" w:hRule="atLeast"/>
        </w:trPr>
        <w:tc>
          <w:tcPr>
            <w:tcW w:w="2743" w:type="dxa"/>
            <w:shd w:val="clear" w:color="auto" w:fill="EDEDED"/>
          </w:tcPr>
          <w:p w14:paraId="7C93EB4B">
            <w:r>
              <w:rPr>
                <w:b/>
                <w:bCs/>
              </w:rPr>
              <w:t>Project Name</w:t>
            </w:r>
          </w:p>
        </w:tc>
        <w:tc>
          <w:tcPr>
            <w:tcW w:w="7576" w:type="dxa"/>
          </w:tcPr>
          <w:p w14:paraId="1C745634">
            <w:r>
              <w:t xml:space="preserve">Rising Water </w:t>
            </w:r>
            <w:bookmarkStart w:id="0" w:name="_GoBack"/>
            <w:bookmarkEnd w:id="0"/>
          </w:p>
        </w:tc>
      </w:tr>
      <w:tr w14:paraId="47963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20" w:hRule="atLeast"/>
        </w:trPr>
        <w:tc>
          <w:tcPr>
            <w:tcW w:w="2743" w:type="dxa"/>
            <w:shd w:val="clear" w:color="auto" w:fill="EDEDED"/>
          </w:tcPr>
          <w:p w14:paraId="13797748">
            <w:pPr>
              <w:rPr>
                <w:b/>
                <w:bCs/>
              </w:rPr>
            </w:pPr>
            <w:r>
              <w:rPr>
                <w:rFonts w:hint="eastAsia" w:ascii="Times New Roman" w:hAnsi="Times New Roman" w:eastAsia="Times New Roman" w:cs="Times New Roman"/>
                <w:b/>
                <w:bCs w:val="0"/>
                <w:color w:val="000000"/>
                <w:sz w:val="21"/>
                <w:szCs w:val="21"/>
                <w:lang w:val="en-US" w:eastAsia="en-US" w:bidi="ar"/>
              </w:rPr>
              <w:t>Maximum Marks</w:t>
            </w:r>
          </w:p>
        </w:tc>
        <w:tc>
          <w:tcPr>
            <w:tcW w:w="7576" w:type="dxa"/>
          </w:tcPr>
          <w:p w14:paraId="57FCB2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1"/>
                <w:szCs w:val="21"/>
                <w:bdr w:val="none" w:color="auto" w:sz="0" w:space="0"/>
                <w:lang w:val="en-US" w:eastAsia="zh-CN" w:bidi="ar"/>
              </w:rPr>
              <w:t xml:space="preserve">5 Marks </w:t>
            </w:r>
          </w:p>
        </w:tc>
      </w:tr>
    </w:tbl>
    <w:p w14:paraId="5069EF2A">
      <w:pPr>
        <w:spacing w:before="300" w:after="150"/>
      </w:pPr>
      <w:r>
        <w:rPr>
          <w:b/>
          <w:bCs/>
          <w:sz w:val="24"/>
          <w:szCs w:val="24"/>
        </w:rPr>
        <w:t>1. Problem Statement</w:t>
      </w:r>
    </w:p>
    <w:p w14:paraId="713E59F3">
      <w:pPr>
        <w:spacing w:after="150"/>
      </w:pPr>
      <w:r>
        <w:t>Districts prone to flooding often lack a quick, accessible way to assess flood risk from current weather conditions. Disaster-management officials and local authorities frequently rely on delayed, manual assessments or generalized regional warnings that don't reflect real-time, location-specific conditions. By the time a flood is officially declared or forecast through traditional channels, the window for early evacuation, resource mobilization, or precautionary action has often already narrowed.</w:t>
      </w:r>
    </w:p>
    <w:p w14:paraId="176B9421">
      <w:pPr>
        <w:spacing w:after="150"/>
      </w:pPr>
      <w:r>
        <w:t>This creates a critical gap between data availability (rainfall records, weather readings) and actionable, instant risk classification at the district level.</w:t>
      </w:r>
    </w:p>
    <w:p w14:paraId="437751F3">
      <w:pPr>
        <w:spacing w:before="300" w:after="150"/>
      </w:pPr>
      <w:r>
        <w:rPr>
          <w:b/>
          <w:bCs/>
          <w:sz w:val="24"/>
          <w:szCs w:val="24"/>
        </w:rPr>
        <w:t>2. Target Users</w:t>
      </w:r>
    </w:p>
    <w:p w14:paraId="13850157">
      <w:pPr>
        <w:spacing w:after="80"/>
      </w:pPr>
      <w:r>
        <w:t>•  District-level disaster management authorities and emergency response teams</w:t>
      </w:r>
    </w:p>
    <w:p w14:paraId="17A5915B">
      <w:pPr>
        <w:spacing w:after="80"/>
      </w:pPr>
      <w:r>
        <w:t>•  Local government / municipal officials responsible for issuing advisories</w:t>
      </w:r>
    </w:p>
    <w:p w14:paraId="2B0546D3">
      <w:pPr>
        <w:spacing w:after="80"/>
      </w:pPr>
      <w:r>
        <w:t>•  NGOs and relief organizations planning pre-emptive resource allocation</w:t>
      </w:r>
    </w:p>
    <w:p w14:paraId="461178DC">
      <w:pPr>
        <w:spacing w:after="80"/>
      </w:pPr>
      <w:r>
        <w:t>•  Residents and community leaders in flood-prone regions seeking quick risk awareness</w:t>
      </w:r>
    </w:p>
    <w:p w14:paraId="16AEB74C">
      <w:pPr>
        <w:spacing w:before="300" w:after="150"/>
      </w:pPr>
      <w:r>
        <w:rPr>
          <w:b/>
          <w:bCs/>
          <w:sz w:val="24"/>
          <w:szCs w:val="24"/>
        </w:rPr>
        <w:t>3. Problem Validation — Why This Matters</w:t>
      </w:r>
    </w:p>
    <w:p w14:paraId="742D13C2">
      <w:pPr>
        <w:spacing w:after="80"/>
      </w:pPr>
      <w:r>
        <w:t>•  Flooding is one of the most frequent and damaging natural disasters, with impact severity strongly tied to how early risk is identified.</w:t>
      </w:r>
    </w:p>
    <w:p w14:paraId="02EC4876">
      <w:pPr>
        <w:spacing w:after="80"/>
      </w:pPr>
      <w:r>
        <w:t>•  Existing flood warnings are often issued at a broad regional/state level, not tailored to localized rainfall and weather patterns.</w:t>
      </w:r>
    </w:p>
    <w:p w14:paraId="0EEEDC4F">
      <w:pPr>
        <w:spacing w:after="80"/>
      </w:pPr>
      <w:r>
        <w:t>•  Manual risk assessment by officials is slow and inconsistent, especially in under-resourced districts.</w:t>
      </w:r>
    </w:p>
    <w:p w14:paraId="7C8BC946">
      <w:pPr>
        <w:spacing w:after="80"/>
      </w:pPr>
      <w:r>
        <w:t>•  Historical weather data (rainfall, humidity, temperature, cloud visibility) is often available but underutilized for predictive, real-time decision-making.</w:t>
      </w:r>
    </w:p>
    <w:p w14:paraId="20568B38">
      <w:pPr>
        <w:spacing w:before="300" w:after="150"/>
      </w:pPr>
      <w:r>
        <w:rPr>
          <w:b/>
          <w:bCs/>
          <w:sz w:val="24"/>
          <w:szCs w:val="24"/>
        </w:rPr>
        <w:t>4. Existing Alternatives and Their Gaps</w:t>
      </w:r>
    </w:p>
    <w:tbl>
      <w:tblPr>
        <w:tblStyle w:val="9"/>
        <w:tblW w:w="9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0"/>
        <w:gridCol w:w="4500"/>
        <w:gridCol w:w="2600"/>
      </w:tblGrid>
      <w:tr w14:paraId="586EA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300" w:type="dxa"/>
            <w:shd w:val="clear" w:color="auto" w:fill="1F4E79"/>
          </w:tcPr>
          <w:p w14:paraId="0D749B90">
            <w:r>
              <w:rPr>
                <w:b/>
                <w:bCs/>
                <w:color w:val="FFFFFF"/>
              </w:rPr>
              <w:t>Existing Approach</w:t>
            </w:r>
          </w:p>
        </w:tc>
        <w:tc>
          <w:tcPr>
            <w:tcW w:w="4500" w:type="dxa"/>
            <w:shd w:val="clear" w:color="auto" w:fill="1F4E79"/>
          </w:tcPr>
          <w:p w14:paraId="4A6A33E4">
            <w:r>
              <w:rPr>
                <w:b/>
                <w:bCs/>
                <w:color w:val="FFFFFF"/>
              </w:rPr>
              <w:t>Limitation</w:t>
            </w:r>
          </w:p>
        </w:tc>
        <w:tc>
          <w:tcPr>
            <w:tcW w:w="2600" w:type="dxa"/>
            <w:shd w:val="clear" w:color="auto" w:fill="1F4E79"/>
          </w:tcPr>
          <w:p w14:paraId="155AF60E">
            <w:r>
              <w:rPr>
                <w:b/>
                <w:bCs/>
                <w:color w:val="FFFFFF"/>
              </w:rPr>
              <w:t>Impact of Gap</w:t>
            </w:r>
          </w:p>
        </w:tc>
      </w:tr>
      <w:tr w14:paraId="5D089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</w:tcPr>
          <w:p w14:paraId="1D8A3B36">
            <w:r>
              <w:rPr>
                <w:b w:val="0"/>
                <w:bCs w:val="0"/>
              </w:rPr>
              <w:t>Government regional flood bulletins</w:t>
            </w:r>
          </w:p>
        </w:tc>
        <w:tc>
          <w:tcPr>
            <w:tcW w:w="4500" w:type="dxa"/>
          </w:tcPr>
          <w:p w14:paraId="471549A0">
            <w:r>
              <w:rPr>
                <w:b w:val="0"/>
                <w:bCs w:val="0"/>
              </w:rPr>
              <w:t>Broad geographic scope; not district/local specific</w:t>
            </w:r>
          </w:p>
        </w:tc>
        <w:tc>
          <w:tcPr>
            <w:tcW w:w="2600" w:type="dxa"/>
          </w:tcPr>
          <w:p w14:paraId="1172854A">
            <w:r>
              <w:rPr>
                <w:b w:val="0"/>
                <w:bCs w:val="0"/>
              </w:rPr>
              <w:t>Delayed or generalized response</w:t>
            </w:r>
          </w:p>
        </w:tc>
      </w:tr>
      <w:tr w14:paraId="77217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</w:tcPr>
          <w:p w14:paraId="2356621A">
            <w:r>
              <w:rPr>
                <w:b w:val="0"/>
                <w:bCs w:val="0"/>
              </w:rPr>
              <w:t>Manual expert assessment</w:t>
            </w:r>
          </w:p>
        </w:tc>
        <w:tc>
          <w:tcPr>
            <w:tcW w:w="4500" w:type="dxa"/>
          </w:tcPr>
          <w:p w14:paraId="20AF052F">
            <w:r>
              <w:rPr>
                <w:b w:val="0"/>
                <w:bCs w:val="0"/>
              </w:rPr>
              <w:t>Time-consuming, dependent on available personnel</w:t>
            </w:r>
          </w:p>
        </w:tc>
        <w:tc>
          <w:tcPr>
            <w:tcW w:w="2600" w:type="dxa"/>
          </w:tcPr>
          <w:p w14:paraId="7DEF9A09">
            <w:r>
              <w:rPr>
                <w:b w:val="0"/>
                <w:bCs w:val="0"/>
              </w:rPr>
              <w:t>Inconsistent turnaround time</w:t>
            </w:r>
          </w:p>
        </w:tc>
      </w:tr>
      <w:tr w14:paraId="3E3B3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</w:tcPr>
          <w:p w14:paraId="7A85D870">
            <w:r>
              <w:rPr>
                <w:b w:val="0"/>
                <w:bCs w:val="0"/>
              </w:rPr>
              <w:t>Historical rainfall records alone</w:t>
            </w:r>
          </w:p>
        </w:tc>
        <w:tc>
          <w:tcPr>
            <w:tcW w:w="4500" w:type="dxa"/>
          </w:tcPr>
          <w:p w14:paraId="681E2539">
            <w:r>
              <w:rPr>
                <w:b w:val="0"/>
                <w:bCs w:val="0"/>
              </w:rPr>
              <w:t>Descriptive, not predictive</w:t>
            </w:r>
          </w:p>
        </w:tc>
        <w:tc>
          <w:tcPr>
            <w:tcW w:w="2600" w:type="dxa"/>
          </w:tcPr>
          <w:p w14:paraId="3F0F0B19">
            <w:r>
              <w:rPr>
                <w:b w:val="0"/>
                <w:bCs w:val="0"/>
              </w:rPr>
              <w:t>No forward-looking risk signal</w:t>
            </w:r>
          </w:p>
        </w:tc>
      </w:tr>
      <w:tr w14:paraId="435ED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</w:tcPr>
          <w:p w14:paraId="2E8B81B8">
            <w:r>
              <w:rPr>
                <w:b w:val="0"/>
                <w:bCs w:val="0"/>
              </w:rPr>
              <w:t>News/media flood alerts</w:t>
            </w:r>
          </w:p>
        </w:tc>
        <w:tc>
          <w:tcPr>
            <w:tcW w:w="4500" w:type="dxa"/>
          </w:tcPr>
          <w:p w14:paraId="55A50CFB">
            <w:r>
              <w:rPr>
                <w:b w:val="0"/>
                <w:bCs w:val="0"/>
              </w:rPr>
              <w:t>Reactive, published after conditions worsen</w:t>
            </w:r>
          </w:p>
        </w:tc>
        <w:tc>
          <w:tcPr>
            <w:tcW w:w="2600" w:type="dxa"/>
          </w:tcPr>
          <w:p w14:paraId="497535BC">
            <w:r>
              <w:rPr>
                <w:b w:val="0"/>
                <w:bCs w:val="0"/>
              </w:rPr>
              <w:t>Limited time for preventive action</w:t>
            </w:r>
          </w:p>
        </w:tc>
      </w:tr>
    </w:tbl>
    <w:p w14:paraId="1AF376DE">
      <w:pPr>
        <w:spacing w:before="300" w:after="150"/>
      </w:pPr>
      <w:r>
        <w:rPr>
          <w:b/>
          <w:bCs/>
          <w:sz w:val="24"/>
          <w:szCs w:val="24"/>
        </w:rPr>
        <w:t>5. Proposed Solution</w:t>
      </w:r>
    </w:p>
    <w:p w14:paraId="5B53BA91">
      <w:pPr>
        <w:spacing w:after="150"/>
      </w:pPr>
      <w:r>
        <w:t>Rising Water is a web-based Flood Risk Prediction System that allows users to enter current meteorological readings — annual rainfall, seasonal rainfall, cloud visibility, temperature, and humidity — for a district and instantly receive a flood-risk classification. The system is powered by a Random Forest model trained on historical weather data, giving users a fast, data-driven, and locally relevant risk estimate instead of a generic or delayed alert.</w:t>
      </w:r>
    </w:p>
    <w:p w14:paraId="1C5710DA">
      <w:pPr>
        <w:spacing w:before="300" w:after="150"/>
      </w:pPr>
      <w:r>
        <w:rPr>
          <w:b/>
          <w:bCs/>
          <w:sz w:val="24"/>
          <w:szCs w:val="24"/>
        </w:rPr>
        <w:t>6. Solution Features</w:t>
      </w:r>
    </w:p>
    <w:p w14:paraId="4CB070FC">
      <w:pPr>
        <w:spacing w:after="80"/>
      </w:pPr>
      <w:r>
        <w:t>•  Simple input form for key weather indicators (rainfall, cloud visibility, temperature, humidity)</w:t>
      </w:r>
    </w:p>
    <w:p w14:paraId="7999A0A7">
      <w:pPr>
        <w:spacing w:after="80"/>
      </w:pPr>
      <w:r>
        <w:t>•  Instant flood-risk classification with probability score, powered by a trained Random Forest model</w:t>
      </w:r>
    </w:p>
    <w:p w14:paraId="40C2AABA">
      <w:pPr>
        <w:spacing w:after="80"/>
      </w:pPr>
      <w:r>
        <w:t>•  Clear, dashboard-style UI separating inputs from prediction results for fast readability</w:t>
      </w:r>
    </w:p>
    <w:p w14:paraId="2DCFC989">
      <w:pPr>
        <w:spacing w:after="80"/>
      </w:pPr>
      <w:r>
        <w:t>•  Model trained on historical weather-to-flood outcome data, enabling data-driven (not purely rule-based) predictions</w:t>
      </w:r>
    </w:p>
    <w:p w14:paraId="4EFDD53C">
      <w:pPr>
        <w:spacing w:after="80"/>
      </w:pPr>
      <w:r>
        <w:t>•  Lightweight enough to be used directly by district officials without specialized technical expertise</w:t>
      </w:r>
    </w:p>
    <w:p w14:paraId="64B6B7AB">
      <w:pPr>
        <w:spacing w:before="300" w:after="150"/>
      </w:pPr>
      <w:r>
        <w:rPr>
          <w:b/>
          <w:bCs/>
          <w:sz w:val="24"/>
          <w:szCs w:val="24"/>
        </w:rPr>
        <w:t>7. Problem–Solution Fit Mapping</w:t>
      </w:r>
    </w:p>
    <w:tbl>
      <w:tblPr>
        <w:tblStyle w:val="9"/>
        <w:tblW w:w="9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0"/>
        <w:gridCol w:w="4500"/>
        <w:gridCol w:w="2600"/>
      </w:tblGrid>
      <w:tr w14:paraId="30A69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300" w:type="dxa"/>
            <w:shd w:val="clear" w:color="auto" w:fill="1F4E79"/>
          </w:tcPr>
          <w:p w14:paraId="3F7877D8">
            <w:r>
              <w:rPr>
                <w:b/>
                <w:bCs/>
                <w:color w:val="FFFFFF"/>
              </w:rPr>
              <w:t>Problem</w:t>
            </w:r>
          </w:p>
        </w:tc>
        <w:tc>
          <w:tcPr>
            <w:tcW w:w="4500" w:type="dxa"/>
            <w:shd w:val="clear" w:color="auto" w:fill="1F4E79"/>
          </w:tcPr>
          <w:p w14:paraId="60506CD3">
            <w:r>
              <w:rPr>
                <w:b/>
                <w:bCs/>
                <w:color w:val="FFFFFF"/>
              </w:rPr>
              <w:t>How Rising Water Solves It</w:t>
            </w:r>
          </w:p>
        </w:tc>
        <w:tc>
          <w:tcPr>
            <w:tcW w:w="2600" w:type="dxa"/>
            <w:shd w:val="clear" w:color="auto" w:fill="1F4E79"/>
          </w:tcPr>
          <w:p w14:paraId="031B1BC6">
            <w:r>
              <w:rPr>
                <w:b/>
                <w:bCs/>
                <w:color w:val="FFFFFF"/>
              </w:rPr>
              <w:t>Resulting Benefit</w:t>
            </w:r>
          </w:p>
        </w:tc>
      </w:tr>
      <w:tr w14:paraId="01201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</w:tcPr>
          <w:p w14:paraId="0B588508">
            <w:r>
              <w:rPr>
                <w:b w:val="0"/>
                <w:bCs w:val="0"/>
              </w:rPr>
              <w:t>Delayed, generalized flood warnings</w:t>
            </w:r>
          </w:p>
        </w:tc>
        <w:tc>
          <w:tcPr>
            <w:tcW w:w="4500" w:type="dxa"/>
          </w:tcPr>
          <w:p w14:paraId="2B2832D3">
            <w:r>
              <w:rPr>
                <w:b w:val="0"/>
                <w:bCs w:val="0"/>
              </w:rPr>
              <w:t>Instant, on-demand risk classification from live inputs</w:t>
            </w:r>
          </w:p>
        </w:tc>
        <w:tc>
          <w:tcPr>
            <w:tcW w:w="2600" w:type="dxa"/>
          </w:tcPr>
          <w:p w14:paraId="453CFFA8">
            <w:r>
              <w:rPr>
                <w:b w:val="0"/>
                <w:bCs w:val="0"/>
              </w:rPr>
              <w:t>Faster, localized decision-making</w:t>
            </w:r>
          </w:p>
        </w:tc>
      </w:tr>
      <w:tr w14:paraId="38378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</w:tcPr>
          <w:p w14:paraId="55A12E40">
            <w:r>
              <w:rPr>
                <w:b w:val="0"/>
                <w:bCs w:val="0"/>
              </w:rPr>
              <w:t>Inconsistent manual assessment</w:t>
            </w:r>
          </w:p>
        </w:tc>
        <w:tc>
          <w:tcPr>
            <w:tcW w:w="4500" w:type="dxa"/>
          </w:tcPr>
          <w:p w14:paraId="387A2A53">
            <w:r>
              <w:rPr>
                <w:b w:val="0"/>
                <w:bCs w:val="0"/>
              </w:rPr>
              <w:t>Standardized ML model applies the same logic every time</w:t>
            </w:r>
          </w:p>
        </w:tc>
        <w:tc>
          <w:tcPr>
            <w:tcW w:w="2600" w:type="dxa"/>
          </w:tcPr>
          <w:p w14:paraId="415B4D4D">
            <w:r>
              <w:rPr>
                <w:b w:val="0"/>
                <w:bCs w:val="0"/>
              </w:rPr>
              <w:t>Consistent, repeatable risk scoring</w:t>
            </w:r>
          </w:p>
        </w:tc>
      </w:tr>
      <w:tr w14:paraId="7FB82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</w:tcPr>
          <w:p w14:paraId="0AE28706">
            <w:r>
              <w:rPr>
                <w:b w:val="0"/>
                <w:bCs w:val="0"/>
              </w:rPr>
              <w:t>Underused historical weather data</w:t>
            </w:r>
          </w:p>
        </w:tc>
        <w:tc>
          <w:tcPr>
            <w:tcW w:w="4500" w:type="dxa"/>
          </w:tcPr>
          <w:p w14:paraId="3CF3591D">
            <w:r>
              <w:rPr>
                <w:b w:val="0"/>
                <w:bCs w:val="0"/>
              </w:rPr>
              <w:t>Random Forest model trained on that historical data</w:t>
            </w:r>
          </w:p>
        </w:tc>
        <w:tc>
          <w:tcPr>
            <w:tcW w:w="2600" w:type="dxa"/>
          </w:tcPr>
          <w:p w14:paraId="48A4157E">
            <w:r>
              <w:rPr>
                <w:b w:val="0"/>
                <w:bCs w:val="0"/>
              </w:rPr>
              <w:t>Data-driven predictions, not guesswork</w:t>
            </w:r>
          </w:p>
        </w:tc>
      </w:tr>
      <w:tr w14:paraId="525D2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</w:tcPr>
          <w:p w14:paraId="2B859E51">
            <w:r>
              <w:rPr>
                <w:b w:val="0"/>
                <w:bCs w:val="0"/>
              </w:rPr>
              <w:t>Complex tools not usable by non-technical staff</w:t>
            </w:r>
          </w:p>
        </w:tc>
        <w:tc>
          <w:tcPr>
            <w:tcW w:w="4500" w:type="dxa"/>
          </w:tcPr>
          <w:p w14:paraId="20106869">
            <w:r>
              <w:rPr>
                <w:b w:val="0"/>
                <w:bCs w:val="0"/>
              </w:rPr>
              <w:t>Simple form-based UI requiring only weather readings</w:t>
            </w:r>
          </w:p>
        </w:tc>
        <w:tc>
          <w:tcPr>
            <w:tcW w:w="2600" w:type="dxa"/>
          </w:tcPr>
          <w:p w14:paraId="75F625D1">
            <w:r>
              <w:rPr>
                <w:b w:val="0"/>
                <w:bCs w:val="0"/>
              </w:rPr>
              <w:t>Accessible to district-level officials directly</w:t>
            </w:r>
          </w:p>
        </w:tc>
      </w:tr>
    </w:tbl>
    <w:p w14:paraId="472B7FCB">
      <w:pPr>
        <w:spacing w:before="300" w:after="150"/>
      </w:pPr>
      <w:r>
        <w:rPr>
          <w:b/>
          <w:bCs/>
          <w:sz w:val="24"/>
          <w:szCs w:val="24"/>
        </w:rPr>
        <w:t>8. Value Proposition</w:t>
      </w:r>
    </w:p>
    <w:p w14:paraId="49F15882">
      <w:pPr>
        <w:spacing w:after="150"/>
      </w:pPr>
      <w:r>
        <w:t>For district disaster-management authorities who need faster, localized flood-risk insight, Rising Water is a flood-risk prediction tool that converts current weather readings into an instant, data-driven risk classification — unlike generalized regional bulletins or slow manual assessments, it gives an immediate, repeatable, district-level signal that supports earlier and more confident decisions.</w:t>
      </w:r>
    </w:p>
    <w:p w14:paraId="4DA9EF3F">
      <w:pPr>
        <w:spacing w:before="300" w:after="150"/>
      </w:pPr>
      <w:r>
        <w:rPr>
          <w:b/>
          <w:bCs/>
          <w:sz w:val="24"/>
          <w:szCs w:val="24"/>
        </w:rPr>
        <w:t>9. Assumptions and Risks</w:t>
      </w:r>
    </w:p>
    <w:p w14:paraId="4D0D0D24">
      <w:pPr>
        <w:spacing w:after="80"/>
      </w:pPr>
      <w:r>
        <w:t>•  Assumes users have access to reasonably accurate, current weather readings for their district</w:t>
      </w:r>
    </w:p>
    <w:p w14:paraId="5C7F1F5B">
      <w:pPr>
        <w:spacing w:after="80"/>
      </w:pPr>
      <w:r>
        <w:t>•  Model accuracy depends on the quality and representativeness of the historical training data</w:t>
      </w:r>
    </w:p>
    <w:p w14:paraId="00BF4916">
      <w:pPr>
        <w:spacing w:after="80"/>
      </w:pPr>
      <w:r>
        <w:t>•  Does not yet incorporate real-time IoT sensor feeds; relies on manually entered readings</w:t>
      </w:r>
    </w:p>
    <w:p w14:paraId="44BFFD45">
      <w:pPr>
        <w:spacing w:after="80"/>
      </w:pPr>
      <w:r>
        <w:t>•  Requires periodic retraining as climate patterns and historical baselines shift over time</w:t>
      </w:r>
    </w:p>
    <w:p w14:paraId="1B3A4E95">
      <w:pPr>
        <w:spacing w:before="300" w:after="150"/>
      </w:pPr>
      <w:r>
        <w:rPr>
          <w:b/>
          <w:bCs/>
          <w:sz w:val="24"/>
          <w:szCs w:val="24"/>
        </w:rPr>
        <w:t>10. Next Steps to Strengthen Fit</w:t>
      </w:r>
    </w:p>
    <w:p w14:paraId="433C51A7">
      <w:pPr>
        <w:spacing w:after="80"/>
      </w:pPr>
      <w:r>
        <w:t>•  Validate model predictions against real historical flood events for the target districts</w:t>
      </w:r>
    </w:p>
    <w:p w14:paraId="2A05A09A">
      <w:pPr>
        <w:spacing w:after="80"/>
      </w:pPr>
      <w:r>
        <w:t>•  Gather feedback from disaster-management officials on the classification thresholds used</w:t>
      </w:r>
    </w:p>
    <w:p w14:paraId="0546E56E">
      <w:pPr>
        <w:spacing w:after="80"/>
      </w:pPr>
      <w:r>
        <w:t>•  Explore integration with live weather APIs or IoT sensors to reduce manual data entry</w:t>
      </w:r>
    </w:p>
    <w:p w14:paraId="3E89FCA4">
      <w:pPr>
        <w:spacing w:after="80"/>
      </w:pPr>
      <w:r>
        <w:t>•  Add SMS/notification alerts so results reach officials without needing to check the dashboard</w:t>
      </w:r>
    </w:p>
    <w:sectPr>
      <w:pgSz w:w="12240" w:h="15840"/>
      <w:pgMar w:top="1000" w:right="1000" w:bottom="1000" w:left="10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variable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compat>
    <w:doNotExpandShiftReturn/>
    <w:compatSetting w:name="compatibilityMode" w:uri="http://schemas.microsoft.com/office/word" w:val="15"/>
  </w:compat>
  <w:rsids>
    <w:rsidRoot w:val="00000000"/>
    <w:rsid w:val="16A351E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160" w:afterAutospacing="0" w:line="276" w:lineRule="auto"/>
      <w:ind w:left="0" w:right="0"/>
    </w:pPr>
    <w:rPr>
      <w:rFonts w:hint="default" w:ascii="Calibri" w:hAnsi="Calibri" w:cs="Times New Roman"/>
      <w:kern w:val="2"/>
      <w:sz w:val="24"/>
      <w:szCs w:val="24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  <w:style w:type="table" w:customStyle="1" w:styleId="19">
    <w:name w:val="TableGrid"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Calibri" w:hAnsi="Calibri" w:cs="Times New Roman"/>
      <w:kern w:val="2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691</Words>
  <Characters>4392</Characters>
  <TotalTime>2</TotalTime>
  <ScaleCrop>false</ScaleCrop>
  <LinksUpToDate>false</LinksUpToDate>
  <CharactersWithSpaces>5031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2026-07-06T17:00:00Z</dcterms:created>
  <dc:creator>Un-named</dc:creator>
  <cp:lastModifiedBy>Mahalakshmisrisai Pedamallu</cp:lastModifiedBy>
  <dcterms:modified xsi:type="dcterms:W3CDTF">2026-07-06T17:07:02Z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eyJoZGlkIjoiOTBiYWJiNmVmZjA4NmYxOTkwNTY0NjU3YzAyNjgxZWEiLCJ1c2VySWQiOiI1Njc2MDMwNDQyOTIifQ==</vt:lpwstr>
  </property>
  <property fmtid="{D5CDD505-2E9C-101B-9397-08002B2CF9AE}" pid="3" name="KSOProductBuildVer">
    <vt:lpwstr>1033-12.1.0.26880</vt:lpwstr>
  </property>
  <property fmtid="{D5CDD505-2E9C-101B-9397-08002B2CF9AE}" pid="4" name="ICV">
    <vt:lpwstr>49AA75A890404E6F9ABC391936B6AB26_12</vt:lpwstr>
  </property>
</Properties>
</file>