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Google Sans" w:hAnsi="Google Sans" w:eastAsia="Google Sans" w:cs="Google Sans"/>
          <w:b/>
          <w:b/>
          <w:sz w:val="24"/>
          <w:szCs w:val="24"/>
        </w:rPr>
      </w:pPr>
      <w:bookmarkStart w:id="0" w:name="_kuduxtw0qwid"/>
      <w:bookmarkEnd w:id="0"/>
      <w:r>
        <w:rPr>
          <w:rFonts w:eastAsia="Google Sans" w:cs="Google Sans" w:ascii="Google Sans" w:hAnsi="Google Sans"/>
          <w:b/>
          <w:color w:val="3C78D8"/>
        </w:rPr>
        <w:t xml:space="preserve">Botium Toys: Audit scope and goals </w:t>
      </w:r>
    </w:p>
    <w:p>
      <w:pPr>
        <w:pStyle w:val="LOnormal"/>
        <w:rPr>
          <w:rFonts w:ascii="Google Sans" w:hAnsi="Google Sans" w:eastAsia="Google Sans" w:cs="Google Sans"/>
          <w:b/>
          <w:b/>
          <w:color w:val="FFFF00"/>
          <w:sz w:val="24"/>
          <w:szCs w:val="24"/>
        </w:rPr>
      </w:pPr>
      <w:r>
        <w:rPr/>
        <mc:AlternateContent>
          <mc:Choice Requires="wps">
            <w:drawing>
              <wp:inline distT="0" distB="0" distL="0" distR="0">
                <wp:extent cx="5943600" cy="12700"/>
                <wp:effectExtent l="0" t="0" r="0" b="0"/>
                <wp:docPr id="1" name="Shape1"/>
                <a:graphic xmlns:a="http://schemas.openxmlformats.org/drawingml/2006/main">
                  <a:graphicData uri="http://schemas.microsoft.com/office/word/2010/wordprocessingShape">
                    <wps:wsp>
                      <wps:cNvSpPr/>
                      <wps:spPr>
                        <a:xfrm>
                          <a:off x="0" y="0"/>
                          <a:ext cx="5943600" cy="12600"/>
                        </a:xfrm>
                        <a:prstGeom prst="straightConnector1">
                          <a:avLst/>
                        </a:prstGeom>
                        <a:noFill/>
                        <a:ln w="19050">
                          <a:solidFill>
                            <a:srgbClr val="cc0000"/>
                          </a:solidFill>
                          <a:round/>
                        </a:ln>
                      </wps:spPr>
                      <wps:style>
                        <a:lnRef idx="0"/>
                        <a:fillRef idx="0"/>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1.05pt;width:467.95pt;height:0.95pt;mso-wrap-style:none;v-text-anchor:middle;mso-position-vertical:top" type="_x0000_t32">
                <v:fill o:detectmouseclick="t" on="false"/>
                <v:stroke color="#cc0000" weight="19080" joinstyle="round" endcap="flat"/>
                <w10:wrap type="square"/>
              </v:shape>
            </w:pict>
          </mc:Fallback>
        </mc:AlternateContent>
      </w:r>
    </w:p>
    <w:p>
      <w:pPr>
        <w:pStyle w:val="LOnormal"/>
        <w:rPr>
          <w:rFonts w:ascii="Google Sans" w:hAnsi="Google Sans" w:eastAsia="Google Sans" w:cs="Google Sans"/>
          <w:sz w:val="24"/>
          <w:szCs w:val="24"/>
        </w:rPr>
      </w:pPr>
      <w:r>
        <w:rPr>
          <w:rFonts w:eastAsia="Google Sans" w:cs="Google Sans" w:ascii="Google Sans" w:hAnsi="Google Sans"/>
          <w:sz w:val="24"/>
          <w:szCs w:val="24"/>
        </w:rPr>
      </w:r>
    </w:p>
    <w:p>
      <w:pPr>
        <w:pStyle w:val="Subtitle"/>
        <w:rPr>
          <w:rFonts w:ascii="Google Sans" w:hAnsi="Google Sans" w:eastAsia="Google Sans" w:cs="Google Sans"/>
          <w:color w:val="434343"/>
          <w:sz w:val="24"/>
          <w:szCs w:val="24"/>
        </w:rPr>
      </w:pPr>
      <w:bookmarkStart w:id="1" w:name="_4q1j0hy1hegf"/>
      <w:bookmarkEnd w:id="1"/>
      <w:r>
        <w:rPr>
          <w:rFonts w:eastAsia="Google Sans" w:cs="Google Sans" w:ascii="Google Sans" w:hAnsi="Google Sans"/>
          <w:b/>
          <w:color w:val="434343"/>
          <w:sz w:val="24"/>
          <w:szCs w:val="24"/>
        </w:rPr>
        <w:t>Summary:</w:t>
      </w:r>
      <w:r>
        <w:rPr>
          <w:rFonts w:eastAsia="Google Sans" w:cs="Google Sans" w:ascii="Google Sans" w:hAnsi="Google Sans"/>
          <w:color w:val="434343"/>
          <w:sz w:val="24"/>
          <w:szCs w:val="24"/>
        </w:rPr>
        <w:t xml:space="preserve"> Perform an audit of Botium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pPr>
        <w:pStyle w:val="LOnormal"/>
        <w:rPr>
          <w:rFonts w:ascii="Google Sans" w:hAnsi="Google Sans" w:eastAsia="Google Sans" w:cs="Google Sans"/>
          <w:color w:val="CC0000"/>
          <w:sz w:val="24"/>
          <w:szCs w:val="24"/>
        </w:rPr>
      </w:pPr>
      <w:r>
        <w:rPr/>
        <mc:AlternateContent>
          <mc:Choice Requires="wps">
            <w:drawing>
              <wp:inline distT="0" distB="0" distL="0" distR="0">
                <wp:extent cx="5943600" cy="13970"/>
                <wp:effectExtent l="0" t="0" r="0" b="0"/>
                <wp:docPr id="2" name="Shape2"/>
                <a:graphic xmlns:a="http://schemas.openxmlformats.org/drawingml/2006/main">
                  <a:graphicData uri="http://schemas.microsoft.com/office/word/2010/wordprocessingShape">
                    <wps:wsp>
                      <wps:cNvSpPr/>
                      <wps:spPr>
                        <a:xfrm>
                          <a:off x="0" y="0"/>
                          <a:ext cx="5943600" cy="14040"/>
                        </a:xfrm>
                        <a:prstGeom prst="straightConnector1">
                          <a:avLst/>
                        </a:prstGeom>
                        <a:noFill/>
                        <a:ln w="19050">
                          <a:solidFill>
                            <a:srgbClr val="ffff00"/>
                          </a:solidFill>
                          <a:round/>
                        </a:ln>
                      </wps:spPr>
                      <wps:style>
                        <a:lnRef idx="0"/>
                        <a:fillRef idx="0"/>
                        <a:effectRef idx="0"/>
                        <a:fontRef idx="minor"/>
                      </wps:style>
                      <wps:bodyPr/>
                    </wps:wsp>
                  </a:graphicData>
                </a:graphic>
              </wp:inline>
            </w:drawing>
          </mc:Choice>
          <mc:Fallback>
            <w:pict>
              <v:shape id="shape_0" ID="Shape2" stroked="t" o:allowincell="f" style="position:absolute;margin-left:0pt;margin-top:-1.15pt;width:467.95pt;height:1.05pt;mso-wrap-style:none;v-text-anchor:middle;mso-position-vertical:top" type="_x0000_t32">
                <v:fill o:detectmouseclick="t" on="false"/>
                <v:stroke color="yellow" weight="19080" joinstyle="round" endcap="flat"/>
                <w10:wrap type="square"/>
              </v:shape>
            </w:pict>
          </mc:Fallback>
        </mc:AlternateContent>
      </w:r>
    </w:p>
    <w:p>
      <w:pPr>
        <w:pStyle w:val="Subtitle"/>
        <w:rPr>
          <w:rFonts w:ascii="Google Sans" w:hAnsi="Google Sans" w:eastAsia="Google Sans" w:cs="Google Sans"/>
          <w:color w:val="434343"/>
          <w:sz w:val="24"/>
          <w:szCs w:val="24"/>
        </w:rPr>
      </w:pPr>
      <w:bookmarkStart w:id="2" w:name="_5amnjv9mhbsx"/>
      <w:bookmarkEnd w:id="2"/>
      <w:r>
        <w:rPr>
          <w:rFonts w:eastAsia="Google Sans" w:cs="Google Sans" w:ascii="Google Sans" w:hAnsi="Google Sans"/>
          <w:b/>
          <w:color w:val="434343"/>
          <w:sz w:val="24"/>
          <w:szCs w:val="24"/>
        </w:rPr>
        <w:t xml:space="preserve">Scope: </w:t>
      </w:r>
      <w:r>
        <w:rPr>
          <w:rFonts w:eastAsia="Google Sans" w:cs="Google Sans" w:ascii="Google Sans" w:hAnsi="Google Sans"/>
          <w:color w:val="434343"/>
          <w:sz w:val="24"/>
          <w:szCs w:val="24"/>
        </w:rPr>
        <w:t>(</w:t>
      </w:r>
      <w:r>
        <w:rPr>
          <w:rFonts w:eastAsia="Google Sans" w:cs="Google Sans" w:ascii="Google Sans" w:hAnsi="Google Sans"/>
          <w:i/>
          <w:color w:val="434343"/>
          <w:sz w:val="24"/>
          <w:szCs w:val="24"/>
        </w:rPr>
        <w:t>To understand the audit scope, review the security audit reading. Note that the scope is not constant from audit to audit. However, once the scope of the audit is clearly defined, only items within scope should be audited. In this scenario, the scope is defined as the entire security program at Botium Toys. This means all assets need to be assessed alongside internal processes and procedures</w:t>
      </w:r>
      <w:r>
        <w:rPr>
          <w:rFonts w:eastAsia="Google Sans" w:cs="Google Sans" w:ascii="Google Sans" w:hAnsi="Google Sans"/>
          <w:color w:val="434343"/>
          <w:sz w:val="24"/>
          <w:szCs w:val="24"/>
        </w:rPr>
        <w:t>).</w:t>
      </w:r>
    </w:p>
    <w:p>
      <w:pPr>
        <w:pStyle w:val="LOnormal"/>
        <w:rPr>
          <w:rFonts w:ascii="Google Sans" w:hAnsi="Google Sans" w:eastAsia="Google Sans" w:cs="Google Sans"/>
          <w:sz w:val="24"/>
          <w:szCs w:val="24"/>
        </w:rPr>
      </w:pPr>
      <w:r>
        <w:rPr>
          <w:rFonts w:eastAsia="Google Sans" w:cs="Google Sans" w:ascii="Google Sans" w:hAnsi="Google Sans"/>
          <w:sz w:val="24"/>
          <w:szCs w:val="24"/>
        </w:rPr>
        <w:t>Botium Toys internal IT audit will assess the following:</w:t>
      </w:r>
    </w:p>
    <w:p>
      <w:pPr>
        <w:pStyle w:val="LOnormal"/>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Current user permissions set in the following systems: accounting, end point detection, firewalls, intrusion detection system, security information and event management (SIEM) tool.</w:t>
      </w:r>
    </w:p>
    <w:p>
      <w:pPr>
        <w:pStyle w:val="LOnormal"/>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Current implemented controls in the following systems: accounting, end point detection, firewalls, intrusion detection system, Security Information and Event Management (SIEM) tool.</w:t>
      </w:r>
    </w:p>
    <w:p>
      <w:pPr>
        <w:pStyle w:val="LOnormal"/>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Current procedures and protocols set for the following systems: accounting, end point detection, firewall, intrusion detection system, Security Information and Event Management (SIEM) tool.</w:t>
      </w:r>
    </w:p>
    <w:p>
      <w:pPr>
        <w:pStyle w:val="LOnormal"/>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Ensure current user permissions, controls, procedures, and protocols in place align with necessary compliance requirements.</w:t>
      </w:r>
    </w:p>
    <w:p>
      <w:pPr>
        <w:pStyle w:val="LOnormal"/>
        <w:numPr>
          <w:ilvl w:val="0"/>
          <w:numId w:val="1"/>
        </w:numPr>
        <w:ind w:left="720" w:hanging="360"/>
        <w:rPr>
          <w:rFonts w:ascii="Google Sans" w:hAnsi="Google Sans" w:eastAsia="Google Sans" w:cs="Google Sans"/>
          <w:sz w:val="24"/>
          <w:szCs w:val="24"/>
        </w:rPr>
      </w:pPr>
      <w:r>
        <w:rPr>
          <w:rFonts w:eastAsia="Google Sans" w:cs="Google Sans" w:ascii="Google Sans" w:hAnsi="Google Sans"/>
          <w:sz w:val="24"/>
          <w:szCs w:val="24"/>
        </w:rPr>
        <w:t>Ensure current technology is accounted for. Both hardware and system access.</w:t>
      </w:r>
    </w:p>
    <w:p>
      <w:pPr>
        <w:pStyle w:val="Subtitle"/>
        <w:rPr>
          <w:rFonts w:ascii="Google Sans" w:hAnsi="Google Sans" w:eastAsia="Google Sans" w:cs="Google Sans"/>
          <w:sz w:val="24"/>
          <w:szCs w:val="24"/>
        </w:rPr>
      </w:pPr>
      <w:bookmarkStart w:id="3" w:name="_17mak1awllyh"/>
      <w:bookmarkEnd w:id="3"/>
      <w:r>
        <w:rPr/>
        <mc:AlternateContent>
          <mc:Choice Requires="wps">
            <w:drawing>
              <wp:inline distT="0" distB="0" distL="0" distR="0">
                <wp:extent cx="5943600" cy="14605"/>
                <wp:effectExtent l="0" t="0" r="0" b="0"/>
                <wp:docPr id="3" name="Shape3"/>
                <a:graphic xmlns:a="http://schemas.openxmlformats.org/drawingml/2006/main">
                  <a:graphicData uri="http://schemas.microsoft.com/office/word/2010/wordprocessingShape">
                    <wps:wsp>
                      <wps:cNvSpPr/>
                      <wps:spPr>
                        <a:xfrm>
                          <a:off x="0" y="0"/>
                          <a:ext cx="5943600" cy="14760"/>
                        </a:xfrm>
                        <a:prstGeom prst="straightConnector1">
                          <a:avLst/>
                        </a:prstGeom>
                        <a:noFill/>
                        <a:ln w="19050">
                          <a:solidFill>
                            <a:srgbClr val="00ff00"/>
                          </a:solidFill>
                          <a:round/>
                        </a:ln>
                      </wps:spPr>
                      <wps:style>
                        <a:lnRef idx="0"/>
                        <a:fillRef idx="0"/>
                        <a:effectRef idx="0"/>
                        <a:fontRef idx="minor"/>
                      </wps:style>
                      <wps:bodyPr/>
                    </wps:wsp>
                  </a:graphicData>
                </a:graphic>
              </wp:inline>
            </w:drawing>
          </mc:Choice>
          <mc:Fallback>
            <w:pict>
              <v:shape id="shape_0" ID="Shape3" stroked="t" o:allowincell="f" style="position:absolute;margin-left:0pt;margin-top:-1.2pt;width:467.95pt;height:1.1pt;mso-wrap-style:none;v-text-anchor:middle;mso-position-vertical:top" type="_x0000_t32">
                <v:fill o:detectmouseclick="t" on="false"/>
                <v:stroke color="lime" weight="19080" joinstyle="round" endcap="flat"/>
                <w10:wrap type="square"/>
              </v:shape>
            </w:pict>
          </mc:Fallback>
        </mc:AlternateContent>
      </w:r>
      <w:r>
        <w:rPr>
          <w:rFonts w:eastAsia="Google Sans" w:cs="Google Sans" w:ascii="Google Sans" w:hAnsi="Google Sans"/>
          <w:b/>
          <w:sz w:val="24"/>
          <w:szCs w:val="24"/>
        </w:rPr>
        <w:t xml:space="preserve"> </w:t>
      </w:r>
      <w:r>
        <w:rPr>
          <w:rFonts w:eastAsia="Google Sans" w:cs="Google Sans" w:ascii="Google Sans" w:hAnsi="Google Sans"/>
          <w:sz w:val="24"/>
          <w:szCs w:val="24"/>
        </w:rPr>
        <w:t xml:space="preserve"> </w:t>
      </w:r>
    </w:p>
    <w:p>
      <w:pPr>
        <w:pStyle w:val="Subtitle"/>
        <w:rPr>
          <w:rFonts w:ascii="Google Sans" w:hAnsi="Google Sans" w:eastAsia="Google Sans" w:cs="Google Sans"/>
        </w:rPr>
      </w:pPr>
      <w:bookmarkStart w:id="4" w:name="_7r1tjwtwsswm"/>
      <w:bookmarkEnd w:id="4"/>
      <w:r>
        <w:rPr>
          <w:rFonts w:eastAsia="Google Sans" w:cs="Google Sans" w:ascii="Google Sans" w:hAnsi="Google Sans"/>
          <w:b/>
          <w:sz w:val="24"/>
          <w:szCs w:val="24"/>
        </w:rPr>
        <w:t>Goals:</w:t>
      </w:r>
      <w:r>
        <w:rPr>
          <w:rFonts w:eastAsia="Google Sans" w:cs="Google Sans" w:ascii="Google Sans" w:hAnsi="Google Sans"/>
          <w:sz w:val="24"/>
          <w:szCs w:val="24"/>
        </w:rPr>
        <w:t xml:space="preserve"> (</w:t>
      </w:r>
      <w:r>
        <w:rPr>
          <w:rFonts w:eastAsia="Google Sans" w:cs="Google Sans" w:ascii="Google Sans" w:hAnsi="Google Sans"/>
          <w:i/>
          <w:sz w:val="24"/>
          <w:szCs w:val="24"/>
        </w:rPr>
        <w:t>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of the current security posture of the organization and recommendations for improving the security posture of the organization, as well as justification to hire additional cybersecurity personnel.)</w:t>
      </w:r>
    </w:p>
    <w:p>
      <w:pPr>
        <w:pStyle w:val="LOnormal"/>
        <w:rPr>
          <w:rFonts w:ascii="Google Sans" w:hAnsi="Google Sans" w:eastAsia="Google Sans" w:cs="Google Sans"/>
          <w:sz w:val="24"/>
          <w:szCs w:val="24"/>
        </w:rPr>
      </w:pPr>
      <w:r>
        <w:rPr>
          <w:rFonts w:eastAsia="Google Sans" w:cs="Google Sans" w:ascii="Google Sans" w:hAnsi="Google Sans"/>
          <w:sz w:val="24"/>
          <w:szCs w:val="24"/>
        </w:rPr>
        <w:t>The goals for Botium Toys’ internal IT audit are:</w:t>
      </w:r>
    </w:p>
    <w:p>
      <w:pPr>
        <w:pStyle w:val="LOnormal"/>
        <w:numPr>
          <w:ilvl w:val="0"/>
          <w:numId w:val="2"/>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To adhere to the National Institute of Standards and Technology Cybersecurity Framework (NIST CSF) </w:t>
      </w:r>
    </w:p>
    <w:p>
      <w:pPr>
        <w:pStyle w:val="LOnormal"/>
        <w:numPr>
          <w:ilvl w:val="0"/>
          <w:numId w:val="2"/>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Establish a better process for their systems to ensure they are compliant </w:t>
      </w:r>
    </w:p>
    <w:p>
      <w:pPr>
        <w:pStyle w:val="LOnormal"/>
        <w:numPr>
          <w:ilvl w:val="0"/>
          <w:numId w:val="2"/>
        </w:numPr>
        <w:ind w:left="720" w:hanging="360"/>
        <w:rPr>
          <w:rFonts w:ascii="Google Sans" w:hAnsi="Google Sans" w:eastAsia="Google Sans" w:cs="Google Sans"/>
          <w:sz w:val="24"/>
          <w:szCs w:val="24"/>
        </w:rPr>
      </w:pPr>
      <w:r>
        <w:rPr>
          <w:rFonts w:eastAsia="Google Sans" w:cs="Google Sans" w:ascii="Google Sans" w:hAnsi="Google Sans"/>
          <w:sz w:val="24"/>
          <w:szCs w:val="24"/>
        </w:rPr>
        <w:t>Fortify system controls</w:t>
      </w:r>
    </w:p>
    <w:p>
      <w:pPr>
        <w:pStyle w:val="LOnormal"/>
        <w:numPr>
          <w:ilvl w:val="0"/>
          <w:numId w:val="2"/>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Implement the concept of least permissions when it comes to user credential management </w:t>
      </w:r>
    </w:p>
    <w:p>
      <w:pPr>
        <w:pStyle w:val="LOnormal"/>
        <w:numPr>
          <w:ilvl w:val="0"/>
          <w:numId w:val="2"/>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Establish their policies and procedures, which includes their playbooks </w:t>
      </w:r>
    </w:p>
    <w:p>
      <w:pPr>
        <w:pStyle w:val="LOnormal"/>
        <w:numPr>
          <w:ilvl w:val="0"/>
          <w:numId w:val="2"/>
        </w:numPr>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Ensure they are meeting compliance requirements </w:t>
      </w:r>
    </w:p>
    <w:p>
      <w:pPr>
        <w:pStyle w:val="LOnormal"/>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ascii="Source Sans Pro;Arial;sans-serif" w:hAnsi="Source Sans Pro;Arial;sans-serif"/>
          <w:b/>
          <w:bCs/>
          <w:i w:val="false"/>
          <w:caps w:val="false"/>
          <w:smallCaps w:val="false"/>
          <w:color w:val="1F1F1F"/>
          <w:spacing w:val="0"/>
          <w:sz w:val="24"/>
        </w:rPr>
        <w:t>Controls assessment.</w:t>
      </w:r>
      <w:r>
        <w:rPr/>
        <w:br/>
        <w:br/>
      </w:r>
    </w:p>
    <w:tbl>
      <w:tblPr>
        <w:tblW w:w="9360" w:type="dxa"/>
        <w:jc w:val="left"/>
        <w:tblInd w:w="0" w:type="dxa"/>
        <w:tblLayout w:type="fixed"/>
        <w:tblCellMar>
          <w:top w:w="28" w:type="dxa"/>
          <w:left w:w="0" w:type="dxa"/>
          <w:bottom w:w="28" w:type="dxa"/>
          <w:right w:w="0" w:type="dxa"/>
        </w:tblCellMar>
      </w:tblPr>
      <w:tblGrid>
        <w:gridCol w:w="1768"/>
        <w:gridCol w:w="1357"/>
        <w:gridCol w:w="3480"/>
        <w:gridCol w:w="1828"/>
        <w:gridCol w:w="927"/>
      </w:tblGrid>
      <w:tr>
        <w:trPr>
          <w:tblHeader w:val="true"/>
        </w:trPr>
        <w:tc>
          <w:tcPr>
            <w:tcW w:w="1768" w:type="dxa"/>
            <w:tcBorders>
              <w:top w:val="single" w:sz="6" w:space="0" w:color="D9D9E3"/>
              <w:bottom w:val="single" w:sz="6" w:space="0" w:color="D9D9E3"/>
            </w:tcBorders>
            <w:vAlign w:val="center"/>
          </w:tcPr>
          <w:p>
            <w:pPr>
              <w:pStyle w:val="TableHeading"/>
              <w:widowControl w:val="false"/>
              <w:rPr/>
            </w:pPr>
            <w:r>
              <w:rPr/>
              <w:t>Control Name</w:t>
            </w:r>
          </w:p>
        </w:tc>
        <w:tc>
          <w:tcPr>
            <w:tcW w:w="1357" w:type="dxa"/>
            <w:tcBorders>
              <w:top w:val="single" w:sz="6" w:space="0" w:color="D9D9E3"/>
              <w:bottom w:val="single" w:sz="6" w:space="0" w:color="D9D9E3"/>
            </w:tcBorders>
            <w:vAlign w:val="center"/>
          </w:tcPr>
          <w:p>
            <w:pPr>
              <w:pStyle w:val="TableHeading"/>
              <w:widowControl w:val="false"/>
              <w:rPr/>
            </w:pPr>
            <w:r>
              <w:rPr/>
              <w:t>Control Type</w:t>
            </w:r>
          </w:p>
        </w:tc>
        <w:tc>
          <w:tcPr>
            <w:tcW w:w="3480" w:type="dxa"/>
            <w:tcBorders>
              <w:top w:val="single" w:sz="6" w:space="0" w:color="D9D9E3"/>
              <w:bottom w:val="single" w:sz="6" w:space="0" w:color="D9D9E3"/>
            </w:tcBorders>
            <w:vAlign w:val="center"/>
          </w:tcPr>
          <w:p>
            <w:pPr>
              <w:pStyle w:val="TableHeading"/>
              <w:widowControl w:val="false"/>
              <w:rPr/>
            </w:pPr>
            <w:r>
              <w:rPr/>
              <w:t>Explanation</w:t>
            </w:r>
          </w:p>
        </w:tc>
        <w:tc>
          <w:tcPr>
            <w:tcW w:w="1828" w:type="dxa"/>
            <w:tcBorders>
              <w:top w:val="single" w:sz="6" w:space="0" w:color="D9D9E3"/>
              <w:bottom w:val="single" w:sz="6" w:space="0" w:color="D9D9E3"/>
            </w:tcBorders>
            <w:vAlign w:val="center"/>
          </w:tcPr>
          <w:p>
            <w:pPr>
              <w:pStyle w:val="TableHeading"/>
              <w:widowControl w:val="false"/>
              <w:rPr/>
            </w:pPr>
            <w:r>
              <w:rPr/>
              <w:t>Needs to be Implemented (X)</w:t>
            </w:r>
          </w:p>
        </w:tc>
        <w:tc>
          <w:tcPr>
            <w:tcW w:w="927"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widowControl w:val="false"/>
              <w:rPr/>
            </w:pPr>
            <w:r>
              <w:rPr/>
              <w:t>Priority</w:t>
            </w:r>
          </w:p>
        </w:tc>
      </w:tr>
      <w:tr>
        <w:trPr/>
        <w:tc>
          <w:tcPr>
            <w:tcW w:w="1768" w:type="dxa"/>
            <w:tcBorders>
              <w:bottom w:val="single" w:sz="6" w:space="0" w:color="D9D9E3"/>
            </w:tcBorders>
            <w:tcMar>
              <w:top w:w="0" w:type="dxa"/>
            </w:tcMar>
            <w:vAlign w:val="center"/>
          </w:tcPr>
          <w:p>
            <w:pPr>
              <w:pStyle w:val="TableContents"/>
              <w:widowControl w:val="false"/>
              <w:rPr/>
            </w:pPr>
            <w:r>
              <w:rPr/>
              <w:t>Least Privilege</w:t>
            </w:r>
          </w:p>
        </w:tc>
        <w:tc>
          <w:tcPr>
            <w:tcW w:w="1357" w:type="dxa"/>
            <w:tcBorders>
              <w:bottom w:val="single" w:sz="6" w:space="0" w:color="D9D9E3"/>
            </w:tcBorders>
            <w:tcMar>
              <w:top w:w="0" w:type="dxa"/>
            </w:tcMar>
            <w:vAlign w:val="center"/>
          </w:tcPr>
          <w:p>
            <w:pPr>
              <w:pStyle w:val="TableContents"/>
              <w:widowControl w:val="false"/>
              <w:rPr/>
            </w:pPr>
            <w:r>
              <w:rPr/>
              <w:t>Preventative</w:t>
            </w:r>
          </w:p>
        </w:tc>
        <w:tc>
          <w:tcPr>
            <w:tcW w:w="3480" w:type="dxa"/>
            <w:tcBorders>
              <w:bottom w:val="single" w:sz="6" w:space="0" w:color="D9D9E3"/>
            </w:tcBorders>
            <w:tcMar>
              <w:top w:w="0" w:type="dxa"/>
            </w:tcMar>
            <w:vAlign w:val="center"/>
          </w:tcPr>
          <w:p>
            <w:pPr>
              <w:pStyle w:val="TableContents"/>
              <w:widowControl w:val="false"/>
              <w:rPr/>
            </w:pPr>
            <w:r>
              <w:rPr/>
              <w:t>Reduces risk by ensuring vendors and non-authorized staff only have access to necessary assets/data.</w:t>
            </w:r>
          </w:p>
        </w:tc>
        <w:tc>
          <w:tcPr>
            <w:tcW w:w="1828" w:type="dxa"/>
            <w:tcBorders>
              <w:bottom w:val="single" w:sz="6" w:space="0" w:color="D9D9E3"/>
            </w:tcBorders>
            <w:tcMar>
              <w:top w:w="0" w:type="dxa"/>
            </w:tcMar>
            <w:vAlign w:val="center"/>
          </w:tcPr>
          <w:p>
            <w:pPr>
              <w:pStyle w:val="TableContents"/>
              <w:widowControl w:val="false"/>
              <w:rPr/>
            </w:pPr>
            <w:r>
              <w:rPr/>
              <w:t>X</w:t>
            </w:r>
          </w:p>
        </w:tc>
        <w:tc>
          <w:tcPr>
            <w:tcW w:w="927" w:type="dxa"/>
            <w:tcBorders>
              <w:bottom w:val="single" w:sz="6" w:space="0" w:color="D9D9E3"/>
              <w:right w:val="single" w:sz="6" w:space="0" w:color="D9D9E3"/>
            </w:tcBorders>
            <w:tcMar>
              <w:top w:w="0" w:type="dxa"/>
              <w:right w:w="28" w:type="dxa"/>
            </w:tcMar>
            <w:vAlign w:val="center"/>
          </w:tcPr>
          <w:p>
            <w:pPr>
              <w:pStyle w:val="TableContents"/>
              <w:widowControl w:val="false"/>
              <w:rPr/>
            </w:pPr>
            <w:r>
              <w:rPr/>
              <w:t>High</w:t>
            </w:r>
          </w:p>
        </w:tc>
      </w:tr>
      <w:tr>
        <w:trPr/>
        <w:tc>
          <w:tcPr>
            <w:tcW w:w="1768" w:type="dxa"/>
            <w:tcBorders>
              <w:bottom w:val="single" w:sz="6" w:space="0" w:color="D9D9E3"/>
            </w:tcBorders>
            <w:tcMar>
              <w:top w:w="0" w:type="dxa"/>
            </w:tcMar>
            <w:vAlign w:val="center"/>
          </w:tcPr>
          <w:p>
            <w:pPr>
              <w:pStyle w:val="TableContents"/>
              <w:widowControl w:val="false"/>
              <w:rPr/>
            </w:pPr>
            <w:r>
              <w:rPr/>
              <w:t>Disaster Recovery Plans</w:t>
            </w:r>
          </w:p>
        </w:tc>
        <w:tc>
          <w:tcPr>
            <w:tcW w:w="1357" w:type="dxa"/>
            <w:tcBorders>
              <w:bottom w:val="single" w:sz="6" w:space="0" w:color="D9D9E3"/>
            </w:tcBorders>
            <w:tcMar>
              <w:top w:w="0" w:type="dxa"/>
            </w:tcMar>
            <w:vAlign w:val="center"/>
          </w:tcPr>
          <w:p>
            <w:pPr>
              <w:pStyle w:val="TableContents"/>
              <w:widowControl w:val="false"/>
              <w:rPr/>
            </w:pPr>
            <w:r>
              <w:rPr/>
              <w:t>Corrective</w:t>
            </w:r>
          </w:p>
        </w:tc>
        <w:tc>
          <w:tcPr>
            <w:tcW w:w="3480" w:type="dxa"/>
            <w:tcBorders>
              <w:bottom w:val="single" w:sz="6" w:space="0" w:color="D9D9E3"/>
            </w:tcBorders>
            <w:tcMar>
              <w:top w:w="0" w:type="dxa"/>
            </w:tcMar>
            <w:vAlign w:val="center"/>
          </w:tcPr>
          <w:p>
            <w:pPr>
              <w:pStyle w:val="TableContents"/>
              <w:widowControl w:val="false"/>
              <w:rPr/>
            </w:pPr>
            <w:r>
              <w:rPr/>
              <w:t>Ensures business continuity and limited downtime in case of incidents.</w:t>
            </w:r>
          </w:p>
        </w:tc>
        <w:tc>
          <w:tcPr>
            <w:tcW w:w="1828" w:type="dxa"/>
            <w:tcBorders>
              <w:bottom w:val="single" w:sz="6" w:space="0" w:color="D9D9E3"/>
            </w:tcBorders>
            <w:tcMar>
              <w:top w:w="0" w:type="dxa"/>
            </w:tcMar>
            <w:vAlign w:val="center"/>
          </w:tcPr>
          <w:p>
            <w:pPr>
              <w:pStyle w:val="TableContents"/>
              <w:widowControl w:val="false"/>
              <w:rPr/>
            </w:pPr>
            <w:r>
              <w:rPr/>
              <w:t>X</w:t>
            </w:r>
          </w:p>
        </w:tc>
        <w:tc>
          <w:tcPr>
            <w:tcW w:w="927" w:type="dxa"/>
            <w:tcBorders>
              <w:bottom w:val="single" w:sz="6" w:space="0" w:color="D9D9E3"/>
              <w:right w:val="single" w:sz="6" w:space="0" w:color="D9D9E3"/>
            </w:tcBorders>
            <w:tcMar>
              <w:top w:w="0" w:type="dxa"/>
              <w:right w:w="28" w:type="dxa"/>
            </w:tcMar>
            <w:vAlign w:val="center"/>
          </w:tcPr>
          <w:p>
            <w:pPr>
              <w:pStyle w:val="TableContents"/>
              <w:widowControl w:val="false"/>
              <w:rPr/>
            </w:pPr>
            <w:r>
              <w:rPr/>
              <w:t>High</w:t>
            </w:r>
          </w:p>
        </w:tc>
      </w:tr>
      <w:tr>
        <w:trPr/>
        <w:tc>
          <w:tcPr>
            <w:tcW w:w="1768" w:type="dxa"/>
            <w:tcBorders>
              <w:bottom w:val="single" w:sz="6" w:space="0" w:color="D9D9E3"/>
            </w:tcBorders>
            <w:tcMar>
              <w:top w:w="0" w:type="dxa"/>
            </w:tcMar>
            <w:vAlign w:val="center"/>
          </w:tcPr>
          <w:p>
            <w:pPr>
              <w:pStyle w:val="TableContents"/>
              <w:widowControl w:val="false"/>
              <w:rPr/>
            </w:pPr>
            <w:r>
              <w:rPr/>
              <w:t>Password Policies</w:t>
            </w:r>
          </w:p>
        </w:tc>
        <w:tc>
          <w:tcPr>
            <w:tcW w:w="1357" w:type="dxa"/>
            <w:tcBorders>
              <w:bottom w:val="single" w:sz="6" w:space="0" w:color="D9D9E3"/>
            </w:tcBorders>
            <w:tcMar>
              <w:top w:w="0" w:type="dxa"/>
            </w:tcMar>
            <w:vAlign w:val="center"/>
          </w:tcPr>
          <w:p>
            <w:pPr>
              <w:pStyle w:val="TableContents"/>
              <w:widowControl w:val="false"/>
              <w:rPr/>
            </w:pPr>
            <w:r>
              <w:rPr/>
              <w:t>Preventative</w:t>
            </w:r>
          </w:p>
        </w:tc>
        <w:tc>
          <w:tcPr>
            <w:tcW w:w="3480" w:type="dxa"/>
            <w:tcBorders>
              <w:bottom w:val="single" w:sz="6" w:space="0" w:color="D9D9E3"/>
            </w:tcBorders>
            <w:tcMar>
              <w:top w:w="0" w:type="dxa"/>
            </w:tcMar>
            <w:vAlign w:val="center"/>
          </w:tcPr>
          <w:p>
            <w:pPr>
              <w:pStyle w:val="TableContents"/>
              <w:widowControl w:val="false"/>
              <w:rPr/>
            </w:pPr>
            <w:r>
              <w:rPr/>
              <w:t>Establishes password rules to enhance security and reduce account compromise risk.</w:t>
            </w:r>
          </w:p>
        </w:tc>
        <w:tc>
          <w:tcPr>
            <w:tcW w:w="1828" w:type="dxa"/>
            <w:tcBorders>
              <w:bottom w:val="single" w:sz="6" w:space="0" w:color="D9D9E3"/>
            </w:tcBorders>
            <w:tcMar>
              <w:top w:w="0" w:type="dxa"/>
            </w:tcMar>
            <w:vAlign w:val="center"/>
          </w:tcPr>
          <w:p>
            <w:pPr>
              <w:pStyle w:val="TableContents"/>
              <w:widowControl w:val="false"/>
              <w:rPr/>
            </w:pPr>
            <w:r>
              <w:rPr/>
              <w:t>X</w:t>
            </w:r>
          </w:p>
        </w:tc>
        <w:tc>
          <w:tcPr>
            <w:tcW w:w="927" w:type="dxa"/>
            <w:tcBorders>
              <w:bottom w:val="single" w:sz="6" w:space="0" w:color="D9D9E3"/>
              <w:right w:val="single" w:sz="6" w:space="0" w:color="D9D9E3"/>
            </w:tcBorders>
            <w:tcMar>
              <w:top w:w="0" w:type="dxa"/>
              <w:right w:w="28" w:type="dxa"/>
            </w:tcMar>
            <w:vAlign w:val="center"/>
          </w:tcPr>
          <w:p>
            <w:pPr>
              <w:pStyle w:val="TableContents"/>
              <w:widowControl w:val="false"/>
              <w:rPr/>
            </w:pPr>
            <w:r>
              <w:rPr/>
              <w:t>Medium</w:t>
            </w:r>
          </w:p>
        </w:tc>
      </w:tr>
      <w:tr>
        <w:trPr/>
        <w:tc>
          <w:tcPr>
            <w:tcW w:w="1768" w:type="dxa"/>
            <w:tcBorders>
              <w:bottom w:val="single" w:sz="6" w:space="0" w:color="D9D9E3"/>
            </w:tcBorders>
            <w:tcMar>
              <w:top w:w="0" w:type="dxa"/>
            </w:tcMar>
            <w:vAlign w:val="center"/>
          </w:tcPr>
          <w:p>
            <w:pPr>
              <w:pStyle w:val="TableContents"/>
              <w:widowControl w:val="false"/>
              <w:rPr/>
            </w:pPr>
            <w:r>
              <w:rPr/>
              <w:t>Access Control Policies</w:t>
            </w:r>
          </w:p>
        </w:tc>
        <w:tc>
          <w:tcPr>
            <w:tcW w:w="1357" w:type="dxa"/>
            <w:tcBorders>
              <w:bottom w:val="single" w:sz="6" w:space="0" w:color="D9D9E3"/>
            </w:tcBorders>
            <w:tcMar>
              <w:top w:w="0" w:type="dxa"/>
            </w:tcMar>
            <w:vAlign w:val="center"/>
          </w:tcPr>
          <w:p>
            <w:pPr>
              <w:pStyle w:val="TableContents"/>
              <w:widowControl w:val="false"/>
              <w:rPr/>
            </w:pPr>
            <w:r>
              <w:rPr/>
              <w:t>Preventative</w:t>
            </w:r>
          </w:p>
        </w:tc>
        <w:tc>
          <w:tcPr>
            <w:tcW w:w="3480" w:type="dxa"/>
            <w:tcBorders>
              <w:bottom w:val="single" w:sz="6" w:space="0" w:color="D9D9E3"/>
            </w:tcBorders>
            <w:tcMar>
              <w:top w:w="0" w:type="dxa"/>
            </w:tcMar>
            <w:vAlign w:val="center"/>
          </w:tcPr>
          <w:p>
            <w:pPr>
              <w:pStyle w:val="TableContents"/>
              <w:widowControl w:val="false"/>
              <w:rPr/>
            </w:pPr>
            <w:r>
              <w:rPr/>
              <w:t>Increases data confidentiality and integrity.</w:t>
            </w:r>
          </w:p>
        </w:tc>
        <w:tc>
          <w:tcPr>
            <w:tcW w:w="1828" w:type="dxa"/>
            <w:tcBorders>
              <w:bottom w:val="single" w:sz="6" w:space="0" w:color="D9D9E3"/>
            </w:tcBorders>
            <w:tcMar>
              <w:top w:w="0" w:type="dxa"/>
            </w:tcMar>
            <w:vAlign w:val="center"/>
          </w:tcPr>
          <w:p>
            <w:pPr>
              <w:pStyle w:val="TableContents"/>
              <w:widowControl w:val="false"/>
              <w:rPr/>
            </w:pPr>
            <w:r>
              <w:rPr/>
              <w:t>X</w:t>
            </w:r>
          </w:p>
        </w:tc>
        <w:tc>
          <w:tcPr>
            <w:tcW w:w="927" w:type="dxa"/>
            <w:tcBorders>
              <w:bottom w:val="single" w:sz="6" w:space="0" w:color="D9D9E3"/>
              <w:right w:val="single" w:sz="6" w:space="0" w:color="D9D9E3"/>
            </w:tcBorders>
            <w:tcMar>
              <w:top w:w="0" w:type="dxa"/>
              <w:right w:w="28" w:type="dxa"/>
            </w:tcMar>
            <w:vAlign w:val="center"/>
          </w:tcPr>
          <w:p>
            <w:pPr>
              <w:pStyle w:val="TableContents"/>
              <w:widowControl w:val="false"/>
              <w:rPr/>
            </w:pPr>
            <w:r>
              <w:rPr/>
              <w:t>Medium</w:t>
            </w:r>
          </w:p>
        </w:tc>
      </w:tr>
      <w:tr>
        <w:trPr/>
        <w:tc>
          <w:tcPr>
            <w:tcW w:w="1768" w:type="dxa"/>
            <w:tcBorders>
              <w:bottom w:val="single" w:sz="6" w:space="0" w:color="D9D9E3"/>
            </w:tcBorders>
            <w:tcMar>
              <w:top w:w="0" w:type="dxa"/>
            </w:tcMar>
            <w:vAlign w:val="center"/>
          </w:tcPr>
          <w:p>
            <w:pPr>
              <w:pStyle w:val="TableContents"/>
              <w:widowControl w:val="false"/>
              <w:rPr/>
            </w:pPr>
            <w:r>
              <w:rPr/>
              <w:t>Account Management Policies</w:t>
            </w:r>
          </w:p>
        </w:tc>
        <w:tc>
          <w:tcPr>
            <w:tcW w:w="1357" w:type="dxa"/>
            <w:tcBorders>
              <w:bottom w:val="single" w:sz="6" w:space="0" w:color="D9D9E3"/>
            </w:tcBorders>
            <w:tcMar>
              <w:top w:w="0" w:type="dxa"/>
            </w:tcMar>
            <w:vAlign w:val="center"/>
          </w:tcPr>
          <w:p>
            <w:pPr>
              <w:pStyle w:val="TableContents"/>
              <w:widowControl w:val="false"/>
              <w:rPr/>
            </w:pPr>
            <w:r>
              <w:rPr/>
              <w:t>Preventative</w:t>
            </w:r>
          </w:p>
        </w:tc>
        <w:tc>
          <w:tcPr>
            <w:tcW w:w="3480" w:type="dxa"/>
            <w:tcBorders>
              <w:bottom w:val="single" w:sz="6" w:space="0" w:color="D9D9E3"/>
            </w:tcBorders>
            <w:tcMar>
              <w:top w:w="0" w:type="dxa"/>
            </w:tcMar>
            <w:vAlign w:val="center"/>
          </w:tcPr>
          <w:p>
            <w:pPr>
              <w:pStyle w:val="TableContents"/>
              <w:widowControl w:val="false"/>
              <w:rPr/>
            </w:pPr>
            <w:r>
              <w:rPr/>
              <w:t>Reduces attack surface and limits impact from disgruntled/former employees.</w:t>
            </w:r>
          </w:p>
        </w:tc>
        <w:tc>
          <w:tcPr>
            <w:tcW w:w="1828" w:type="dxa"/>
            <w:tcBorders>
              <w:bottom w:val="single" w:sz="6" w:space="0" w:color="D9D9E3"/>
            </w:tcBorders>
            <w:tcMar>
              <w:top w:w="0" w:type="dxa"/>
            </w:tcMar>
            <w:vAlign w:val="center"/>
          </w:tcPr>
          <w:p>
            <w:pPr>
              <w:pStyle w:val="TableContents"/>
              <w:widowControl w:val="false"/>
              <w:rPr/>
            </w:pPr>
            <w:r>
              <w:rPr/>
              <w:t>X</w:t>
            </w:r>
          </w:p>
        </w:tc>
        <w:tc>
          <w:tcPr>
            <w:tcW w:w="927" w:type="dxa"/>
            <w:tcBorders>
              <w:bottom w:val="single" w:sz="6" w:space="0" w:color="D9D9E3"/>
              <w:right w:val="single" w:sz="6" w:space="0" w:color="D9D9E3"/>
            </w:tcBorders>
            <w:tcMar>
              <w:top w:w="0" w:type="dxa"/>
              <w:right w:w="28" w:type="dxa"/>
            </w:tcMar>
            <w:vAlign w:val="center"/>
          </w:tcPr>
          <w:p>
            <w:pPr>
              <w:pStyle w:val="TableContents"/>
              <w:widowControl w:val="false"/>
              <w:rPr/>
            </w:pPr>
            <w:r>
              <w:rPr/>
              <w:t>Medium</w:t>
            </w:r>
          </w:p>
        </w:tc>
      </w:tr>
      <w:tr>
        <w:trPr/>
        <w:tc>
          <w:tcPr>
            <w:tcW w:w="1768" w:type="dxa"/>
            <w:tcBorders>
              <w:bottom w:val="single" w:sz="6" w:space="0" w:color="D9D9E3"/>
            </w:tcBorders>
            <w:tcMar>
              <w:top w:w="0" w:type="dxa"/>
            </w:tcMar>
            <w:vAlign w:val="center"/>
          </w:tcPr>
          <w:p>
            <w:pPr>
              <w:pStyle w:val="TableContents"/>
              <w:widowControl w:val="false"/>
              <w:rPr/>
            </w:pPr>
            <w:r>
              <w:rPr/>
              <w:t>Separation of Duties</w:t>
            </w:r>
          </w:p>
        </w:tc>
        <w:tc>
          <w:tcPr>
            <w:tcW w:w="1357" w:type="dxa"/>
            <w:tcBorders>
              <w:bottom w:val="single" w:sz="6" w:space="0" w:color="D9D9E3"/>
            </w:tcBorders>
            <w:tcMar>
              <w:top w:w="0" w:type="dxa"/>
            </w:tcMar>
            <w:vAlign w:val="center"/>
          </w:tcPr>
          <w:p>
            <w:pPr>
              <w:pStyle w:val="TableContents"/>
              <w:widowControl w:val="false"/>
              <w:rPr/>
            </w:pPr>
            <w:r>
              <w:rPr/>
              <w:t>Preventative</w:t>
            </w:r>
          </w:p>
        </w:tc>
        <w:tc>
          <w:tcPr>
            <w:tcW w:w="3480" w:type="dxa"/>
            <w:tcBorders>
              <w:bottom w:val="single" w:sz="6" w:space="0" w:color="D9D9E3"/>
            </w:tcBorders>
            <w:tcMar>
              <w:top w:w="0" w:type="dxa"/>
            </w:tcMar>
            <w:vAlign w:val="center"/>
          </w:tcPr>
          <w:p>
            <w:pPr>
              <w:pStyle w:val="TableContents"/>
              <w:widowControl w:val="false"/>
              <w:rPr/>
            </w:pPr>
            <w:r>
              <w:rPr/>
              <w:t>Prevents abuse by ensuring no individual has excessive access.</w:t>
            </w:r>
          </w:p>
        </w:tc>
        <w:tc>
          <w:tcPr>
            <w:tcW w:w="1828" w:type="dxa"/>
            <w:tcBorders>
              <w:bottom w:val="single" w:sz="6" w:space="0" w:color="D9D9E3"/>
            </w:tcBorders>
            <w:tcMar>
              <w:top w:w="0" w:type="dxa"/>
            </w:tcMar>
            <w:vAlign w:val="center"/>
          </w:tcPr>
          <w:p>
            <w:pPr>
              <w:pStyle w:val="TableContents"/>
              <w:widowControl w:val="false"/>
              <w:rPr/>
            </w:pPr>
            <w:r>
              <w:rPr/>
              <w:t>X</w:t>
            </w:r>
          </w:p>
        </w:tc>
        <w:tc>
          <w:tcPr>
            <w:tcW w:w="927" w:type="dxa"/>
            <w:tcBorders>
              <w:bottom w:val="single" w:sz="6" w:space="0" w:color="D9D9E3"/>
              <w:right w:val="single" w:sz="6" w:space="0" w:color="D9D9E3"/>
            </w:tcBorders>
            <w:tcMar>
              <w:top w:w="0" w:type="dxa"/>
              <w:right w:w="28" w:type="dxa"/>
            </w:tcMar>
            <w:vAlign w:val="center"/>
          </w:tcPr>
          <w:p>
            <w:pPr>
              <w:pStyle w:val="TableContents"/>
              <w:widowControl w:val="false"/>
              <w:rPr/>
            </w:pPr>
            <w:r>
              <w:rPr/>
              <w:t>Medium</w:t>
            </w:r>
          </w:p>
        </w:tc>
      </w:tr>
    </w:tbl>
    <w:p>
      <w:pPr>
        <w:pStyle w:val="TextBody"/>
        <w:rPr>
          <w:rFonts w:ascii="Google Sans" w:hAnsi="Google Sans" w:eastAsia="Google Sans" w:cs="Google Sans"/>
        </w:rPr>
      </w:pPr>
      <w:r>
        <w:rPr/>
        <w:br/>
      </w:r>
    </w:p>
    <w:p>
      <w:pPr>
        <w:pStyle w:val="TextBody"/>
        <w:rPr>
          <w:rFonts w:ascii="Google Sans" w:hAnsi="Google Sans" w:eastAsia="Google Sans" w:cs="Google Sans"/>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After reviewing the audit scope, goals, and risk assessment, let's address the provided questions:</w:t>
        <w:br/>
      </w:r>
      <w:r>
        <w:rPr>
          <w:rStyle w:val="StrongEmphasis"/>
        </w:rPr>
        <w:t>What are the biggest risks to the organization?</w:t>
        <w:br/>
      </w:r>
    </w:p>
    <w:p>
      <w:pPr>
        <w:pStyle w:val="TextBody"/>
        <w:rPr/>
      </w:pPr>
      <w:r>
        <w:rPr>
          <w:rStyle w:val="StrongEmphasis"/>
          <w:b w:val="false"/>
          <w:bCs w:val="false"/>
        </w:rPr>
        <w:t>Data Breaches:</w:t>
      </w:r>
    </w:p>
    <w:p>
      <w:pPr>
        <w:pStyle w:val="TextBody"/>
        <w:rPr/>
      </w:pPr>
      <w:r>
        <w:rPr>
          <w:rStyle w:val="StrongEmphasis"/>
          <w:b w:val="false"/>
          <w:bCs w:val="false"/>
        </w:rPr>
        <w:t>Regulatory Non-Compliance</w:t>
      </w:r>
    </w:p>
    <w:p>
      <w:pPr>
        <w:pStyle w:val="TextBody"/>
        <w:rPr/>
      </w:pPr>
      <w:r>
        <w:rPr>
          <w:rStyle w:val="StrongEmphasis"/>
          <w:b w:val="false"/>
          <w:bCs w:val="false"/>
        </w:rPr>
        <w:t>Infrastructure Vulnerabilities</w:t>
      </w:r>
    </w:p>
    <w:p>
      <w:pPr>
        <w:pStyle w:val="TextBody"/>
        <w:rPr>
          <w:rFonts w:ascii="Google Sans" w:hAnsi="Google Sans" w:eastAsia="Google Sans" w:cs="Google Sans"/>
        </w:rPr>
      </w:pPr>
      <w:r>
        <w:rPr>
          <w:rStyle w:val="StrongEmphasis"/>
        </w:rPr>
        <w:t>Which controls are most essential to implement immediately versus in the future?</w:t>
      </w:r>
    </w:p>
    <w:p>
      <w:pPr>
        <w:pStyle w:val="TextBody"/>
        <w:rPr/>
      </w:pPr>
      <w:r>
        <w:rPr>
          <w:rStyle w:val="StrongEmphasis"/>
          <w:b w:val="false"/>
          <w:bCs w:val="false"/>
        </w:rPr>
        <w:t>Access Controls</w:t>
      </w:r>
    </w:p>
    <w:p>
      <w:pPr>
        <w:pStyle w:val="TextBody"/>
        <w:rPr/>
      </w:pPr>
      <w:r>
        <w:rPr>
          <w:rStyle w:val="StrongEmphasis"/>
          <w:b w:val="false"/>
          <w:bCs w:val="false"/>
        </w:rPr>
        <w:t>Patch Management</w:t>
      </w:r>
    </w:p>
    <w:p>
      <w:pPr>
        <w:pStyle w:val="TextBody"/>
        <w:rPr/>
      </w:pPr>
      <w:r>
        <w:rPr>
          <w:rStyle w:val="StrongEmphasis"/>
          <w:b w:val="false"/>
          <w:bCs w:val="false"/>
        </w:rPr>
        <w:t>Network Security</w:t>
      </w:r>
    </w:p>
    <w:p>
      <w:pPr>
        <w:pStyle w:val="TextBody"/>
        <w:spacing w:before="0" w:after="140"/>
        <w:rPr>
          <w:rFonts w:ascii="Google Sans" w:hAnsi="Google Sans" w:eastAsia="Google Sans" w:cs="Google Sans"/>
        </w:rPr>
      </w:pPr>
      <w:r>
        <w:rPr>
          <w:rStyle w:val="StrongEmphasis"/>
        </w:rPr>
        <w:t>Which compliance regulations does Botium Toys need to adhere to, to ensure the company keeps customer and vendor data safe, avoids fines, etc.?</w:t>
      </w:r>
      <w:r>
        <w:rPr>
          <w:rStyle w:val="StrongEmphasis"/>
          <w:caps w:val="false"/>
          <w:smallCaps w:val="false"/>
          <w:color w:val="374151"/>
          <w:spacing w:val="0"/>
        </w:rPr>
        <w:t xml:space="preserve"> </w:t>
      </w:r>
      <w:r>
        <w:rPr>
          <w:rStyle w:val="StrongEmphasis"/>
        </w:rPr>
        <w:br/>
      </w:r>
      <w:r>
        <w:rPr>
          <w:rStyle w:val="StrongEmphasis"/>
          <w:b w:val="false"/>
          <w:bCs w:val="false"/>
        </w:rPr>
        <w:t>They should safeguard the CIA from threat, risk and vulberability. They should follow the frameworks guidelines.</w:t>
      </w:r>
      <w:r>
        <w:rPr>
          <w:rStyle w:val="StrongEmphasis"/>
        </w:rPr>
        <w:br/>
      </w:r>
      <w:r>
        <w:rPr>
          <w:rStyle w:val="StrongEmphasis"/>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br/>
      </w:r>
      <w:r>
        <w:rPr>
          <w:rStyle w:val="StrongEmphasis"/>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color w:val="374151"/>
          <w:spacing w:val="0"/>
          <w:sz w:val="24"/>
        </w:rPr>
        <w:t>Audit Scope and Goals</w:t>
      </w:r>
      <w:r>
        <w:rPr>
          <w:rStyle w:val="StrongEmphasis"/>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Google Sans" w:hAnsi="Google Sans" w:eastAsia="Google Sans" w:cs="Google Sans"/>
        </w:rPr>
      </w:pPr>
      <w:r>
        <w:rPr/>
        <w:t>The audit's scope is focused on Botium Toys' entire security program, including user permissions, controls, procedures, protocols, compliance alignment, and technology.</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Google Sans" w:hAnsi="Google Sans" w:eastAsia="Google Sans" w:cs="Google Sans"/>
        </w:rPr>
      </w:pPr>
      <w:r>
        <w:rPr/>
        <w:t>Goals of the audit include adhering to the NIST CSF, establishing compliance processes, fortifying system controls, implementing least privilege access, defining policies and procedures, and ensuring compliance requirements are met.</w:t>
      </w:r>
    </w:p>
    <w:p>
      <w:pPr>
        <w:pStyle w:val="TextBody"/>
        <w:pBdr>
          <w:top w:val="single" w:sz="2" w:space="1" w:color="D9D9E3"/>
          <w:left w:val="single" w:sz="2" w:space="1" w:color="D9D9E3"/>
          <w:bottom w:val="single" w:sz="2" w:space="1" w:color="D9D9E3"/>
          <w:right w:val="single" w:sz="2" w:space="1" w:color="D9D9E3"/>
        </w:pBdr>
        <w:rPr>
          <w:rFonts w:ascii="Google Sans" w:hAnsi="Google Sans" w:eastAsia="Google Sans" w:cs="Google Sans"/>
        </w:rPr>
      </w:pPr>
      <w:r>
        <w:rPr>
          <w:rStyle w:val="StrongEmphasis"/>
        </w:rPr>
        <w:t>Critical Findings Needing Immediate Attention</w:t>
      </w:r>
      <w:r>
        <w:rPr/>
        <w: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Google Sans" w:hAnsi="Google Sans" w:eastAsia="Google Sans" w:cs="Google Sans"/>
        </w:rPr>
      </w:pPr>
      <w:r>
        <w:rPr/>
        <w:t>Immediate implementation is needed for controls such as Least Privilege, Disaster Recovery Plans, Password Policies, Access Control Policies, Account Management Policies, and Separation of Duties.</w:t>
      </w:r>
    </w:p>
    <w:p>
      <w:pPr>
        <w:pStyle w:val="TextBody"/>
        <w:pBdr>
          <w:top w:val="single" w:sz="2" w:space="1" w:color="D9D9E3"/>
          <w:left w:val="single" w:sz="2" w:space="1" w:color="D9D9E3"/>
          <w:bottom w:val="single" w:sz="2" w:space="1" w:color="D9D9E3"/>
          <w:right w:val="single" w:sz="2" w:space="1" w:color="D9D9E3"/>
        </w:pBdr>
        <w:rPr>
          <w:rFonts w:ascii="Google Sans" w:hAnsi="Google Sans" w:eastAsia="Google Sans" w:cs="Google Sans"/>
        </w:rPr>
      </w:pPr>
      <w:r>
        <w:rPr>
          <w:rStyle w:val="StrongEmphasis"/>
        </w:rPr>
        <w:t>Findings for Future Consideration</w:t>
      </w:r>
      <w:r>
        <w:rPr/>
        <w: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Google Sans" w:hAnsi="Google Sans" w:eastAsia="Google Sans" w:cs="Google Sans"/>
        </w:rPr>
      </w:pPr>
      <w:r>
        <w:rPr/>
        <w:t>Controls that can be addressed in the future include those not marked for immediate implementation, such as infrastructure-related controls.</w:t>
      </w:r>
    </w:p>
    <w:p>
      <w:pPr>
        <w:pStyle w:val="TextBody"/>
        <w:pBdr>
          <w:top w:val="single" w:sz="2" w:space="1" w:color="D9D9E3"/>
          <w:left w:val="single" w:sz="2" w:space="1" w:color="D9D9E3"/>
          <w:bottom w:val="single" w:sz="2" w:space="1" w:color="D9D9E3"/>
          <w:right w:val="single" w:sz="2" w:space="1" w:color="D9D9E3"/>
        </w:pBdr>
        <w:rPr>
          <w:rFonts w:ascii="Google Sans" w:hAnsi="Google Sans" w:eastAsia="Google Sans" w:cs="Google Sans"/>
        </w:rPr>
      </w:pPr>
      <w:r>
        <w:rPr>
          <w:rStyle w:val="StrongEmphasis"/>
        </w:rPr>
        <w:t>Recommendations to Stakeholders</w:t>
      </w:r>
      <w:r>
        <w:rPr/>
        <w:t>:</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Google Sans" w:hAnsi="Google Sans" w:eastAsia="Google Sans" w:cs="Google Sans"/>
        </w:rPr>
      </w:pPr>
      <w:r>
        <w:rPr/>
        <w:t>Communicate the high-priority findings that need immediate attention, highlighting the importance of implementing controls like Least Privilege, Disaster Recovery Plans, and Password Policies to address existing vulnerabilities and enhance security.</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Google Sans" w:hAnsi="Google Sans" w:eastAsia="Google Sans" w:cs="Google Sans"/>
        </w:rPr>
      </w:pPr>
      <w:r>
        <w:rPr/>
        <w:t>For controls marked for future consideration, propose a plan to gradually implement them to further improve the organization's security posture over time.</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Google Sans" w:hAnsi="Google Sans" w:eastAsia="Google Sans" w:cs="Google Sans"/>
        </w:rPr>
      </w:pPr>
      <w:r>
        <w:rPr/>
        <w:t>Emphasize that adhering to the NIST CSF and aligning with compliance requirements will not only protect customer and vendor data but also reduce the risk of fines and penalties.</w:t>
      </w:r>
    </w:p>
    <w:p>
      <w:pPr>
        <w:pStyle w:val="TextBody"/>
        <w:pBdr>
          <w:top w:val="single" w:sz="2" w:space="1" w:color="D9D9E3"/>
          <w:left w:val="single" w:sz="2" w:space="1" w:color="D9D9E3"/>
          <w:bottom w:val="single" w:sz="2" w:space="1" w:color="D9D9E3"/>
          <w:right w:val="single" w:sz="2" w:space="1" w:color="D9D9E3"/>
        </w:pBdr>
        <w:rPr>
          <w:rFonts w:ascii="Google Sans" w:hAnsi="Google Sans" w:eastAsia="Google Sans" w:cs="Google Sans"/>
        </w:rPr>
      </w:pPr>
      <w:r>
        <w:rPr>
          <w:rStyle w:val="StrongEmphasis"/>
        </w:rPr>
        <w:t>Biggest Risks to the Organization</w:t>
      </w:r>
      <w:r>
        <w:rPr/>
        <w:t>:</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Google Sans" w:hAnsi="Google Sans" w:eastAsia="Google Sans" w:cs="Google Sans"/>
        </w:rPr>
      </w:pPr>
      <w:r>
        <w:rPr/>
        <w:t>Data breaches due to inadequate controls and permissions.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Google Sans" w:hAnsi="Google Sans" w:eastAsia="Google Sans" w:cs="Google Sans"/>
        </w:rPr>
      </w:pPr>
      <w:r>
        <w:rPr/>
        <w:t>Regulatory non-compliance leading to potential fines and legal consequences.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Google Sans" w:hAnsi="Google Sans" w:eastAsia="Google Sans" w:cs="Google Sans"/>
        </w:rPr>
      </w:pPr>
      <w:r>
        <w:rPr/>
        <w:t>Vulnerabilities in infrastructure and technology.</w:t>
      </w:r>
    </w:p>
    <w:p>
      <w:pPr>
        <w:pStyle w:val="TextBody"/>
        <w:pBdr>
          <w:top w:val="single" w:sz="2" w:space="1" w:color="D9D9E3"/>
          <w:left w:val="single" w:sz="2" w:space="1" w:color="D9D9E3"/>
          <w:bottom w:val="single" w:sz="2" w:space="1" w:color="D9D9E3"/>
          <w:right w:val="single" w:sz="2" w:space="1" w:color="D9D9E3"/>
        </w:pBdr>
        <w:rPr>
          <w:rFonts w:ascii="Google Sans" w:hAnsi="Google Sans" w:eastAsia="Google Sans" w:cs="Google Sans"/>
        </w:rPr>
      </w:pPr>
      <w:r>
        <w:rPr>
          <w:rStyle w:val="StrongEmphasis"/>
        </w:rPr>
        <w:t>Controls Essential for Immediate Implementation</w:t>
      </w:r>
      <w:r>
        <w:rPr/>
        <w:t>:</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Google Sans" w:hAnsi="Google Sans" w:eastAsia="Google Sans" w:cs="Google Sans"/>
        </w:rPr>
      </w:pPr>
      <w:r>
        <w:rPr/>
        <w:t>Least Privilege: Reduces unauthorized access and limits potential damage.</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Google Sans" w:hAnsi="Google Sans" w:eastAsia="Google Sans" w:cs="Google Sans"/>
        </w:rPr>
      </w:pPr>
      <w:r>
        <w:rPr/>
        <w:t>Disaster Recovery Plans: Ensures business continuity during incidents.</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Google Sans" w:hAnsi="Google Sans" w:eastAsia="Google Sans" w:cs="Google Sans"/>
        </w:rPr>
      </w:pPr>
      <w:r>
        <w:rPr/>
        <w:t>Password Policies: Enhances account security and reduces compromise risk.</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Google Sans" w:hAnsi="Google Sans" w:eastAsia="Google Sans" w:cs="Google Sans"/>
        </w:rPr>
      </w:pPr>
      <w:r>
        <w:rPr/>
        <w:t>Access Control Policies: Enhances data confidentiality and integrity.</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Google Sans" w:hAnsi="Google Sans" w:eastAsia="Google Sans" w:cs="Google Sans"/>
        </w:rPr>
      </w:pPr>
      <w:r>
        <w:rPr/>
        <w:t>Account Management Policies: Reduces attack surface and insider threats.</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Google Sans" w:hAnsi="Google Sans" w:eastAsia="Google Sans" w:cs="Google Sans"/>
        </w:rPr>
      </w:pPr>
      <w:r>
        <w:rPr/>
        <w:t>Separation of Duties: Prevents abuse by limiting excessive access.</w:t>
      </w:r>
    </w:p>
    <w:p>
      <w:pPr>
        <w:pStyle w:val="TextBody"/>
        <w:pBdr>
          <w:top w:val="single" w:sz="2" w:space="1" w:color="D9D9E3"/>
          <w:left w:val="single" w:sz="2" w:space="1" w:color="D9D9E3"/>
          <w:bottom w:val="single" w:sz="2" w:space="1" w:color="D9D9E3"/>
          <w:right w:val="single" w:sz="2" w:space="1" w:color="D9D9E3"/>
        </w:pBdr>
        <w:rPr>
          <w:rFonts w:ascii="Google Sans" w:hAnsi="Google Sans" w:eastAsia="Google Sans" w:cs="Google Sans"/>
        </w:rPr>
      </w:pPr>
      <w:r>
        <w:rPr>
          <w:rStyle w:val="StrongEmphasis"/>
        </w:rPr>
        <w:t>Compliance Regulations</w:t>
      </w:r>
      <w:r>
        <w:rPr/>
        <w:t>:</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Google Sans" w:hAnsi="Google Sans" w:eastAsia="Google Sans" w:cs="Google Sans"/>
        </w:rPr>
      </w:pPr>
      <w:r>
        <w:rPr/>
        <w:t>Specific compliance regulations that Botium Toys needs to adhere to are detailed in the "Botium Toys: Audit scope and goals document" and the "Botium Toys: Risk assessment document." These documents provide the necessary details about the regulations based on the company's business operations and payment methods.</w:t>
      </w:r>
    </w:p>
    <w:p>
      <w:pPr>
        <w:pStyle w:val="TextBody"/>
        <w:pBdr>
          <w:top w:val="single" w:sz="2" w:space="1" w:color="D9D9E3"/>
          <w:left w:val="single" w:sz="2" w:space="1" w:color="D9D9E3"/>
          <w:bottom w:val="single" w:sz="2" w:space="1" w:color="D9D9E3"/>
          <w:right w:val="single" w:sz="2" w:space="1" w:color="D9D9E3"/>
        </w:pBdr>
        <w:rPr>
          <w:rFonts w:ascii="Google Sans" w:hAnsi="Google Sans" w:eastAsia="Google Sans" w:cs="Google Sans"/>
        </w:rPr>
      </w:pPr>
      <w:r>
        <w:rPr/>
        <w:t>Overall, Botium Toys should prioritize the immediate implementation of critical controls, address identified risks promptly, and ensure alignment with compliance regulations to enhance security and avoid fines.</w:t>
      </w:r>
    </w:p>
    <w:p>
      <w:pPr>
        <w:pStyle w:val="TextBody"/>
        <w:spacing w:before="0" w:after="140"/>
        <w:rPr>
          <w:rFonts w:ascii="Google Sans" w:hAnsi="Google Sans" w:eastAsia="Google Sans" w:cs="Google Sans"/>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oogle Sans">
    <w:charset w:val="01"/>
    <w:family w:val="roman"/>
    <w:pitch w:val="variable"/>
  </w:font>
  <w:font w:name="Source Sans Pro">
    <w:altName w:val="Arial"/>
    <w:charset w:val="01"/>
    <w:family w:val="roman"/>
    <w:pitch w:val="variable"/>
  </w:font>
  <w:font w:name="S hne">
    <w:altName w:val="ui-sans-serif"/>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LibreOffice/7.3.6.2$Linux_X86_64 LibreOffice_project/30$Build-2</Application>
  <AppVersion>15.0000</AppVersion>
  <Pages>4</Pages>
  <Words>964</Words>
  <Characters>5932</Characters>
  <CharactersWithSpaces>6796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2023-08-28T11:51:42Z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