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021B2C"/>
          <w:sz w:val="72"/>
          <w:szCs w:val="72"/>
        </w:rPr>
        <w:t xml:space="preserve">HemoScan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28090"/>
          <w:sz w:val="36"/>
          <w:szCs w:val="36"/>
        </w:rPr>
        <w:t xml:space="preserve">Non-Invasive Hemoglobin Monitor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Technical Documentation &amp; System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C3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HemoScan AI — Non-Invasive Hemoglobin Monitor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Medicore Innovation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Members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Mahambihai T (Founder &amp; Tech Lead), Sujay B (CEO), Xavier Jerfin (CXO)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St. Michael College of Engineering &amp; Technology, Kalayarkoil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Hackathon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Bharat Academix CodeQuest 2026 — Round 2 Submission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MVP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Udyam Certified Startup | Startup TN Recognized | IJERT Published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2C39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21B2C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HemoScan AI is a non-invasive hemoglobin monitoring solution developed by Medicore Innovation. The system uses multi-wavelength LED photoplethysmography (PPG) combined with Beer-Lambert Law signal processing and AI-based calibration to estimate hemoglobin concentration without drawing blood.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India has over 500 million anemia patients, most of whom cannot afford frequent lab-based CBC tests costing ₹200–₹500 per visit. HemoScan AI reduces the cost to under ₹2 per test, eliminates needle use, and delivers results in under 30 seconds — making hemoglobin monitoring accessible to ASHA workers, rural PHCs, and home patients.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covers the complete system architecture, algorithm design, software implementation, hardware specifications, and deployment strategy for the MVP submitted for Round 2.</w:t>
      </w:r>
    </w:p>
    <w:p>
      <w:pPr>
        <w:spacing w:after="80" w:before="160"/>
      </w:pPr>
    </w:p>
    <w:p>
      <w:pPr>
        <w:pStyle w:val="Heading1"/>
        <w:pBdr>
          <w:bottom w:val="single" w:color="02C39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21B2C"/>
          <w:sz w:val="32"/>
          <w:szCs w:val="32"/>
        </w:rPr>
        <w:t xml:space="preserve">2. Problem Statement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2.1 Current Challenges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Invasive CBC blood tests require needle pricks every visit — painful, infection risk, and feared by patients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 tests cost ₹200–₹500 per visit; frequent monitoring is financially inaccessible for rural families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80% of India's 500M+ anemia patients go undetected due to lack of rural diagnostic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Pregnant women, children, and elderly face highest risk — with no affordable point-of-care screening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Existing pulse oximeters measure SpO2 only — they cannot measure hemoglobin concentration</w:t>
      </w:r>
    </w:p>
    <w:p>
      <w:pPr>
        <w:spacing w:after="6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2.2 Market Gap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consumer-grade, affordable, non-invasive hemoglobin monitor exists in India today. Medical-grade devices (like Masimo Pronto) cost ₹80,000+. HemoScan AI targets the ₹1,499 consumer price point with a ₹2/test operating cost — a 150x cost reduction.</w:t>
      </w:r>
    </w:p>
    <w:p>
      <w:pPr>
        <w:spacing w:after="60" w:before="100"/>
      </w:pPr>
    </w:p>
    <w:p>
      <w:pPr>
        <w:pStyle w:val="Heading1"/>
        <w:pBdr>
          <w:bottom w:val="single" w:color="02C39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21B2C"/>
          <w:sz w:val="32"/>
          <w:szCs w:val="32"/>
        </w:rPr>
        <w:t xml:space="preserve">3. Solution Overview — HemoScan AI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3.1 Core Technology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HemoScan AI uses Photoplethysmography (PPG) — the same optical principle used in pulse oximeters — extended to 4 wavelengths for hemoglobin-specific absorption measurement.</w:t>
      </w:r>
    </w:p>
    <w:p>
      <w:pPr>
        <w:spacing w:after="6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Wavelength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C3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660nm (Red)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Oxygenated hemoglobin (HbO2) peak absorption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880nm (Near-IR)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Deoxygenated hemoglobin (Hb) absorption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520nm (Green)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SpO2 baseline and motion artifact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940nm (IR-2)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Calibration channel and deep tissue reference</w:t>
            </w:r>
          </w:p>
        </w:tc>
      </w:tr>
    </w:tbl>
    <w:p>
      <w:pPr>
        <w:spacing w:after="8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3.2 Beer-Lambert Law Algorithm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hemoglobin calculation follows Beer-Lambert Law: Absorbance = ε × c × l, where ε is the molar absorption coefficient, c is the hemoglobin concentration, and l is the optical path length through tissue.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Our implementation computes the AC (pulsatile) and DC (baseline) components of each wavelength channel. The Ratio of Ratios (R) is calculated as:</w:t>
      </w:r>
    </w:p>
    <w:p>
      <w:pPr>
        <w:pBdr>
          <w:left w:val="single" w:color="02C39A" w:sz="12" w:space="1"/>
        </w:pBdr>
        <w:spacing w:after="120" w:before="120"/>
        <w:ind w:left="720"/>
        <w:jc w:val="center"/>
      </w:pPr>
      <w:r>
        <w:rPr>
          <w:rFonts w:ascii="Courier New" w:cs="Courier New" w:eastAsia="Courier New" w:hAnsi="Courier New"/>
          <w:b/>
          <w:bCs/>
          <w:color w:val="028090"/>
          <w:sz w:val="22"/>
          <w:szCs w:val="22"/>
        </w:rPr>
        <w:t xml:space="preserve">R = (AC_red / DC_red) / (AC_ir / DC_ir)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Hemoglobin concentration is then derived using empirically-fitted coefficients:</w:t>
      </w:r>
    </w:p>
    <w:p>
      <w:pPr>
        <w:pBdr>
          <w:left w:val="single" w:color="02C39A" w:sz="12" w:space="1"/>
        </w:pBdr>
        <w:spacing w:after="120" w:before="120"/>
        <w:ind w:left="720"/>
        <w:jc w:val="center"/>
      </w:pPr>
      <w:r>
        <w:rPr>
          <w:rFonts w:ascii="Courier New" w:cs="Courier New" w:eastAsia="Courier New" w:hAnsi="Courier New"/>
          <w:b/>
          <w:bCs/>
          <w:color w:val="028090"/>
          <w:sz w:val="22"/>
          <w:szCs w:val="22"/>
        </w:rPr>
        <w:t xml:space="preserve">Hb (g/dL) = a - (b × R)    [where a = 22.0, b = 6.5 for demo calibration]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Coefficients above are demo-calibrated. Clinical validation (Phase 3) will use hospital-derived regression coefficients across diverse skin tones and patient demographics.</w:t>
      </w:r>
    </w:p>
    <w:p>
      <w:pPr>
        <w:spacing w:after="60" w:before="100"/>
      </w:pPr>
    </w:p>
    <w:p>
      <w:pPr>
        <w:pStyle w:val="Heading1"/>
        <w:pBdr>
          <w:bottom w:val="single" w:color="02C39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21B2C"/>
          <w:sz w:val="32"/>
          <w:szCs w:val="32"/>
        </w:rPr>
        <w:t xml:space="preserve">4.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4.1 Hardware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C3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ESP32-S3 (Dual-core 240MHz, WiFi/BT, 512KB SRAM)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PPG Sensor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MAX30102 (Red 660nm + IR 880nm channels, 18-bit ADC)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Additional LEDs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520nm Green LED + 940nm IR LED (Phase 2 hardware)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OLED SSD1306 128x64px (I2C interface)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Power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Li-Po 3.7V 1000mAh, USB-C charging, ~8hr runtime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Casing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Silicone ergonomic finger clip (Phase 2 fabrication)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PCB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4-layer PCB design (Phase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Current MVP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Breadboard prototype with ESP32 DevKit + MAX30102 breakout</w:t>
            </w:r>
          </w:p>
        </w:tc>
      </w:tr>
    </w:tbl>
    <w:p>
      <w:pPr>
        <w:spacing w:after="8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4.2 Software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C3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 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Firmware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Arduino C++ on ESP32, 50Hz PPG sampling, UART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Signal Processing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Beer-Lambert Law, AC/DC decomposition, Kalman filtering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Vanilla HTML5 + CSS3 + JavaScript (no framework dependency)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Camera PPG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WebRTC getUserMedia API, red-channel pixel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Browser localStorage, session-based patient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Simulation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In-browser ESP32 firmware logic model (JavaScript)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HTML5 Canvas (native, no external library)</w:t>
            </w:r>
          </w:p>
        </w:tc>
      </w:tr>
    </w:tbl>
    <w:p>
      <w:pPr>
        <w:spacing w:after="8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4.3 Data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Finger placed on sensor (hardware) or camera lens (mobile MVP)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4-wavelength LED array fires sequentially at 50Hz sampling rate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Photodiode (or camera sensor) captures reflected light intensity per wavelength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100-sample buffer (~2 seconds) accumulated; AC/DC components separated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Beer-Lambert Law R-value calculated; Hb concentration estimated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 displayed on OLED (hardware) or web dashboard (MVP); patient record saved</w:t>
      </w:r>
    </w:p>
    <w:p>
      <w:pPr>
        <w:spacing w:after="60" w:before="100"/>
      </w:pPr>
    </w:p>
    <w:p>
      <w:pPr>
        <w:pStyle w:val="Heading1"/>
        <w:pBdr>
          <w:bottom w:val="single" w:color="02C39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21B2C"/>
          <w:sz w:val="32"/>
          <w:szCs w:val="32"/>
        </w:rPr>
        <w:t xml:space="preserve">5. MVP Deliverables — Round 2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5.1 Functional Prototype / MVP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MVP is a single self-contained HTML5 web application (hemoscan_complete.html) that demonstrates the complete HemoScan AI user flow: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Camera-based PPG scan using device rear camera and torch/flash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red-channel pixel analysis implementing Beer-Lambert Law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PPG waveform visualization using HTML5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Hemoglobin result display with status classification (Normal / Mild Anemia / Severe Anemia)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Patient details form (Name, Age, Gender, Village) post-scan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Persistent patient dashboard with trend chart and AI health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Patient management portal with individual history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Works on any modern mobile browser via CodePen HTTPS deployment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5.2 ESP32 Firmware Simulation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complete Arduino sketch (hemoscan_sketch.ino) implements the embedded logic including MAX30102 initialization, 100-sample PPG buffer acquisition, Beer-Lambert calculation, and Serial Monitor output — validated via Wokwi circuit simulation.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5.3 Embedded Logic Browser Demo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hemoscan_simulation.html demonstrates the exact ESP32 firmware logic running in-browser, with LED sequence animation, real-time signal display, progress tracking, and hemoglobin result output — providing a working software model of the target hardware.</w:t>
      </w:r>
    </w:p>
    <w:p>
      <w:pPr>
        <w:spacing w:after="60" w:before="100"/>
      </w:pPr>
    </w:p>
    <w:p>
      <w:pPr>
        <w:pStyle w:val="Heading1"/>
        <w:pBdr>
          <w:bottom w:val="single" w:color="02C39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21B2C"/>
          <w:sz w:val="32"/>
          <w:szCs w:val="32"/>
        </w:rPr>
        <w:t xml:space="preserve">6. AI &amp; Intelligence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6.1 Signal Processing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AC/DC decomposition for pulsatile signal extraction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Motion artifact filtering (standard deviation gating)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Skin tone compensation through ratio-based measurement (reduces melanin interference)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Adaptive baseline correction across different lighting conditions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6.2 Clinical Intelligence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hemoglobin status classification (WHO anemia thresholds)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Trend analysis across multiple readings — detects improving/declining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Personalized AI health recommendations based on latest Hb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scoring for anemia severity (Critical / Low / Normal)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Population-level anemia heatmap analytics for district health planning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6.3 Future AI Roadmap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CNN model trained on 50,000+ PPG signals for improved 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Federated learning for continuous model improvement across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with national health records (ABHA 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Predictive anemia risk scoring using longitudinal patient data</w:t>
      </w:r>
    </w:p>
    <w:p>
      <w:pPr>
        <w:spacing w:after="60" w:before="100"/>
      </w:pPr>
    </w:p>
    <w:p>
      <w:pPr>
        <w:pStyle w:val="Heading1"/>
        <w:pBdr>
          <w:bottom w:val="single" w:color="02C39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21B2C"/>
          <w:sz w:val="32"/>
          <w:szCs w:val="32"/>
        </w:rPr>
        <w:t xml:space="preserve">7. Accuracy &amp; Validation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C3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Algorithm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Beer-Lambert Law (demo-calibrated coefficients)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MVP 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Demo-grade: ±1.5–2.0 g/dL variation (camera PPG)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Firmware 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Simulation-validated; physical sensor testing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Clinical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3 roadmap — hospital partnership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Target 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±0.5 g/dL (comparable to SpO2 pulse oximeters)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Skin Tone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Ratio-based algorithm reduces melanin interference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Regulatory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Pre-clinical; CDSCO submission planned Phase 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Disclaimer: This MVP is a research prototype for demonstration purposes. Readings should not be used for medical diagnosis. Clinical-grade accuracy requires hospital validation with calibrated reference CBC equipment.</w:t>
      </w:r>
    </w:p>
    <w:p>
      <w:pPr>
        <w:spacing w:after="60" w:before="100"/>
      </w:pPr>
    </w:p>
    <w:p>
      <w:pPr>
        <w:pStyle w:val="Heading1"/>
        <w:pBdr>
          <w:bottom w:val="single" w:color="02C39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21B2C"/>
          <w:sz w:val="32"/>
          <w:szCs w:val="32"/>
        </w:rPr>
        <w:t xml:space="preserve">8. Scalability &amp;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8.1 Hardware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2: PCB miniaturization to fingertip clip form factor (&lt;30g)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3: USB-C charging, Bluetooth data sync to mobile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4: IoT cloud connectivity for real-time health data upload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8.2 Software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MVP: Client-side only (no server required), works offline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2: FastAPI + PostgreSQL backend for multi-user data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3: TimescaleDB for time-series health analytics at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4: District-level government dashboard, ASHA network integration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8.3 Market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B2G: Government PHC contracts — 250,000 PHCs across India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B2B: Hospital chains, diagnostic labs, corporate health programs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B2C: Direct-to-consumer device at ₹1,499 price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 model: ₹2/scan for consumables/calibration service</w:t>
      </w:r>
    </w:p>
    <w:p>
      <w:pPr>
        <w:spacing w:after="60" w:before="100"/>
      </w:pPr>
    </w:p>
    <w:p>
      <w:pPr>
        <w:pStyle w:val="Heading1"/>
        <w:pBdr>
          <w:bottom w:val="single" w:color="02C39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21B2C"/>
          <w:sz w:val="32"/>
          <w:szCs w:val="32"/>
        </w:rPr>
        <w:t xml:space="preserve">9. Project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Phase 1 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Beer-Lambert algorithm design, web dashboard MVP, camera PPG implementation, ESP32 firmware code, IJERT published paper, startup registration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months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Breadboard prototype build, PCB fabrication, silicone casing, OLED integration, 4-wavelength LED array, battery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 months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Clinical validation, hospital testing, accuracy benchmarking, CDSCO regulatory submission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 months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Market launch, rural distribution, mobile app, government PHC contracts, ASHA network integration</w:t>
            </w:r>
          </w:p>
        </w:tc>
      </w:tr>
    </w:tbl>
    <w:p>
      <w:pPr>
        <w:spacing w:after="60" w:before="100"/>
      </w:pPr>
    </w:p>
    <w:p>
      <w:pPr>
        <w:pStyle w:val="Heading1"/>
        <w:pBdr>
          <w:bottom w:val="single" w:color="02C39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21B2C"/>
          <w:sz w:val="32"/>
          <w:szCs w:val="32"/>
        </w:rPr>
        <w:t xml:space="preserve">10. Team — Medicore Innovation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C3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Role | Contribution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Mahambihai 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28090"/>
                <w:sz w:val="20"/>
                <w:szCs w:val="20"/>
              </w:rPr>
              <w:t xml:space="preserve">Founder &amp; Tech Lead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Hardware design, Beer-Lambert algorithm, web dashboard, camera PPG implementation, IJERT paper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Sujay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28090"/>
                <w:sz w:val="20"/>
                <w:szCs w:val="20"/>
              </w:rPr>
              <w:t xml:space="preserve">Co-Founder &amp; CEO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Business strategy, market research, investor relations, partnership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C"/>
                <w:sz w:val="20"/>
                <w:szCs w:val="20"/>
              </w:rPr>
              <w:t xml:space="preserve">Xavier Jerfin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28090"/>
                <w:sz w:val="20"/>
                <w:szCs w:val="20"/>
              </w:rPr>
              <w:t xml:space="preserve">Co-Founder &amp; CXO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Technical guidance, clinical domain expertise, faculty mentorship, institutional support</w:t>
            </w:r>
          </w:p>
        </w:tc>
      </w:tr>
    </w:tbl>
    <w:p>
      <w:pPr>
        <w:spacing w:after="8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10.1 Startup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Udyam Registered Startup (MSME certified)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Startup TN Recognized — Tamil Nadu Government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IJERT Published Research Paper — Vol. 15 Issue 03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Institution: St. Michael College of Engineering &amp; Technology, Kalayarkoil, Sivagangai</w:t>
      </w:r>
    </w:p>
    <w:p>
      <w:pPr>
        <w:spacing w:after="60" w:before="100"/>
      </w:pPr>
    </w:p>
    <w:p>
      <w:pPr>
        <w:pStyle w:val="Heading1"/>
        <w:pBdr>
          <w:bottom w:val="single" w:color="02C39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021B2C"/>
          <w:sz w:val="32"/>
          <w:szCs w:val="32"/>
        </w:rPr>
        <w:t xml:space="preserve">11. Disclaimer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describes a research prototype submitted for the Bharat Academix CodeQuest 2026 hackathon. HemoScan AI is currently at Technology Readiness Level (TRL) 4-5. The MVP demonstrates working software logic and algorithm implementation. Physical hardware integration and clinical validation are planned for Phase 2 and Phase 3 respectively.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hemoglobin readings from the MVP camera-based system are demo-grade estimates and must not be used for medical diagnosis or treatment decisions. Clinical-grade accuracy requires calibration with reference CBC laboratory equipment and approval from CDSCO/regulatory authorities.</w:t>
      </w:r>
    </w:p>
    <w:p>
      <w:pPr>
        <w:spacing w:after="80"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© 2026 Medicore Innovation. All Rights Reserved.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8090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Medicore Innovation  |  Confidential  |  Page </w:t>
    </w:r>
    <w:r>
      <w:rPr>
        <w:rFonts w:ascii="Arial" w:cs="Arial" w:eastAsia="Arial" w:hAnsi="Arial"/>
        <w:color w:val="028090"/>
        <w:sz w:val="18"/>
        <w:szCs w:val="18"/>
      </w:rPr>
      <w:t xml:space="preserve">Medicore Innovation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090" w:sz="4" w:space="1"/>
      </w:pBdr>
    </w:pPr>
    <w:r>
      <w:rPr>
        <w:rFonts w:ascii="Arial" w:cs="Arial" w:eastAsia="Arial" w:hAnsi="Arial"/>
        <w:color w:val="028090"/>
        <w:sz w:val="18"/>
        <w:szCs w:val="18"/>
      </w:rPr>
      <w:t xml:space="preserve">HemoScan AI — Technical Documentation</w:t>
    </w:r>
    <w:r>
      <w:rPr>
        <w:rFonts w:ascii="Arial" w:cs="Arial" w:eastAsia="Arial" w:hAnsi="Arial"/>
        <w:color w:val="888888"/>
        <w:sz w:val="18"/>
        <w:szCs w:val="18"/>
      </w:rPr>
      <w:t xml:space="preserve">    |    Medicore Innovation    |    Bharat Academix CodeQuest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2026-06-20T01:34:32.595Z</dcterms:created>
  <dcterms:modified xsi:type="dcterms:W3CDTF">2026-06-20T01:34:32.595Z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