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C6B0" w14:textId="77777777" w:rsidR="00F540D9" w:rsidRDefault="00F540D9">
      <w:pPr>
        <w:spacing w:before="720"/>
      </w:pPr>
    </w:p>
    <w:p w14:paraId="3D0E3D35" w14:textId="77777777" w:rsidR="00F540D9" w:rsidRDefault="00E66665">
      <w:pPr>
        <w:spacing w:after="120"/>
        <w:jc w:val="center"/>
      </w:pPr>
      <w:r>
        <w:rPr>
          <w:rFonts w:ascii="Calibri" w:hAnsi="Calibri"/>
          <w:b/>
          <w:color w:val="316B9E"/>
        </w:rPr>
        <w:t>ACADEMIC INTERNSHIP FINAL PROJECT REPORT</w:t>
      </w:r>
    </w:p>
    <w:p w14:paraId="664EEA0D" w14:textId="77777777" w:rsidR="00F540D9" w:rsidRDefault="00E66665">
      <w:pPr>
        <w:spacing w:before="80" w:after="160"/>
        <w:jc w:val="center"/>
      </w:pPr>
      <w:r>
        <w:rPr>
          <w:rFonts w:ascii="Calibri" w:hAnsi="Calibri"/>
          <w:b/>
          <w:color w:val="1B365D"/>
          <w:sz w:val="48"/>
        </w:rPr>
        <w:t>HOUSE PRICE PREDICTION USING MACHINE LEARNING</w:t>
      </w:r>
    </w:p>
    <w:p w14:paraId="7C75DFB8" w14:textId="77777777" w:rsidR="00F540D9" w:rsidRDefault="00E66665">
      <w:pPr>
        <w:spacing w:after="560"/>
        <w:jc w:val="center"/>
      </w:pPr>
      <w:r>
        <w:rPr>
          <w:rFonts w:ascii="Calibri" w:hAnsi="Calibri"/>
          <w:i/>
          <w:color w:val="646464"/>
          <w:sz w:val="24"/>
        </w:rPr>
        <w:t>An End-to-End Supervised Regression &amp; Exploratory Analytics System for Real Estate Valuation</w:t>
      </w:r>
    </w:p>
    <w:tbl>
      <w:tblPr>
        <w:tblW w:w="0" w:type="auto"/>
        <w:jc w:val="center"/>
        <w:tblLayout w:type="fixed"/>
        <w:tblLook w:val="04A0" w:firstRow="1" w:lastRow="0" w:firstColumn="1" w:lastColumn="0" w:noHBand="0" w:noVBand="1"/>
      </w:tblPr>
      <w:tblGrid>
        <w:gridCol w:w="7920"/>
      </w:tblGrid>
      <w:tr w:rsidR="00F540D9" w14:paraId="1A40C4FA" w14:textId="77777777">
        <w:trPr>
          <w:jc w:val="center"/>
        </w:trPr>
        <w:tc>
          <w:tcPr>
            <w:tcW w:w="7920" w:type="dxa"/>
            <w:shd w:val="clear" w:color="auto" w:fill="316B9E"/>
            <w:tcMar>
              <w:top w:w="10" w:type="dxa"/>
              <w:left w:w="10" w:type="dxa"/>
              <w:bottom w:w="10" w:type="dxa"/>
              <w:right w:w="10" w:type="dxa"/>
            </w:tcMar>
          </w:tcPr>
          <w:p w14:paraId="51147E5E" w14:textId="77777777" w:rsidR="00F540D9" w:rsidRDefault="00E66665">
            <w:pPr>
              <w:spacing w:after="0"/>
            </w:pPr>
            <w:r>
              <w:rPr>
                <w:sz w:val="4"/>
              </w:rPr>
              <w:t xml:space="preserve"> </w:t>
            </w:r>
          </w:p>
        </w:tc>
      </w:tr>
    </w:tbl>
    <w:p w14:paraId="41D162B8" w14:textId="77777777" w:rsidR="00F540D9" w:rsidRDefault="00F540D9">
      <w:pPr>
        <w:spacing w:before="720"/>
      </w:pPr>
    </w:p>
    <w:tbl>
      <w:tblPr>
        <w:tblW w:w="0" w:type="auto"/>
        <w:jc w:val="center"/>
        <w:tblBorders>
          <w:top w:val="single" w:sz="2" w:space="0" w:color="E5E7EB"/>
          <w:bottom w:val="single" w:sz="2" w:space="0" w:color="E5E7EB"/>
          <w:insideH w:val="single" w:sz="2" w:space="0" w:color="E5E7EB"/>
        </w:tblBorders>
        <w:tblLayout w:type="fixed"/>
        <w:tblLook w:val="04A0" w:firstRow="1" w:lastRow="0" w:firstColumn="1" w:lastColumn="0" w:noHBand="0" w:noVBand="1"/>
      </w:tblPr>
      <w:tblGrid>
        <w:gridCol w:w="3168"/>
        <w:gridCol w:w="6192"/>
      </w:tblGrid>
      <w:tr w:rsidR="00F540D9" w14:paraId="3C29EF0C" w14:textId="77777777">
        <w:trPr>
          <w:jc w:val="center"/>
        </w:trPr>
        <w:tc>
          <w:tcPr>
            <w:tcW w:w="3168" w:type="dxa"/>
            <w:shd w:val="clear" w:color="auto" w:fill="FFFFFF"/>
            <w:tcMar>
              <w:top w:w="80" w:type="dxa"/>
              <w:left w:w="120" w:type="dxa"/>
              <w:bottom w:w="80" w:type="dxa"/>
              <w:right w:w="120" w:type="dxa"/>
            </w:tcMar>
          </w:tcPr>
          <w:p w14:paraId="18C4F3A7" w14:textId="77777777" w:rsidR="00F540D9" w:rsidRDefault="00E66665">
            <w:pPr>
              <w:spacing w:after="0"/>
            </w:pPr>
            <w:r>
              <w:rPr>
                <w:rFonts w:ascii="Calibri" w:hAnsi="Calibri"/>
                <w:b/>
                <w:color w:val="1B365D"/>
                <w:sz w:val="20"/>
              </w:rPr>
              <w:t>Student Name:</w:t>
            </w:r>
          </w:p>
        </w:tc>
        <w:tc>
          <w:tcPr>
            <w:tcW w:w="6192" w:type="dxa"/>
            <w:shd w:val="clear" w:color="auto" w:fill="FFFFFF"/>
            <w:tcMar>
              <w:top w:w="80" w:type="dxa"/>
              <w:left w:w="120" w:type="dxa"/>
              <w:bottom w:w="80" w:type="dxa"/>
              <w:right w:w="120" w:type="dxa"/>
            </w:tcMar>
          </w:tcPr>
          <w:p w14:paraId="56C41A18" w14:textId="77777777" w:rsidR="00F540D9" w:rsidRDefault="00E66665">
            <w:pPr>
              <w:spacing w:after="0"/>
            </w:pPr>
            <w:r>
              <w:rPr>
                <w:rFonts w:ascii="Calibri" w:hAnsi="Calibri"/>
                <w:color w:val="222222"/>
                <w:sz w:val="20"/>
              </w:rPr>
              <w:t>Sathyala Mahammed</w:t>
            </w:r>
          </w:p>
        </w:tc>
      </w:tr>
      <w:tr w:rsidR="00F540D9" w14:paraId="212746C8" w14:textId="77777777">
        <w:trPr>
          <w:jc w:val="center"/>
        </w:trPr>
        <w:tc>
          <w:tcPr>
            <w:tcW w:w="3168" w:type="dxa"/>
            <w:shd w:val="clear" w:color="auto" w:fill="F4F7FA"/>
            <w:tcMar>
              <w:top w:w="80" w:type="dxa"/>
              <w:left w:w="120" w:type="dxa"/>
              <w:bottom w:w="80" w:type="dxa"/>
              <w:right w:w="120" w:type="dxa"/>
            </w:tcMar>
          </w:tcPr>
          <w:p w14:paraId="2FC48184" w14:textId="77777777" w:rsidR="00F540D9" w:rsidRDefault="00E66665">
            <w:pPr>
              <w:spacing w:after="0"/>
            </w:pPr>
            <w:r>
              <w:rPr>
                <w:rFonts w:ascii="Calibri" w:hAnsi="Calibri"/>
                <w:b/>
                <w:color w:val="1B365D"/>
                <w:sz w:val="20"/>
              </w:rPr>
              <w:t>Branch / Discipline:</w:t>
            </w:r>
          </w:p>
        </w:tc>
        <w:tc>
          <w:tcPr>
            <w:tcW w:w="6192" w:type="dxa"/>
            <w:shd w:val="clear" w:color="auto" w:fill="F4F7FA"/>
            <w:tcMar>
              <w:top w:w="80" w:type="dxa"/>
              <w:left w:w="120" w:type="dxa"/>
              <w:bottom w:w="80" w:type="dxa"/>
              <w:right w:w="120" w:type="dxa"/>
            </w:tcMar>
          </w:tcPr>
          <w:p w14:paraId="20A97CD9" w14:textId="77777777" w:rsidR="00F540D9" w:rsidRDefault="00E66665">
            <w:pPr>
              <w:spacing w:after="0"/>
            </w:pPr>
            <w:r>
              <w:rPr>
                <w:rFonts w:ascii="Calibri" w:hAnsi="Calibri"/>
                <w:color w:val="222222"/>
                <w:sz w:val="20"/>
              </w:rPr>
              <w:t>B.Tech in Electronics and Communication Engineering (ECE)</w:t>
            </w:r>
          </w:p>
        </w:tc>
      </w:tr>
      <w:tr w:rsidR="00F540D9" w14:paraId="17429FFD" w14:textId="77777777">
        <w:trPr>
          <w:jc w:val="center"/>
        </w:trPr>
        <w:tc>
          <w:tcPr>
            <w:tcW w:w="3168" w:type="dxa"/>
            <w:shd w:val="clear" w:color="auto" w:fill="FFFFFF"/>
            <w:tcMar>
              <w:top w:w="80" w:type="dxa"/>
              <w:left w:w="120" w:type="dxa"/>
              <w:bottom w:w="80" w:type="dxa"/>
              <w:right w:w="120" w:type="dxa"/>
            </w:tcMar>
          </w:tcPr>
          <w:p w14:paraId="7AD3381A" w14:textId="77777777" w:rsidR="00F540D9" w:rsidRDefault="00E66665">
            <w:pPr>
              <w:spacing w:after="0"/>
            </w:pPr>
            <w:r>
              <w:rPr>
                <w:rFonts w:ascii="Calibri" w:hAnsi="Calibri"/>
                <w:b/>
                <w:color w:val="1B365D"/>
                <w:sz w:val="20"/>
              </w:rPr>
              <w:t>Institution:</w:t>
            </w:r>
          </w:p>
        </w:tc>
        <w:tc>
          <w:tcPr>
            <w:tcW w:w="6192" w:type="dxa"/>
            <w:shd w:val="clear" w:color="auto" w:fill="FFFFFF"/>
            <w:tcMar>
              <w:top w:w="80" w:type="dxa"/>
              <w:left w:w="120" w:type="dxa"/>
              <w:bottom w:w="80" w:type="dxa"/>
              <w:right w:w="120" w:type="dxa"/>
            </w:tcMar>
          </w:tcPr>
          <w:p w14:paraId="141C284C" w14:textId="77777777" w:rsidR="00F540D9" w:rsidRDefault="00E66665">
            <w:pPr>
              <w:spacing w:after="0"/>
            </w:pPr>
            <w:r>
              <w:rPr>
                <w:rFonts w:ascii="Calibri" w:hAnsi="Calibri"/>
                <w:color w:val="222222"/>
                <w:sz w:val="20"/>
              </w:rPr>
              <w:t>Bhimavaram Institute of Engineering and Technology (BIET)</w:t>
            </w:r>
          </w:p>
        </w:tc>
      </w:tr>
      <w:tr w:rsidR="00F540D9" w14:paraId="2579498A" w14:textId="77777777">
        <w:trPr>
          <w:jc w:val="center"/>
        </w:trPr>
        <w:tc>
          <w:tcPr>
            <w:tcW w:w="3168" w:type="dxa"/>
            <w:shd w:val="clear" w:color="auto" w:fill="F4F7FA"/>
            <w:tcMar>
              <w:top w:w="80" w:type="dxa"/>
              <w:left w:w="120" w:type="dxa"/>
              <w:bottom w:w="80" w:type="dxa"/>
              <w:right w:w="120" w:type="dxa"/>
            </w:tcMar>
          </w:tcPr>
          <w:p w14:paraId="72005F1C" w14:textId="77777777" w:rsidR="00F540D9" w:rsidRDefault="00E66665">
            <w:pPr>
              <w:spacing w:after="0"/>
            </w:pPr>
            <w:r>
              <w:rPr>
                <w:rFonts w:ascii="Calibri" w:hAnsi="Calibri"/>
                <w:b/>
                <w:color w:val="1B365D"/>
                <w:sz w:val="20"/>
              </w:rPr>
              <w:t>Affiliated University:</w:t>
            </w:r>
          </w:p>
        </w:tc>
        <w:tc>
          <w:tcPr>
            <w:tcW w:w="6192" w:type="dxa"/>
            <w:shd w:val="clear" w:color="auto" w:fill="F4F7FA"/>
            <w:tcMar>
              <w:top w:w="80" w:type="dxa"/>
              <w:left w:w="120" w:type="dxa"/>
              <w:bottom w:w="80" w:type="dxa"/>
              <w:right w:w="120" w:type="dxa"/>
            </w:tcMar>
          </w:tcPr>
          <w:p w14:paraId="134DA9D7" w14:textId="77777777" w:rsidR="00F540D9" w:rsidRDefault="00E66665">
            <w:pPr>
              <w:spacing w:after="0"/>
            </w:pPr>
            <w:r>
              <w:rPr>
                <w:rFonts w:ascii="Calibri" w:hAnsi="Calibri"/>
                <w:color w:val="222222"/>
                <w:sz w:val="20"/>
              </w:rPr>
              <w:t>Jawaharlal Nehru Technological University Kakinada (JNTUK)</w:t>
            </w:r>
          </w:p>
        </w:tc>
      </w:tr>
      <w:tr w:rsidR="00F540D9" w14:paraId="0949C374" w14:textId="77777777">
        <w:trPr>
          <w:jc w:val="center"/>
        </w:trPr>
        <w:tc>
          <w:tcPr>
            <w:tcW w:w="3168" w:type="dxa"/>
            <w:shd w:val="clear" w:color="auto" w:fill="FFFFFF"/>
            <w:tcMar>
              <w:top w:w="80" w:type="dxa"/>
              <w:left w:w="120" w:type="dxa"/>
              <w:bottom w:w="80" w:type="dxa"/>
              <w:right w:w="120" w:type="dxa"/>
            </w:tcMar>
          </w:tcPr>
          <w:p w14:paraId="390701F5" w14:textId="77777777" w:rsidR="00F540D9" w:rsidRDefault="00E66665">
            <w:pPr>
              <w:spacing w:after="0"/>
            </w:pPr>
            <w:r>
              <w:rPr>
                <w:rFonts w:ascii="Calibri" w:hAnsi="Calibri"/>
                <w:b/>
                <w:color w:val="1B365D"/>
                <w:sz w:val="20"/>
              </w:rPr>
              <w:t>Internship Program:</w:t>
            </w:r>
          </w:p>
        </w:tc>
        <w:tc>
          <w:tcPr>
            <w:tcW w:w="6192" w:type="dxa"/>
            <w:shd w:val="clear" w:color="auto" w:fill="FFFFFF"/>
            <w:tcMar>
              <w:top w:w="80" w:type="dxa"/>
              <w:left w:w="120" w:type="dxa"/>
              <w:bottom w:w="80" w:type="dxa"/>
              <w:right w:w="120" w:type="dxa"/>
            </w:tcMar>
          </w:tcPr>
          <w:p w14:paraId="5CE2F123" w14:textId="77777777" w:rsidR="00F540D9" w:rsidRDefault="00E66665">
            <w:pPr>
              <w:spacing w:after="0"/>
            </w:pPr>
            <w:r>
              <w:rPr>
                <w:rFonts w:ascii="Calibri" w:hAnsi="Calibri"/>
                <w:color w:val="222222"/>
                <w:sz w:val="20"/>
              </w:rPr>
              <w:t>AICTE | IBM SkillsBuild Data Analytics with AI Academic Internship 2026</w:t>
            </w:r>
          </w:p>
        </w:tc>
      </w:tr>
      <w:tr w:rsidR="00F540D9" w14:paraId="4DEF6847" w14:textId="77777777">
        <w:trPr>
          <w:jc w:val="center"/>
        </w:trPr>
        <w:tc>
          <w:tcPr>
            <w:tcW w:w="3168" w:type="dxa"/>
            <w:shd w:val="clear" w:color="auto" w:fill="F4F7FA"/>
            <w:tcMar>
              <w:top w:w="80" w:type="dxa"/>
              <w:left w:w="120" w:type="dxa"/>
              <w:bottom w:w="80" w:type="dxa"/>
              <w:right w:w="120" w:type="dxa"/>
            </w:tcMar>
          </w:tcPr>
          <w:p w14:paraId="6DDBF6A7" w14:textId="77777777" w:rsidR="00F540D9" w:rsidRDefault="00E66665">
            <w:pPr>
              <w:spacing w:after="0"/>
            </w:pPr>
            <w:r>
              <w:rPr>
                <w:rFonts w:ascii="Calibri" w:hAnsi="Calibri"/>
                <w:b/>
                <w:color w:val="1B365D"/>
                <w:sz w:val="20"/>
              </w:rPr>
              <w:t>Internship Organization:</w:t>
            </w:r>
          </w:p>
        </w:tc>
        <w:tc>
          <w:tcPr>
            <w:tcW w:w="6192" w:type="dxa"/>
            <w:shd w:val="clear" w:color="auto" w:fill="F4F7FA"/>
            <w:tcMar>
              <w:top w:w="80" w:type="dxa"/>
              <w:left w:w="120" w:type="dxa"/>
              <w:bottom w:w="80" w:type="dxa"/>
              <w:right w:w="120" w:type="dxa"/>
            </w:tcMar>
          </w:tcPr>
          <w:p w14:paraId="2A9269BE" w14:textId="77777777" w:rsidR="00F540D9" w:rsidRDefault="00E66665">
            <w:pPr>
              <w:spacing w:after="0"/>
            </w:pPr>
            <w:r>
              <w:rPr>
                <w:rFonts w:ascii="Calibri" w:hAnsi="Calibri"/>
                <w:color w:val="222222"/>
                <w:sz w:val="20"/>
              </w:rPr>
              <w:t>BharatCares in association with AICTE</w:t>
            </w:r>
          </w:p>
        </w:tc>
      </w:tr>
    </w:tbl>
    <w:p w14:paraId="748045DB" w14:textId="77777777" w:rsidR="00F540D9" w:rsidRDefault="00F540D9">
      <w:pPr>
        <w:spacing w:before="800"/>
      </w:pPr>
    </w:p>
    <w:p w14:paraId="7804C922" w14:textId="77777777" w:rsidR="00F540D9" w:rsidRDefault="00E66665">
      <w:pPr>
        <w:jc w:val="center"/>
      </w:pPr>
      <w:r>
        <w:rPr>
          <w:rFonts w:ascii="Calibri" w:hAnsi="Calibri"/>
          <w:i/>
          <w:color w:val="646464"/>
          <w:sz w:val="19"/>
        </w:rPr>
        <w:t>Submission Date: Academic Year 2025 – 2026 | Bhimavaram, Andhra Pradesh, India</w:t>
      </w:r>
    </w:p>
    <w:p w14:paraId="6AA510D0" w14:textId="77777777" w:rsidR="00F540D9" w:rsidRDefault="00E66665">
      <w:r>
        <w:br w:type="page"/>
      </w:r>
    </w:p>
    <w:p w14:paraId="5982F851" w14:textId="77777777" w:rsidR="00F540D9" w:rsidRDefault="00E66665">
      <w:pPr>
        <w:pStyle w:val="Heading1"/>
        <w:spacing w:before="320" w:after="120"/>
      </w:pPr>
      <w:r>
        <w:rPr>
          <w:rFonts w:ascii="Calibri" w:hAnsi="Calibri"/>
          <w:color w:val="1B365D"/>
          <w:sz w:val="30"/>
        </w:rPr>
        <w:lastRenderedPageBreak/>
        <w:t>Table of Contents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600"/>
        <w:gridCol w:w="5760"/>
      </w:tblGrid>
      <w:tr w:rsidR="00F540D9" w14:paraId="0542DD1B" w14:textId="77777777">
        <w:trPr>
          <w:jc w:val="center"/>
        </w:trPr>
        <w:tc>
          <w:tcPr>
            <w:tcW w:w="3600" w:type="dxa"/>
            <w:shd w:val="clear" w:color="auto" w:fill="1B365D"/>
            <w:tcMar>
              <w:top w:w="140" w:type="dxa"/>
              <w:left w:w="160" w:type="dxa"/>
              <w:bottom w:w="140" w:type="dxa"/>
              <w:right w:w="160" w:type="dxa"/>
            </w:tcMar>
          </w:tcPr>
          <w:p w14:paraId="107D25D4" w14:textId="77777777" w:rsidR="00F540D9" w:rsidRDefault="00E66665">
            <w:pPr>
              <w:spacing w:after="0"/>
            </w:pPr>
            <w:r>
              <w:rPr>
                <w:rFonts w:ascii="Calibri" w:hAnsi="Calibri"/>
                <w:b/>
                <w:color w:val="FFFFFF"/>
                <w:sz w:val="19"/>
              </w:rPr>
              <w:t>Section / Chapter Name</w:t>
            </w:r>
          </w:p>
        </w:tc>
        <w:tc>
          <w:tcPr>
            <w:tcW w:w="5760" w:type="dxa"/>
            <w:shd w:val="clear" w:color="auto" w:fill="1B365D"/>
            <w:tcMar>
              <w:top w:w="140" w:type="dxa"/>
              <w:left w:w="160" w:type="dxa"/>
              <w:bottom w:w="140" w:type="dxa"/>
              <w:right w:w="160" w:type="dxa"/>
            </w:tcMar>
          </w:tcPr>
          <w:p w14:paraId="2C20E6CC" w14:textId="77777777" w:rsidR="00F540D9" w:rsidRDefault="00E66665">
            <w:pPr>
              <w:spacing w:after="0"/>
            </w:pPr>
            <w:r>
              <w:rPr>
                <w:rFonts w:ascii="Calibri" w:hAnsi="Calibri"/>
                <w:b/>
                <w:color w:val="FFFFFF"/>
                <w:sz w:val="19"/>
              </w:rPr>
              <w:t>Description / Focus Area</w:t>
            </w:r>
          </w:p>
        </w:tc>
      </w:tr>
      <w:tr w:rsidR="00F540D9" w14:paraId="35465748" w14:textId="77777777">
        <w:trPr>
          <w:jc w:val="center"/>
        </w:trPr>
        <w:tc>
          <w:tcPr>
            <w:tcW w:w="3600" w:type="dxa"/>
            <w:shd w:val="clear" w:color="auto" w:fill="FFFFFF"/>
            <w:tcMar>
              <w:top w:w="100" w:type="dxa"/>
              <w:left w:w="160" w:type="dxa"/>
              <w:bottom w:w="100" w:type="dxa"/>
              <w:right w:w="160" w:type="dxa"/>
            </w:tcMar>
          </w:tcPr>
          <w:p w14:paraId="712902BD" w14:textId="77777777" w:rsidR="00F540D9" w:rsidRDefault="00E66665">
            <w:pPr>
              <w:spacing w:after="0" w:line="264" w:lineRule="auto"/>
            </w:pPr>
            <w:r>
              <w:rPr>
                <w:rFonts w:ascii="Calibri" w:hAnsi="Calibri"/>
                <w:b/>
                <w:color w:val="222222"/>
                <w:sz w:val="19"/>
              </w:rPr>
              <w:t>1. Abstract</w:t>
            </w:r>
          </w:p>
        </w:tc>
        <w:tc>
          <w:tcPr>
            <w:tcW w:w="5760" w:type="dxa"/>
            <w:shd w:val="clear" w:color="auto" w:fill="FFFFFF"/>
            <w:tcMar>
              <w:top w:w="100" w:type="dxa"/>
              <w:left w:w="160" w:type="dxa"/>
              <w:bottom w:w="100" w:type="dxa"/>
              <w:right w:w="160" w:type="dxa"/>
            </w:tcMar>
          </w:tcPr>
          <w:p w14:paraId="4D5AF3C3" w14:textId="77777777" w:rsidR="00F540D9" w:rsidRDefault="00E66665">
            <w:pPr>
              <w:spacing w:after="0" w:line="264" w:lineRule="auto"/>
            </w:pPr>
            <w:r>
              <w:rPr>
                <w:rFonts w:ascii="Calibri" w:hAnsi="Calibri"/>
                <w:color w:val="222222"/>
                <w:sz w:val="19"/>
              </w:rPr>
              <w:t>Executive Summary of Problem, Methods, and Results</w:t>
            </w:r>
          </w:p>
        </w:tc>
      </w:tr>
      <w:tr w:rsidR="00F540D9" w14:paraId="7F7CE582" w14:textId="77777777">
        <w:trPr>
          <w:jc w:val="center"/>
        </w:trPr>
        <w:tc>
          <w:tcPr>
            <w:tcW w:w="3600" w:type="dxa"/>
            <w:shd w:val="clear" w:color="auto" w:fill="F4F7FA"/>
            <w:tcMar>
              <w:top w:w="100" w:type="dxa"/>
              <w:left w:w="160" w:type="dxa"/>
              <w:bottom w:w="100" w:type="dxa"/>
              <w:right w:w="160" w:type="dxa"/>
            </w:tcMar>
          </w:tcPr>
          <w:p w14:paraId="668F3E05" w14:textId="77777777" w:rsidR="00F540D9" w:rsidRDefault="00E66665">
            <w:pPr>
              <w:spacing w:after="0" w:line="264" w:lineRule="auto"/>
            </w:pPr>
            <w:r>
              <w:rPr>
                <w:rFonts w:ascii="Calibri" w:hAnsi="Calibri"/>
                <w:b/>
                <w:color w:val="222222"/>
                <w:sz w:val="19"/>
              </w:rPr>
              <w:t>2. Introduction</w:t>
            </w:r>
          </w:p>
        </w:tc>
        <w:tc>
          <w:tcPr>
            <w:tcW w:w="5760" w:type="dxa"/>
            <w:shd w:val="clear" w:color="auto" w:fill="F4F7FA"/>
            <w:tcMar>
              <w:top w:w="100" w:type="dxa"/>
              <w:left w:w="160" w:type="dxa"/>
              <w:bottom w:w="100" w:type="dxa"/>
              <w:right w:w="160" w:type="dxa"/>
            </w:tcMar>
          </w:tcPr>
          <w:p w14:paraId="204B2FFE" w14:textId="77777777" w:rsidR="00F540D9" w:rsidRDefault="00E66665">
            <w:pPr>
              <w:spacing w:after="0" w:line="264" w:lineRule="auto"/>
            </w:pPr>
            <w:r>
              <w:rPr>
                <w:rFonts w:ascii="Calibri" w:hAnsi="Calibri"/>
                <w:color w:val="222222"/>
                <w:sz w:val="19"/>
              </w:rPr>
              <w:t>Background, Economic Context, and Problem Motivation</w:t>
            </w:r>
          </w:p>
        </w:tc>
      </w:tr>
      <w:tr w:rsidR="00F540D9" w14:paraId="6560053D" w14:textId="77777777">
        <w:trPr>
          <w:jc w:val="center"/>
        </w:trPr>
        <w:tc>
          <w:tcPr>
            <w:tcW w:w="3600" w:type="dxa"/>
            <w:shd w:val="clear" w:color="auto" w:fill="FFFFFF"/>
            <w:tcMar>
              <w:top w:w="100" w:type="dxa"/>
              <w:left w:w="160" w:type="dxa"/>
              <w:bottom w:w="100" w:type="dxa"/>
              <w:right w:w="160" w:type="dxa"/>
            </w:tcMar>
          </w:tcPr>
          <w:p w14:paraId="757D9BF1" w14:textId="77777777" w:rsidR="00F540D9" w:rsidRDefault="00E66665">
            <w:pPr>
              <w:spacing w:after="0" w:line="264" w:lineRule="auto"/>
            </w:pPr>
            <w:r>
              <w:rPr>
                <w:rFonts w:ascii="Calibri" w:hAnsi="Calibri"/>
                <w:b/>
                <w:color w:val="222222"/>
                <w:sz w:val="19"/>
              </w:rPr>
              <w:t>3. Problem Statement</w:t>
            </w:r>
          </w:p>
        </w:tc>
        <w:tc>
          <w:tcPr>
            <w:tcW w:w="5760" w:type="dxa"/>
            <w:shd w:val="clear" w:color="auto" w:fill="FFFFFF"/>
            <w:tcMar>
              <w:top w:w="100" w:type="dxa"/>
              <w:left w:w="160" w:type="dxa"/>
              <w:bottom w:w="100" w:type="dxa"/>
              <w:right w:w="160" w:type="dxa"/>
            </w:tcMar>
          </w:tcPr>
          <w:p w14:paraId="6ED46628" w14:textId="77777777" w:rsidR="00F540D9" w:rsidRDefault="00E66665">
            <w:pPr>
              <w:spacing w:after="0" w:line="264" w:lineRule="auto"/>
            </w:pPr>
            <w:r>
              <w:rPr>
                <w:rFonts w:ascii="Calibri" w:hAnsi="Calibri"/>
                <w:color w:val="222222"/>
                <w:sz w:val="19"/>
              </w:rPr>
              <w:t>Challenges in Automated Residential Real Estate Valuation</w:t>
            </w:r>
          </w:p>
        </w:tc>
      </w:tr>
      <w:tr w:rsidR="00F540D9" w14:paraId="4E6B70E3" w14:textId="77777777">
        <w:trPr>
          <w:jc w:val="center"/>
        </w:trPr>
        <w:tc>
          <w:tcPr>
            <w:tcW w:w="3600" w:type="dxa"/>
            <w:shd w:val="clear" w:color="auto" w:fill="F4F7FA"/>
            <w:tcMar>
              <w:top w:w="100" w:type="dxa"/>
              <w:left w:w="160" w:type="dxa"/>
              <w:bottom w:w="100" w:type="dxa"/>
              <w:right w:w="160" w:type="dxa"/>
            </w:tcMar>
          </w:tcPr>
          <w:p w14:paraId="2FB5E6FA" w14:textId="77777777" w:rsidR="00F540D9" w:rsidRDefault="00E66665">
            <w:pPr>
              <w:spacing w:after="0" w:line="264" w:lineRule="auto"/>
            </w:pPr>
            <w:r>
              <w:rPr>
                <w:rFonts w:ascii="Calibri" w:hAnsi="Calibri"/>
                <w:b/>
                <w:color w:val="222222"/>
                <w:sz w:val="19"/>
              </w:rPr>
              <w:t>4. Objectives</w:t>
            </w:r>
          </w:p>
        </w:tc>
        <w:tc>
          <w:tcPr>
            <w:tcW w:w="5760" w:type="dxa"/>
            <w:shd w:val="clear" w:color="auto" w:fill="F4F7FA"/>
            <w:tcMar>
              <w:top w:w="100" w:type="dxa"/>
              <w:left w:w="160" w:type="dxa"/>
              <w:bottom w:w="100" w:type="dxa"/>
              <w:right w:w="160" w:type="dxa"/>
            </w:tcMar>
          </w:tcPr>
          <w:p w14:paraId="706ADB49" w14:textId="77777777" w:rsidR="00F540D9" w:rsidRDefault="00E66665">
            <w:pPr>
              <w:spacing w:after="0" w:line="264" w:lineRule="auto"/>
            </w:pPr>
            <w:r>
              <w:rPr>
                <w:rFonts w:ascii="Calibri" w:hAnsi="Calibri"/>
                <w:color w:val="222222"/>
                <w:sz w:val="19"/>
              </w:rPr>
              <w:t>Specific Technical, Analytical, and Deployment Goals</w:t>
            </w:r>
          </w:p>
        </w:tc>
      </w:tr>
      <w:tr w:rsidR="00F540D9" w14:paraId="2CCAA3F5" w14:textId="77777777">
        <w:trPr>
          <w:jc w:val="center"/>
        </w:trPr>
        <w:tc>
          <w:tcPr>
            <w:tcW w:w="3600" w:type="dxa"/>
            <w:shd w:val="clear" w:color="auto" w:fill="FFFFFF"/>
            <w:tcMar>
              <w:top w:w="100" w:type="dxa"/>
              <w:left w:w="160" w:type="dxa"/>
              <w:bottom w:w="100" w:type="dxa"/>
              <w:right w:w="160" w:type="dxa"/>
            </w:tcMar>
          </w:tcPr>
          <w:p w14:paraId="0AD68790" w14:textId="77777777" w:rsidR="00F540D9" w:rsidRDefault="00E66665">
            <w:pPr>
              <w:spacing w:after="0" w:line="264" w:lineRule="auto"/>
            </w:pPr>
            <w:r>
              <w:rPr>
                <w:rFonts w:ascii="Calibri" w:hAnsi="Calibri"/>
                <w:b/>
                <w:color w:val="222222"/>
                <w:sz w:val="19"/>
              </w:rPr>
              <w:t>5. Dataset Description</w:t>
            </w:r>
          </w:p>
        </w:tc>
        <w:tc>
          <w:tcPr>
            <w:tcW w:w="5760" w:type="dxa"/>
            <w:shd w:val="clear" w:color="auto" w:fill="FFFFFF"/>
            <w:tcMar>
              <w:top w:w="100" w:type="dxa"/>
              <w:left w:w="160" w:type="dxa"/>
              <w:bottom w:w="100" w:type="dxa"/>
              <w:right w:w="160" w:type="dxa"/>
            </w:tcMar>
          </w:tcPr>
          <w:p w14:paraId="631B63A5" w14:textId="77777777" w:rsidR="00F540D9" w:rsidRDefault="00E66665">
            <w:pPr>
              <w:spacing w:after="0" w:line="264" w:lineRule="auto"/>
            </w:pPr>
            <w:r>
              <w:rPr>
                <w:rFonts w:ascii="Calibri" w:hAnsi="Calibri"/>
                <w:color w:val="222222"/>
                <w:sz w:val="19"/>
              </w:rPr>
              <w:t>Data Source, Attributes, Target Statistics, and Schema</w:t>
            </w:r>
          </w:p>
        </w:tc>
      </w:tr>
      <w:tr w:rsidR="00F540D9" w14:paraId="098F75B7" w14:textId="77777777">
        <w:trPr>
          <w:jc w:val="center"/>
        </w:trPr>
        <w:tc>
          <w:tcPr>
            <w:tcW w:w="3600" w:type="dxa"/>
            <w:shd w:val="clear" w:color="auto" w:fill="F4F7FA"/>
            <w:tcMar>
              <w:top w:w="100" w:type="dxa"/>
              <w:left w:w="160" w:type="dxa"/>
              <w:bottom w:w="100" w:type="dxa"/>
              <w:right w:w="160" w:type="dxa"/>
            </w:tcMar>
          </w:tcPr>
          <w:p w14:paraId="7500C0DF" w14:textId="77777777" w:rsidR="00F540D9" w:rsidRDefault="00E66665">
            <w:pPr>
              <w:spacing w:after="0" w:line="264" w:lineRule="auto"/>
            </w:pPr>
            <w:r>
              <w:rPr>
                <w:rFonts w:ascii="Calibri" w:hAnsi="Calibri"/>
                <w:b/>
                <w:color w:val="222222"/>
                <w:sz w:val="19"/>
              </w:rPr>
              <w:t>6. Data Understanding</w:t>
            </w:r>
          </w:p>
        </w:tc>
        <w:tc>
          <w:tcPr>
            <w:tcW w:w="5760" w:type="dxa"/>
            <w:shd w:val="clear" w:color="auto" w:fill="F4F7FA"/>
            <w:tcMar>
              <w:top w:w="100" w:type="dxa"/>
              <w:left w:w="160" w:type="dxa"/>
              <w:bottom w:w="100" w:type="dxa"/>
              <w:right w:w="160" w:type="dxa"/>
            </w:tcMar>
          </w:tcPr>
          <w:p w14:paraId="38F4272B" w14:textId="77777777" w:rsidR="00F540D9" w:rsidRDefault="00E66665">
            <w:pPr>
              <w:spacing w:after="0" w:line="264" w:lineRule="auto"/>
            </w:pPr>
            <w:r>
              <w:rPr>
                <w:rFonts w:ascii="Calibri" w:hAnsi="Calibri"/>
                <w:color w:val="222222"/>
                <w:sz w:val="19"/>
              </w:rPr>
              <w:t>Implementation Analysis of Statistical Inspection &amp; Profiling</w:t>
            </w:r>
          </w:p>
        </w:tc>
      </w:tr>
      <w:tr w:rsidR="00F540D9" w14:paraId="24CD99E1" w14:textId="77777777">
        <w:trPr>
          <w:jc w:val="center"/>
        </w:trPr>
        <w:tc>
          <w:tcPr>
            <w:tcW w:w="3600" w:type="dxa"/>
            <w:shd w:val="clear" w:color="auto" w:fill="FFFFFF"/>
            <w:tcMar>
              <w:top w:w="100" w:type="dxa"/>
              <w:left w:w="160" w:type="dxa"/>
              <w:bottom w:w="100" w:type="dxa"/>
              <w:right w:w="160" w:type="dxa"/>
            </w:tcMar>
          </w:tcPr>
          <w:p w14:paraId="5FA39FD5" w14:textId="77777777" w:rsidR="00F540D9" w:rsidRDefault="00E66665">
            <w:pPr>
              <w:spacing w:after="0" w:line="264" w:lineRule="auto"/>
            </w:pPr>
            <w:r>
              <w:rPr>
                <w:rFonts w:ascii="Calibri" w:hAnsi="Calibri"/>
                <w:b/>
                <w:color w:val="222222"/>
                <w:sz w:val="19"/>
              </w:rPr>
              <w:t>7. Data Cleaning and Preprocessing</w:t>
            </w:r>
          </w:p>
        </w:tc>
        <w:tc>
          <w:tcPr>
            <w:tcW w:w="5760" w:type="dxa"/>
            <w:shd w:val="clear" w:color="auto" w:fill="FFFFFF"/>
            <w:tcMar>
              <w:top w:w="100" w:type="dxa"/>
              <w:left w:w="160" w:type="dxa"/>
              <w:bottom w:w="100" w:type="dxa"/>
              <w:right w:w="160" w:type="dxa"/>
            </w:tcMar>
          </w:tcPr>
          <w:p w14:paraId="23378A9E" w14:textId="77777777" w:rsidR="00F540D9" w:rsidRDefault="00E66665">
            <w:pPr>
              <w:spacing w:after="0" w:line="264" w:lineRule="auto"/>
            </w:pPr>
            <w:r>
              <w:rPr>
                <w:rFonts w:ascii="Calibri" w:hAnsi="Calibri"/>
                <w:color w:val="222222"/>
                <w:sz w:val="19"/>
              </w:rPr>
              <w:t>Handling Missing Values, Duplicates, Winsorization, and Encoding</w:t>
            </w:r>
          </w:p>
        </w:tc>
      </w:tr>
      <w:tr w:rsidR="00F540D9" w14:paraId="6F93F839" w14:textId="77777777">
        <w:trPr>
          <w:jc w:val="center"/>
        </w:trPr>
        <w:tc>
          <w:tcPr>
            <w:tcW w:w="3600" w:type="dxa"/>
            <w:shd w:val="clear" w:color="auto" w:fill="F4F7FA"/>
            <w:tcMar>
              <w:top w:w="100" w:type="dxa"/>
              <w:left w:w="160" w:type="dxa"/>
              <w:bottom w:w="100" w:type="dxa"/>
              <w:right w:w="160" w:type="dxa"/>
            </w:tcMar>
          </w:tcPr>
          <w:p w14:paraId="7E951557" w14:textId="77777777" w:rsidR="00F540D9" w:rsidRDefault="00E66665">
            <w:pPr>
              <w:spacing w:after="0" w:line="264" w:lineRule="auto"/>
            </w:pPr>
            <w:r>
              <w:rPr>
                <w:rFonts w:ascii="Calibri" w:hAnsi="Calibri"/>
                <w:b/>
                <w:color w:val="222222"/>
                <w:sz w:val="19"/>
              </w:rPr>
              <w:t>8. Exploratory Data Analysis (EDA)</w:t>
            </w:r>
          </w:p>
        </w:tc>
        <w:tc>
          <w:tcPr>
            <w:tcW w:w="5760" w:type="dxa"/>
            <w:shd w:val="clear" w:color="auto" w:fill="F4F7FA"/>
            <w:tcMar>
              <w:top w:w="100" w:type="dxa"/>
              <w:left w:w="160" w:type="dxa"/>
              <w:bottom w:w="100" w:type="dxa"/>
              <w:right w:w="160" w:type="dxa"/>
            </w:tcMar>
          </w:tcPr>
          <w:p w14:paraId="3860AB2F" w14:textId="77777777" w:rsidR="00F540D9" w:rsidRDefault="00E66665">
            <w:pPr>
              <w:spacing w:after="0" w:line="264" w:lineRule="auto"/>
            </w:pPr>
            <w:r>
              <w:rPr>
                <w:rFonts w:ascii="Calibri" w:hAnsi="Calibri"/>
                <w:color w:val="222222"/>
                <w:sz w:val="19"/>
              </w:rPr>
              <w:t>In-Depth Discussion of 10 Generated Visualizations</w:t>
            </w:r>
          </w:p>
        </w:tc>
      </w:tr>
      <w:tr w:rsidR="00F540D9" w14:paraId="5682FF47" w14:textId="77777777">
        <w:trPr>
          <w:jc w:val="center"/>
        </w:trPr>
        <w:tc>
          <w:tcPr>
            <w:tcW w:w="3600" w:type="dxa"/>
            <w:shd w:val="clear" w:color="auto" w:fill="FFFFFF"/>
            <w:tcMar>
              <w:top w:w="100" w:type="dxa"/>
              <w:left w:w="160" w:type="dxa"/>
              <w:bottom w:w="100" w:type="dxa"/>
              <w:right w:w="160" w:type="dxa"/>
            </w:tcMar>
          </w:tcPr>
          <w:p w14:paraId="1AA68DDB" w14:textId="77777777" w:rsidR="00F540D9" w:rsidRDefault="00E66665">
            <w:pPr>
              <w:spacing w:after="0" w:line="264" w:lineRule="auto"/>
            </w:pPr>
            <w:r>
              <w:rPr>
                <w:rFonts w:ascii="Calibri" w:hAnsi="Calibri"/>
                <w:b/>
                <w:color w:val="222222"/>
                <w:sz w:val="19"/>
              </w:rPr>
              <w:t>9. Feature Engineering</w:t>
            </w:r>
          </w:p>
        </w:tc>
        <w:tc>
          <w:tcPr>
            <w:tcW w:w="5760" w:type="dxa"/>
            <w:shd w:val="clear" w:color="auto" w:fill="FFFFFF"/>
            <w:tcMar>
              <w:top w:w="100" w:type="dxa"/>
              <w:left w:w="160" w:type="dxa"/>
              <w:bottom w:w="100" w:type="dxa"/>
              <w:right w:w="160" w:type="dxa"/>
            </w:tcMar>
          </w:tcPr>
          <w:p w14:paraId="029CDAD0" w14:textId="77777777" w:rsidR="00F540D9" w:rsidRDefault="00E66665">
            <w:pPr>
              <w:spacing w:after="0" w:line="264" w:lineRule="auto"/>
            </w:pPr>
            <w:r>
              <w:rPr>
                <w:rFonts w:ascii="Calibri" w:hAnsi="Calibri"/>
                <w:color w:val="222222"/>
                <w:sz w:val="19"/>
              </w:rPr>
              <w:t>Derivation of 10 Domain Features and Predictive Rationale</w:t>
            </w:r>
          </w:p>
        </w:tc>
      </w:tr>
      <w:tr w:rsidR="00F540D9" w14:paraId="6516991C" w14:textId="77777777">
        <w:trPr>
          <w:jc w:val="center"/>
        </w:trPr>
        <w:tc>
          <w:tcPr>
            <w:tcW w:w="3600" w:type="dxa"/>
            <w:shd w:val="clear" w:color="auto" w:fill="F4F7FA"/>
            <w:tcMar>
              <w:top w:w="100" w:type="dxa"/>
              <w:left w:w="160" w:type="dxa"/>
              <w:bottom w:w="100" w:type="dxa"/>
              <w:right w:w="160" w:type="dxa"/>
            </w:tcMar>
          </w:tcPr>
          <w:p w14:paraId="7A883CF4" w14:textId="77777777" w:rsidR="00F540D9" w:rsidRDefault="00E66665">
            <w:pPr>
              <w:spacing w:after="0" w:line="264" w:lineRule="auto"/>
            </w:pPr>
            <w:r>
              <w:rPr>
                <w:rFonts w:ascii="Calibri" w:hAnsi="Calibri"/>
                <w:b/>
                <w:color w:val="222222"/>
                <w:sz w:val="19"/>
              </w:rPr>
              <w:t>10. Machine Learning Models</w:t>
            </w:r>
          </w:p>
        </w:tc>
        <w:tc>
          <w:tcPr>
            <w:tcW w:w="5760" w:type="dxa"/>
            <w:shd w:val="clear" w:color="auto" w:fill="F4F7FA"/>
            <w:tcMar>
              <w:top w:w="100" w:type="dxa"/>
              <w:left w:w="160" w:type="dxa"/>
              <w:bottom w:w="100" w:type="dxa"/>
              <w:right w:w="160" w:type="dxa"/>
            </w:tcMar>
          </w:tcPr>
          <w:p w14:paraId="57975EA4" w14:textId="77777777" w:rsidR="00F540D9" w:rsidRDefault="00E66665">
            <w:pPr>
              <w:spacing w:after="0" w:line="264" w:lineRule="auto"/>
            </w:pPr>
            <w:r>
              <w:rPr>
                <w:rFonts w:ascii="Calibri" w:hAnsi="Calibri"/>
                <w:color w:val="222222"/>
                <w:sz w:val="19"/>
              </w:rPr>
              <w:t>Architectural Formulations of the 4 Implemented Regressors</w:t>
            </w:r>
          </w:p>
        </w:tc>
      </w:tr>
      <w:tr w:rsidR="00F540D9" w14:paraId="72A28419" w14:textId="77777777">
        <w:trPr>
          <w:jc w:val="center"/>
        </w:trPr>
        <w:tc>
          <w:tcPr>
            <w:tcW w:w="3600" w:type="dxa"/>
            <w:shd w:val="clear" w:color="auto" w:fill="FFFFFF"/>
            <w:tcMar>
              <w:top w:w="100" w:type="dxa"/>
              <w:left w:w="160" w:type="dxa"/>
              <w:bottom w:w="100" w:type="dxa"/>
              <w:right w:w="160" w:type="dxa"/>
            </w:tcMar>
          </w:tcPr>
          <w:p w14:paraId="2EFCB7B7" w14:textId="77777777" w:rsidR="00F540D9" w:rsidRDefault="00E66665">
            <w:pPr>
              <w:spacing w:after="0" w:line="264" w:lineRule="auto"/>
            </w:pPr>
            <w:r>
              <w:rPr>
                <w:rFonts w:ascii="Calibri" w:hAnsi="Calibri"/>
                <w:b/>
                <w:color w:val="222222"/>
                <w:sz w:val="19"/>
              </w:rPr>
              <w:t>11. Model Training and Evaluation</w:t>
            </w:r>
          </w:p>
        </w:tc>
        <w:tc>
          <w:tcPr>
            <w:tcW w:w="5760" w:type="dxa"/>
            <w:shd w:val="clear" w:color="auto" w:fill="FFFFFF"/>
            <w:tcMar>
              <w:top w:w="100" w:type="dxa"/>
              <w:left w:w="160" w:type="dxa"/>
              <w:bottom w:w="100" w:type="dxa"/>
              <w:right w:w="160" w:type="dxa"/>
            </w:tcMar>
          </w:tcPr>
          <w:p w14:paraId="3020BA94" w14:textId="77777777" w:rsidR="00F540D9" w:rsidRDefault="00E66665">
            <w:pPr>
              <w:spacing w:after="0" w:line="264" w:lineRule="auto"/>
            </w:pPr>
            <w:r>
              <w:rPr>
                <w:rFonts w:ascii="Calibri" w:hAnsi="Calibri"/>
                <w:color w:val="222222"/>
                <w:sz w:val="19"/>
              </w:rPr>
              <w:t>Split Strategy, Leakage Prevention, Metric Results, and Visual Plots</w:t>
            </w:r>
          </w:p>
        </w:tc>
      </w:tr>
      <w:tr w:rsidR="00F540D9" w14:paraId="4791494E" w14:textId="77777777">
        <w:trPr>
          <w:jc w:val="center"/>
        </w:trPr>
        <w:tc>
          <w:tcPr>
            <w:tcW w:w="3600" w:type="dxa"/>
            <w:shd w:val="clear" w:color="auto" w:fill="F4F7FA"/>
            <w:tcMar>
              <w:top w:w="100" w:type="dxa"/>
              <w:left w:w="160" w:type="dxa"/>
              <w:bottom w:w="100" w:type="dxa"/>
              <w:right w:w="160" w:type="dxa"/>
            </w:tcMar>
          </w:tcPr>
          <w:p w14:paraId="5FB2A618" w14:textId="77777777" w:rsidR="00F540D9" w:rsidRDefault="00E66665">
            <w:pPr>
              <w:spacing w:after="0" w:line="264" w:lineRule="auto"/>
            </w:pPr>
            <w:r>
              <w:rPr>
                <w:rFonts w:ascii="Calibri" w:hAnsi="Calibri"/>
                <w:b/>
                <w:color w:val="222222"/>
                <w:sz w:val="19"/>
              </w:rPr>
              <w:t>12. Best Model Selection</w:t>
            </w:r>
          </w:p>
        </w:tc>
        <w:tc>
          <w:tcPr>
            <w:tcW w:w="5760" w:type="dxa"/>
            <w:shd w:val="clear" w:color="auto" w:fill="F4F7FA"/>
            <w:tcMar>
              <w:top w:w="100" w:type="dxa"/>
              <w:left w:w="160" w:type="dxa"/>
              <w:bottom w:w="100" w:type="dxa"/>
              <w:right w:w="160" w:type="dxa"/>
            </w:tcMar>
          </w:tcPr>
          <w:p w14:paraId="639AE007" w14:textId="77777777" w:rsidR="00F540D9" w:rsidRDefault="00E66665">
            <w:pPr>
              <w:spacing w:after="0" w:line="264" w:lineRule="auto"/>
            </w:pPr>
            <w:r>
              <w:rPr>
                <w:rFonts w:ascii="Calibri" w:hAnsi="Calibri"/>
                <w:color w:val="222222"/>
                <w:sz w:val="19"/>
              </w:rPr>
              <w:t>Performance Analysis of Selected Architecture (XGBoost Regressor)</w:t>
            </w:r>
          </w:p>
        </w:tc>
      </w:tr>
      <w:tr w:rsidR="00F540D9" w14:paraId="5666636C" w14:textId="77777777">
        <w:trPr>
          <w:jc w:val="center"/>
        </w:trPr>
        <w:tc>
          <w:tcPr>
            <w:tcW w:w="3600" w:type="dxa"/>
            <w:shd w:val="clear" w:color="auto" w:fill="FFFFFF"/>
            <w:tcMar>
              <w:top w:w="100" w:type="dxa"/>
              <w:left w:w="160" w:type="dxa"/>
              <w:bottom w:w="100" w:type="dxa"/>
              <w:right w:w="160" w:type="dxa"/>
            </w:tcMar>
          </w:tcPr>
          <w:p w14:paraId="2BB60A3B" w14:textId="77777777" w:rsidR="00F540D9" w:rsidRDefault="00E66665">
            <w:pPr>
              <w:spacing w:after="0" w:line="264" w:lineRule="auto"/>
            </w:pPr>
            <w:r>
              <w:rPr>
                <w:rFonts w:ascii="Calibri" w:hAnsi="Calibri"/>
                <w:b/>
                <w:color w:val="222222"/>
                <w:sz w:val="19"/>
              </w:rPr>
              <w:t>13. Streamlit Web Application</w:t>
            </w:r>
          </w:p>
        </w:tc>
        <w:tc>
          <w:tcPr>
            <w:tcW w:w="5760" w:type="dxa"/>
            <w:shd w:val="clear" w:color="auto" w:fill="FFFFFF"/>
            <w:tcMar>
              <w:top w:w="100" w:type="dxa"/>
              <w:left w:w="160" w:type="dxa"/>
              <w:bottom w:w="100" w:type="dxa"/>
              <w:right w:w="160" w:type="dxa"/>
            </w:tcMar>
          </w:tcPr>
          <w:p w14:paraId="01B34B8F" w14:textId="77777777" w:rsidR="00F540D9" w:rsidRDefault="00E66665">
            <w:pPr>
              <w:spacing w:after="0" w:line="264" w:lineRule="auto"/>
            </w:pPr>
            <w:r>
              <w:rPr>
                <w:rFonts w:ascii="Calibri" w:hAnsi="Calibri"/>
                <w:color w:val="222222"/>
                <w:sz w:val="19"/>
              </w:rPr>
              <w:t>5-Page Interactive User Interface and Inference Pipeline</w:t>
            </w:r>
          </w:p>
        </w:tc>
      </w:tr>
      <w:tr w:rsidR="00F540D9" w14:paraId="1EB84624" w14:textId="77777777">
        <w:trPr>
          <w:jc w:val="center"/>
        </w:trPr>
        <w:tc>
          <w:tcPr>
            <w:tcW w:w="3600" w:type="dxa"/>
            <w:shd w:val="clear" w:color="auto" w:fill="F4F7FA"/>
            <w:tcMar>
              <w:top w:w="100" w:type="dxa"/>
              <w:left w:w="160" w:type="dxa"/>
              <w:bottom w:w="100" w:type="dxa"/>
              <w:right w:w="160" w:type="dxa"/>
            </w:tcMar>
          </w:tcPr>
          <w:p w14:paraId="3101021A" w14:textId="77777777" w:rsidR="00F540D9" w:rsidRDefault="00E66665">
            <w:pPr>
              <w:spacing w:after="0" w:line="264" w:lineRule="auto"/>
            </w:pPr>
            <w:r>
              <w:rPr>
                <w:rFonts w:ascii="Calibri" w:hAnsi="Calibri"/>
                <w:b/>
                <w:color w:val="222222"/>
                <w:sz w:val="19"/>
              </w:rPr>
              <w:t>14. AI / Data Analytics Component</w:t>
            </w:r>
          </w:p>
        </w:tc>
        <w:tc>
          <w:tcPr>
            <w:tcW w:w="5760" w:type="dxa"/>
            <w:shd w:val="clear" w:color="auto" w:fill="F4F7FA"/>
            <w:tcMar>
              <w:top w:w="100" w:type="dxa"/>
              <w:left w:w="160" w:type="dxa"/>
              <w:bottom w:w="100" w:type="dxa"/>
              <w:right w:w="160" w:type="dxa"/>
            </w:tcMar>
          </w:tcPr>
          <w:p w14:paraId="0EBA5E17" w14:textId="77777777" w:rsidR="00F540D9" w:rsidRDefault="00E66665">
            <w:pPr>
              <w:spacing w:after="0" w:line="264" w:lineRule="auto"/>
            </w:pPr>
            <w:r>
              <w:rPr>
                <w:rFonts w:ascii="Calibri" w:hAnsi="Calibri"/>
                <w:color w:val="222222"/>
                <w:sz w:val="19"/>
              </w:rPr>
              <w:t>Automated Quantitative Insights Engine and Correlations</w:t>
            </w:r>
          </w:p>
        </w:tc>
      </w:tr>
      <w:tr w:rsidR="00F540D9" w14:paraId="6CEC4F59" w14:textId="77777777">
        <w:trPr>
          <w:jc w:val="center"/>
        </w:trPr>
        <w:tc>
          <w:tcPr>
            <w:tcW w:w="3600" w:type="dxa"/>
            <w:shd w:val="clear" w:color="auto" w:fill="FFFFFF"/>
            <w:tcMar>
              <w:top w:w="100" w:type="dxa"/>
              <w:left w:w="160" w:type="dxa"/>
              <w:bottom w:w="100" w:type="dxa"/>
              <w:right w:w="160" w:type="dxa"/>
            </w:tcMar>
          </w:tcPr>
          <w:p w14:paraId="1E6785E2" w14:textId="77777777" w:rsidR="00F540D9" w:rsidRDefault="00E66665">
            <w:pPr>
              <w:spacing w:after="0" w:line="264" w:lineRule="auto"/>
            </w:pPr>
            <w:r>
              <w:rPr>
                <w:rFonts w:ascii="Calibri" w:hAnsi="Calibri"/>
                <w:b/>
                <w:color w:val="222222"/>
                <w:sz w:val="19"/>
              </w:rPr>
              <w:t>15. Project Workflow</w:t>
            </w:r>
          </w:p>
        </w:tc>
        <w:tc>
          <w:tcPr>
            <w:tcW w:w="5760" w:type="dxa"/>
            <w:shd w:val="clear" w:color="auto" w:fill="FFFFFF"/>
            <w:tcMar>
              <w:top w:w="100" w:type="dxa"/>
              <w:left w:w="160" w:type="dxa"/>
              <w:bottom w:w="100" w:type="dxa"/>
              <w:right w:w="160" w:type="dxa"/>
            </w:tcMar>
          </w:tcPr>
          <w:p w14:paraId="0487E86D" w14:textId="77777777" w:rsidR="00F540D9" w:rsidRDefault="00E66665">
            <w:pPr>
              <w:spacing w:after="0" w:line="264" w:lineRule="auto"/>
            </w:pPr>
            <w:r>
              <w:rPr>
                <w:rFonts w:ascii="Calibri" w:hAnsi="Calibri"/>
                <w:color w:val="222222"/>
                <w:sz w:val="19"/>
              </w:rPr>
              <w:t>End-to-End Architectural Pipeline Flowchart</w:t>
            </w:r>
          </w:p>
        </w:tc>
      </w:tr>
      <w:tr w:rsidR="00F540D9" w14:paraId="00F2542F" w14:textId="77777777">
        <w:trPr>
          <w:jc w:val="center"/>
        </w:trPr>
        <w:tc>
          <w:tcPr>
            <w:tcW w:w="3600" w:type="dxa"/>
            <w:shd w:val="clear" w:color="auto" w:fill="F4F7FA"/>
            <w:tcMar>
              <w:top w:w="100" w:type="dxa"/>
              <w:left w:w="160" w:type="dxa"/>
              <w:bottom w:w="100" w:type="dxa"/>
              <w:right w:w="160" w:type="dxa"/>
            </w:tcMar>
          </w:tcPr>
          <w:p w14:paraId="40ACFA8D" w14:textId="77777777" w:rsidR="00F540D9" w:rsidRDefault="00E66665">
            <w:pPr>
              <w:spacing w:after="0" w:line="264" w:lineRule="auto"/>
            </w:pPr>
            <w:r>
              <w:rPr>
                <w:rFonts w:ascii="Calibri" w:hAnsi="Calibri"/>
                <w:b/>
                <w:color w:val="222222"/>
                <w:sz w:val="19"/>
              </w:rPr>
              <w:t>16. Key Findings</w:t>
            </w:r>
          </w:p>
        </w:tc>
        <w:tc>
          <w:tcPr>
            <w:tcW w:w="5760" w:type="dxa"/>
            <w:shd w:val="clear" w:color="auto" w:fill="F4F7FA"/>
            <w:tcMar>
              <w:top w:w="100" w:type="dxa"/>
              <w:left w:w="160" w:type="dxa"/>
              <w:bottom w:w="100" w:type="dxa"/>
              <w:right w:w="160" w:type="dxa"/>
            </w:tcMar>
          </w:tcPr>
          <w:p w14:paraId="4714B862" w14:textId="77777777" w:rsidR="00F540D9" w:rsidRDefault="00E66665">
            <w:pPr>
              <w:spacing w:after="0" w:line="264" w:lineRule="auto"/>
            </w:pPr>
            <w:r>
              <w:rPr>
                <w:rFonts w:ascii="Calibri" w:hAnsi="Calibri"/>
                <w:color w:val="222222"/>
                <w:sz w:val="19"/>
              </w:rPr>
              <w:t>Data-Backed Empirical Conclusions from Analysis</w:t>
            </w:r>
          </w:p>
        </w:tc>
      </w:tr>
      <w:tr w:rsidR="00F540D9" w14:paraId="0B690276" w14:textId="77777777">
        <w:trPr>
          <w:jc w:val="center"/>
        </w:trPr>
        <w:tc>
          <w:tcPr>
            <w:tcW w:w="3600" w:type="dxa"/>
            <w:shd w:val="clear" w:color="auto" w:fill="FFFFFF"/>
            <w:tcMar>
              <w:top w:w="100" w:type="dxa"/>
              <w:left w:w="160" w:type="dxa"/>
              <w:bottom w:w="100" w:type="dxa"/>
              <w:right w:w="160" w:type="dxa"/>
            </w:tcMar>
          </w:tcPr>
          <w:p w14:paraId="6B94349C" w14:textId="77777777" w:rsidR="00F540D9" w:rsidRDefault="00E66665">
            <w:pPr>
              <w:spacing w:after="0" w:line="264" w:lineRule="auto"/>
            </w:pPr>
            <w:r>
              <w:rPr>
                <w:rFonts w:ascii="Calibri" w:hAnsi="Calibri"/>
                <w:b/>
                <w:color w:val="222222"/>
                <w:sz w:val="19"/>
              </w:rPr>
              <w:t>17. Challenges and Limitations</w:t>
            </w:r>
          </w:p>
        </w:tc>
        <w:tc>
          <w:tcPr>
            <w:tcW w:w="5760" w:type="dxa"/>
            <w:shd w:val="clear" w:color="auto" w:fill="FFFFFF"/>
            <w:tcMar>
              <w:top w:w="100" w:type="dxa"/>
              <w:left w:w="160" w:type="dxa"/>
              <w:bottom w:w="100" w:type="dxa"/>
              <w:right w:w="160" w:type="dxa"/>
            </w:tcMar>
          </w:tcPr>
          <w:p w14:paraId="2FB344F4" w14:textId="77777777" w:rsidR="00F540D9" w:rsidRDefault="00E66665">
            <w:pPr>
              <w:spacing w:after="0" w:line="264" w:lineRule="auto"/>
            </w:pPr>
            <w:r>
              <w:rPr>
                <w:rFonts w:ascii="Calibri" w:hAnsi="Calibri"/>
                <w:color w:val="222222"/>
                <w:sz w:val="19"/>
              </w:rPr>
              <w:t>Encountered Real-World Obstacles and Solution Strategies</w:t>
            </w:r>
          </w:p>
        </w:tc>
      </w:tr>
      <w:tr w:rsidR="00F540D9" w14:paraId="40EEC02B" w14:textId="77777777">
        <w:trPr>
          <w:jc w:val="center"/>
        </w:trPr>
        <w:tc>
          <w:tcPr>
            <w:tcW w:w="3600" w:type="dxa"/>
            <w:shd w:val="clear" w:color="auto" w:fill="F4F7FA"/>
            <w:tcMar>
              <w:top w:w="100" w:type="dxa"/>
              <w:left w:w="160" w:type="dxa"/>
              <w:bottom w:w="100" w:type="dxa"/>
              <w:right w:w="160" w:type="dxa"/>
            </w:tcMar>
          </w:tcPr>
          <w:p w14:paraId="569016B9" w14:textId="77777777" w:rsidR="00F540D9" w:rsidRDefault="00E66665">
            <w:pPr>
              <w:spacing w:after="0" w:line="264" w:lineRule="auto"/>
            </w:pPr>
            <w:r>
              <w:rPr>
                <w:rFonts w:ascii="Calibri" w:hAnsi="Calibri"/>
                <w:b/>
                <w:color w:val="222222"/>
                <w:sz w:val="19"/>
              </w:rPr>
              <w:t>18. Future Scope</w:t>
            </w:r>
          </w:p>
        </w:tc>
        <w:tc>
          <w:tcPr>
            <w:tcW w:w="5760" w:type="dxa"/>
            <w:shd w:val="clear" w:color="auto" w:fill="F4F7FA"/>
            <w:tcMar>
              <w:top w:w="100" w:type="dxa"/>
              <w:left w:w="160" w:type="dxa"/>
              <w:bottom w:w="100" w:type="dxa"/>
              <w:right w:w="160" w:type="dxa"/>
            </w:tcMar>
          </w:tcPr>
          <w:p w14:paraId="70C49756" w14:textId="77777777" w:rsidR="00F540D9" w:rsidRDefault="00E66665">
            <w:pPr>
              <w:spacing w:after="0" w:line="264" w:lineRule="auto"/>
            </w:pPr>
            <w:r>
              <w:rPr>
                <w:rFonts w:ascii="Calibri" w:hAnsi="Calibri"/>
                <w:color w:val="222222"/>
                <w:sz w:val="19"/>
              </w:rPr>
              <w:t>Proposed Methodological and Engineering Enhancements</w:t>
            </w:r>
          </w:p>
        </w:tc>
      </w:tr>
      <w:tr w:rsidR="00F540D9" w14:paraId="17FE0C46" w14:textId="77777777">
        <w:trPr>
          <w:jc w:val="center"/>
        </w:trPr>
        <w:tc>
          <w:tcPr>
            <w:tcW w:w="3600" w:type="dxa"/>
            <w:shd w:val="clear" w:color="auto" w:fill="FFFFFF"/>
            <w:tcMar>
              <w:top w:w="100" w:type="dxa"/>
              <w:left w:w="160" w:type="dxa"/>
              <w:bottom w:w="100" w:type="dxa"/>
              <w:right w:w="160" w:type="dxa"/>
            </w:tcMar>
          </w:tcPr>
          <w:p w14:paraId="224F0A43" w14:textId="77777777" w:rsidR="00F540D9" w:rsidRDefault="00E66665">
            <w:pPr>
              <w:spacing w:after="0" w:line="264" w:lineRule="auto"/>
            </w:pPr>
            <w:r>
              <w:rPr>
                <w:rFonts w:ascii="Calibri" w:hAnsi="Calibri"/>
                <w:b/>
                <w:color w:val="222222"/>
                <w:sz w:val="19"/>
              </w:rPr>
              <w:t>19. Technologies Used</w:t>
            </w:r>
          </w:p>
        </w:tc>
        <w:tc>
          <w:tcPr>
            <w:tcW w:w="5760" w:type="dxa"/>
            <w:shd w:val="clear" w:color="auto" w:fill="FFFFFF"/>
            <w:tcMar>
              <w:top w:w="100" w:type="dxa"/>
              <w:left w:w="160" w:type="dxa"/>
              <w:bottom w:w="100" w:type="dxa"/>
              <w:right w:w="160" w:type="dxa"/>
            </w:tcMar>
          </w:tcPr>
          <w:p w14:paraId="4D49819C" w14:textId="77777777" w:rsidR="00F540D9" w:rsidRDefault="00E66665">
            <w:pPr>
              <w:spacing w:after="0" w:line="264" w:lineRule="auto"/>
            </w:pPr>
            <w:r>
              <w:rPr>
                <w:rFonts w:ascii="Calibri" w:hAnsi="Calibri"/>
                <w:color w:val="222222"/>
                <w:sz w:val="19"/>
              </w:rPr>
              <w:t>Programming Languages, Libraries, and Frameworks</w:t>
            </w:r>
          </w:p>
        </w:tc>
      </w:tr>
      <w:tr w:rsidR="00F540D9" w14:paraId="66C40ABE" w14:textId="77777777">
        <w:trPr>
          <w:jc w:val="center"/>
        </w:trPr>
        <w:tc>
          <w:tcPr>
            <w:tcW w:w="3600" w:type="dxa"/>
            <w:shd w:val="clear" w:color="auto" w:fill="F4F7FA"/>
            <w:tcMar>
              <w:top w:w="100" w:type="dxa"/>
              <w:left w:w="160" w:type="dxa"/>
              <w:bottom w:w="100" w:type="dxa"/>
              <w:right w:w="160" w:type="dxa"/>
            </w:tcMar>
          </w:tcPr>
          <w:p w14:paraId="0829A1AA" w14:textId="77777777" w:rsidR="00F540D9" w:rsidRDefault="00E66665">
            <w:pPr>
              <w:spacing w:after="0" w:line="264" w:lineRule="auto"/>
            </w:pPr>
            <w:r>
              <w:rPr>
                <w:rFonts w:ascii="Calibri" w:hAnsi="Calibri"/>
                <w:b/>
                <w:color w:val="222222"/>
                <w:sz w:val="19"/>
              </w:rPr>
              <w:t>20. Project Structure</w:t>
            </w:r>
          </w:p>
        </w:tc>
        <w:tc>
          <w:tcPr>
            <w:tcW w:w="5760" w:type="dxa"/>
            <w:shd w:val="clear" w:color="auto" w:fill="F4F7FA"/>
            <w:tcMar>
              <w:top w:w="100" w:type="dxa"/>
              <w:left w:w="160" w:type="dxa"/>
              <w:bottom w:w="100" w:type="dxa"/>
              <w:right w:w="160" w:type="dxa"/>
            </w:tcMar>
          </w:tcPr>
          <w:p w14:paraId="402BAE21" w14:textId="77777777" w:rsidR="00F540D9" w:rsidRDefault="00E66665">
            <w:pPr>
              <w:spacing w:after="0" w:line="264" w:lineRule="auto"/>
            </w:pPr>
            <w:r>
              <w:rPr>
                <w:rFonts w:ascii="Calibri" w:hAnsi="Calibri"/>
                <w:color w:val="222222"/>
                <w:sz w:val="19"/>
              </w:rPr>
              <w:t>Physical File and Directory Layout of the Repository</w:t>
            </w:r>
          </w:p>
        </w:tc>
      </w:tr>
      <w:tr w:rsidR="00F540D9" w14:paraId="73A42CDE" w14:textId="77777777">
        <w:trPr>
          <w:jc w:val="center"/>
        </w:trPr>
        <w:tc>
          <w:tcPr>
            <w:tcW w:w="3600" w:type="dxa"/>
            <w:shd w:val="clear" w:color="auto" w:fill="FFFFFF"/>
            <w:tcMar>
              <w:top w:w="100" w:type="dxa"/>
              <w:left w:w="160" w:type="dxa"/>
              <w:bottom w:w="100" w:type="dxa"/>
              <w:right w:w="160" w:type="dxa"/>
            </w:tcMar>
          </w:tcPr>
          <w:p w14:paraId="09DD044D" w14:textId="77777777" w:rsidR="00F540D9" w:rsidRDefault="00E66665">
            <w:pPr>
              <w:spacing w:after="0" w:line="264" w:lineRule="auto"/>
            </w:pPr>
            <w:r>
              <w:rPr>
                <w:rFonts w:ascii="Calibri" w:hAnsi="Calibri"/>
                <w:b/>
                <w:color w:val="222222"/>
                <w:sz w:val="19"/>
              </w:rPr>
              <w:t>21. How to Run the Project</w:t>
            </w:r>
          </w:p>
        </w:tc>
        <w:tc>
          <w:tcPr>
            <w:tcW w:w="5760" w:type="dxa"/>
            <w:shd w:val="clear" w:color="auto" w:fill="FFFFFF"/>
            <w:tcMar>
              <w:top w:w="100" w:type="dxa"/>
              <w:left w:w="160" w:type="dxa"/>
              <w:bottom w:w="100" w:type="dxa"/>
              <w:right w:w="160" w:type="dxa"/>
            </w:tcMar>
          </w:tcPr>
          <w:p w14:paraId="7EFAB950" w14:textId="77777777" w:rsidR="00F540D9" w:rsidRDefault="00E66665">
            <w:pPr>
              <w:spacing w:after="0" w:line="264" w:lineRule="auto"/>
            </w:pPr>
            <w:r>
              <w:rPr>
                <w:rFonts w:ascii="Calibri" w:hAnsi="Calibri"/>
                <w:color w:val="222222"/>
                <w:sz w:val="19"/>
              </w:rPr>
              <w:t>Installation Instructions, Execution Commands, and Reproduction</w:t>
            </w:r>
          </w:p>
        </w:tc>
      </w:tr>
      <w:tr w:rsidR="00F540D9" w14:paraId="7E861229" w14:textId="77777777">
        <w:trPr>
          <w:jc w:val="center"/>
        </w:trPr>
        <w:tc>
          <w:tcPr>
            <w:tcW w:w="3600" w:type="dxa"/>
            <w:shd w:val="clear" w:color="auto" w:fill="F4F7FA"/>
            <w:tcMar>
              <w:top w:w="100" w:type="dxa"/>
              <w:left w:w="160" w:type="dxa"/>
              <w:bottom w:w="100" w:type="dxa"/>
              <w:right w:w="160" w:type="dxa"/>
            </w:tcMar>
          </w:tcPr>
          <w:p w14:paraId="7C5A35C2" w14:textId="77777777" w:rsidR="00F540D9" w:rsidRDefault="00E66665">
            <w:pPr>
              <w:spacing w:after="0" w:line="264" w:lineRule="auto"/>
            </w:pPr>
            <w:r>
              <w:rPr>
                <w:rFonts w:ascii="Calibri" w:hAnsi="Calibri"/>
                <w:b/>
                <w:color w:val="222222"/>
                <w:sz w:val="19"/>
              </w:rPr>
              <w:t>22. Conclusion</w:t>
            </w:r>
          </w:p>
        </w:tc>
        <w:tc>
          <w:tcPr>
            <w:tcW w:w="5760" w:type="dxa"/>
            <w:shd w:val="clear" w:color="auto" w:fill="F4F7FA"/>
            <w:tcMar>
              <w:top w:w="100" w:type="dxa"/>
              <w:left w:w="160" w:type="dxa"/>
              <w:bottom w:w="100" w:type="dxa"/>
              <w:right w:w="160" w:type="dxa"/>
            </w:tcMar>
          </w:tcPr>
          <w:p w14:paraId="2BCD5015" w14:textId="77777777" w:rsidR="00F540D9" w:rsidRDefault="00E66665">
            <w:pPr>
              <w:spacing w:after="0" w:line="264" w:lineRule="auto"/>
            </w:pPr>
            <w:r>
              <w:rPr>
                <w:rFonts w:ascii="Calibri" w:hAnsi="Calibri"/>
                <w:color w:val="222222"/>
                <w:sz w:val="19"/>
              </w:rPr>
              <w:t>Summary of Work, Pedagogical Outcomes, and Acknowledgements</w:t>
            </w:r>
          </w:p>
        </w:tc>
      </w:tr>
      <w:tr w:rsidR="00F540D9" w14:paraId="618A500F" w14:textId="77777777">
        <w:trPr>
          <w:jc w:val="center"/>
        </w:trPr>
        <w:tc>
          <w:tcPr>
            <w:tcW w:w="3600" w:type="dxa"/>
            <w:shd w:val="clear" w:color="auto" w:fill="FFFFFF"/>
            <w:tcMar>
              <w:top w:w="100" w:type="dxa"/>
              <w:left w:w="160" w:type="dxa"/>
              <w:bottom w:w="100" w:type="dxa"/>
              <w:right w:w="160" w:type="dxa"/>
            </w:tcMar>
          </w:tcPr>
          <w:p w14:paraId="7873BB9B" w14:textId="77777777" w:rsidR="00F540D9" w:rsidRDefault="00E66665">
            <w:pPr>
              <w:spacing w:after="0" w:line="264" w:lineRule="auto"/>
            </w:pPr>
            <w:r>
              <w:rPr>
                <w:rFonts w:ascii="Calibri" w:hAnsi="Calibri"/>
                <w:b/>
                <w:color w:val="222222"/>
                <w:sz w:val="19"/>
              </w:rPr>
              <w:t>23. References</w:t>
            </w:r>
          </w:p>
        </w:tc>
        <w:tc>
          <w:tcPr>
            <w:tcW w:w="5760" w:type="dxa"/>
            <w:shd w:val="clear" w:color="auto" w:fill="FFFFFF"/>
            <w:tcMar>
              <w:top w:w="100" w:type="dxa"/>
              <w:left w:w="160" w:type="dxa"/>
              <w:bottom w:w="100" w:type="dxa"/>
              <w:right w:w="160" w:type="dxa"/>
            </w:tcMar>
          </w:tcPr>
          <w:p w14:paraId="0AF12E4F" w14:textId="77777777" w:rsidR="00F540D9" w:rsidRDefault="00E66665">
            <w:pPr>
              <w:spacing w:after="0" w:line="264" w:lineRule="auto"/>
            </w:pPr>
            <w:r>
              <w:rPr>
                <w:rFonts w:ascii="Calibri" w:hAnsi="Calibri"/>
                <w:color w:val="222222"/>
                <w:sz w:val="19"/>
              </w:rPr>
              <w:t>Formal Academic and Industry Citations</w:t>
            </w:r>
          </w:p>
        </w:tc>
      </w:tr>
    </w:tbl>
    <w:p w14:paraId="122E349B" w14:textId="77777777" w:rsidR="00F540D9" w:rsidRDefault="00E66665">
      <w:r>
        <w:br w:type="page"/>
      </w:r>
    </w:p>
    <w:p w14:paraId="11A4DA08" w14:textId="77777777" w:rsidR="00F540D9" w:rsidRDefault="00E66665">
      <w:pPr>
        <w:pStyle w:val="Heading1"/>
        <w:spacing w:before="320" w:after="120"/>
      </w:pPr>
      <w:r>
        <w:rPr>
          <w:rFonts w:ascii="Calibri" w:hAnsi="Calibri"/>
          <w:color w:val="1B365D"/>
          <w:sz w:val="30"/>
        </w:rPr>
        <w:lastRenderedPageBreak/>
        <w:t>1. Abstract</w:t>
      </w:r>
    </w:p>
    <w:p w14:paraId="7C4D0F76" w14:textId="77777777" w:rsidR="00F540D9" w:rsidRDefault="00E66665">
      <w:pPr>
        <w:spacing w:after="80"/>
      </w:pPr>
      <w:r>
        <w:rPr>
          <w:rFonts w:ascii="Calibri" w:hAnsi="Calibri"/>
          <w:color w:val="222222"/>
          <w:sz w:val="21"/>
        </w:rPr>
        <w:t>Residential property valuation is an economically foundational task influenced by an intricate combination of physical dimensions, architectural condition, structural configurations, and geographic location. Traditional property appraisal relies heavily on manual comparative market analysis (CMA), which is labor-intensive, vulnerable to appraiser subjectivity, and unable to systematically process multi-dimensional interaction terms across thousands of concurrent transactions. This project develops an end-to</w:t>
      </w:r>
      <w:r>
        <w:rPr>
          <w:rFonts w:ascii="Calibri" w:hAnsi="Calibri"/>
          <w:color w:val="222222"/>
          <w:sz w:val="21"/>
        </w:rPr>
        <w:t>-end Data Analytics and Supervised Machine Learning system designed to accurately model and predict residential house prices using historical real-estate transaction records from King County, Washington.</w:t>
      </w:r>
    </w:p>
    <w:p w14:paraId="335728AA" w14:textId="77777777" w:rsidR="00F540D9" w:rsidRDefault="00E66665">
      <w:pPr>
        <w:spacing w:after="80"/>
      </w:pPr>
      <w:r>
        <w:rPr>
          <w:rFonts w:ascii="Calibri" w:hAnsi="Calibri"/>
          <w:color w:val="222222"/>
          <w:sz w:val="21"/>
        </w:rPr>
        <w:t>The project follows a rigorous, reproducible engineering pipeline comprising dataset ingestion, exploratory statistical profiling, multi-step data cleaning, exploratory data analysis (EDA), domain feature engineering, pipeline-based model training with strict data leakage prevention, comprehensive multi-metric evaluation, automated best-model selection, and deployment via an interactive Streamlit web dashboard.</w:t>
      </w:r>
    </w:p>
    <w:p w14:paraId="31BFD2E8" w14:textId="77777777" w:rsidR="00F540D9" w:rsidRDefault="00E66665">
      <w:pPr>
        <w:spacing w:after="80"/>
      </w:pPr>
      <w:r>
        <w:rPr>
          <w:rFonts w:ascii="Calibri" w:hAnsi="Calibri"/>
          <w:color w:val="222222"/>
          <w:sz w:val="21"/>
        </w:rPr>
        <w:t>The underlying dataset encompasses 4,600 residential sales transactions across 18 raw attributes. A systematic data-cleaning procedure was executed to parse temporal strings, eliminate zero-variance and high-cardinality text attributes, extract numeric postal codes, label-encode municipal jurisdictions, and resolve extreme pricing anomalies (including 49 zero-dollar sale transactions) through percentile winsorization. Ten domain-specific features—including total square footage, building age, renovation stat</w:t>
      </w:r>
      <w:r>
        <w:rPr>
          <w:rFonts w:ascii="Calibri" w:hAnsi="Calibri"/>
          <w:color w:val="222222"/>
          <w:sz w:val="21"/>
        </w:rPr>
        <w:t>us, living-to-lot ratio, and subterranean basement existence—were engineered, yielding 22 predictor variables.</w:t>
      </w:r>
    </w:p>
    <w:p w14:paraId="270ADD42" w14:textId="77777777" w:rsidR="00F540D9" w:rsidRDefault="00E66665">
      <w:pPr>
        <w:spacing w:after="80"/>
      </w:pPr>
      <w:r>
        <w:rPr>
          <w:rFonts w:ascii="Calibri" w:hAnsi="Calibri"/>
          <w:color w:val="222222"/>
          <w:sz w:val="21"/>
        </w:rPr>
        <w:t>Four regression architectures were implemented and benchmarked strictly on an unseen 20% hold-out test partition (920 records): Ordinary Least Squares (Linear Regression), Random Forest Regressor (bagging ensemble), Gradient Boosting Regressor (stage-wise boosting), and XGBoost Regressor (regularized gradient boosting). All feature transformations and scaling (StandardScaler) were encapsulated inside Scikit-learn pipelines to ensure zero data leakage.</w:t>
      </w:r>
    </w:p>
    <w:tbl>
      <w:tblPr>
        <w:tblW w:w="0" w:type="auto"/>
        <w:jc w:val="center"/>
        <w:tblLayout w:type="fixed"/>
        <w:tblLook w:val="04A0" w:firstRow="1" w:lastRow="0" w:firstColumn="1" w:lastColumn="0" w:noHBand="0" w:noVBand="1"/>
      </w:tblPr>
      <w:tblGrid>
        <w:gridCol w:w="9360"/>
      </w:tblGrid>
      <w:tr w:rsidR="00F540D9" w14:paraId="5F02B611" w14:textId="77777777">
        <w:trPr>
          <w:jc w:val="center"/>
        </w:trPr>
        <w:tc>
          <w:tcPr>
            <w:tcW w:w="9360" w:type="dxa"/>
            <w:tcBorders>
              <w:left w:val="single" w:sz="24" w:space="0" w:color="1B365D"/>
            </w:tcBorders>
            <w:shd w:val="clear" w:color="auto" w:fill="EEF4F9"/>
            <w:tcMar>
              <w:top w:w="140" w:type="dxa"/>
              <w:left w:w="200" w:type="dxa"/>
              <w:bottom w:w="140" w:type="dxa"/>
              <w:right w:w="160" w:type="dxa"/>
            </w:tcMar>
          </w:tcPr>
          <w:p w14:paraId="66D6F1AF" w14:textId="77777777" w:rsidR="00F540D9" w:rsidRDefault="00E66665">
            <w:pPr>
              <w:spacing w:before="40" w:after="40"/>
            </w:pPr>
            <w:r>
              <w:rPr>
                <w:rFonts w:ascii="Calibri" w:hAnsi="Calibri"/>
                <w:b/>
                <w:color w:val="1B365D"/>
                <w:sz w:val="20"/>
              </w:rPr>
              <w:t xml:space="preserve">Core Milestone: </w:t>
            </w:r>
            <w:r>
              <w:rPr>
                <w:rFonts w:ascii="Calibri" w:hAnsi="Calibri"/>
                <w:i/>
                <w:color w:val="222222"/>
                <w:sz w:val="20"/>
              </w:rPr>
              <w:t xml:space="preserve">The XGBoost Regressor emerged as the optimal architecture, achieving a Coefficient of Determination (R²) of 0.6213, a Mean Absolute Error (MAE) of $105,382.57, and a Root Mean Squared Error (RMSE) of $202,060.38, substantially outperforming the baseline Linear Regression model (R² = 0.4698) by +15.15 percentage points. Feature importance analysis revealed that interior living space (total_sqft at 27.54% and sqft_living at 13.92%) and structural basement presence (12.49%) govern over 53% of model prediction </w:t>
            </w:r>
            <w:r>
              <w:rPr>
                <w:rFonts w:ascii="Calibri" w:hAnsi="Calibri"/>
                <w:i/>
                <w:color w:val="222222"/>
                <w:sz w:val="20"/>
              </w:rPr>
              <w:t>decisions.</w:t>
            </w:r>
          </w:p>
        </w:tc>
      </w:tr>
    </w:tbl>
    <w:p w14:paraId="060F8ECF" w14:textId="77777777" w:rsidR="00F540D9" w:rsidRDefault="00F540D9">
      <w:pPr>
        <w:spacing w:after="80"/>
      </w:pPr>
    </w:p>
    <w:p w14:paraId="1DE64C81" w14:textId="77777777" w:rsidR="00F540D9" w:rsidRDefault="00E66665">
      <w:pPr>
        <w:spacing w:after="80"/>
      </w:pPr>
      <w:r>
        <w:rPr>
          <w:rFonts w:ascii="Calibri" w:hAnsi="Calibri"/>
          <w:color w:val="222222"/>
          <w:sz w:val="21"/>
        </w:rPr>
        <w:t>The serialized winning pipeline was embedded into a responsive 5-page Streamlit web application featuring a real-time price estimation calculator, an exploratory project dashboard, an interactive gallery of 14 visual analytical artifacts, a model comparison studio, and an automated data-driven insights module. This project satisfies all operational requirements established under the AICTE | IBM SkillsBuild Data Analytics with AI Academic Internship 2026.</w:t>
      </w:r>
    </w:p>
    <w:p w14:paraId="2711B846" w14:textId="77777777" w:rsidR="00F540D9" w:rsidRDefault="00E66665">
      <w:pPr>
        <w:pStyle w:val="Heading1"/>
        <w:spacing w:before="320" w:after="120"/>
      </w:pPr>
      <w:r>
        <w:rPr>
          <w:rFonts w:ascii="Calibri" w:hAnsi="Calibri"/>
          <w:color w:val="1B365D"/>
          <w:sz w:val="30"/>
        </w:rPr>
        <w:t>2. Introduction</w:t>
      </w:r>
    </w:p>
    <w:p w14:paraId="6DD70CE0" w14:textId="77777777" w:rsidR="00F540D9" w:rsidRDefault="00E66665">
      <w:pPr>
        <w:spacing w:after="80"/>
      </w:pPr>
      <w:r>
        <w:rPr>
          <w:rFonts w:ascii="Calibri" w:hAnsi="Calibri"/>
          <w:color w:val="222222"/>
          <w:sz w:val="21"/>
        </w:rPr>
        <w:t xml:space="preserve">Real estate represents the largest single asset class in the global economy. For individual households, a home represents both the cornerstone of personal wealth and their primary long-term financial commitment. For financial institutions, residential properties serve as the primary collateral underpinning mortgage lending </w:t>
      </w:r>
      <w:r>
        <w:rPr>
          <w:rFonts w:ascii="Calibri" w:hAnsi="Calibri"/>
          <w:color w:val="222222"/>
          <w:sz w:val="21"/>
        </w:rPr>
        <w:lastRenderedPageBreak/>
        <w:t>and credit risk exposure. Consequently, precise, objective, and timely estimation of residential property values is essential for homeowners, buyers, real estate investors, mortgage underwriters, municipal tax assessors, and urban planners alike.</w:t>
      </w:r>
    </w:p>
    <w:p w14:paraId="6E15D719" w14:textId="77777777" w:rsidR="00F540D9" w:rsidRDefault="00E66665">
      <w:pPr>
        <w:pStyle w:val="Heading2"/>
        <w:spacing w:before="240" w:after="80"/>
      </w:pPr>
      <w:r>
        <w:rPr>
          <w:rFonts w:ascii="Calibri" w:hAnsi="Calibri"/>
          <w:color w:val="316B9E"/>
          <w:sz w:val="25"/>
        </w:rPr>
        <w:t>2.1 Traditional Property Valuation vs. Automated Valuation Models (AVMs)</w:t>
      </w:r>
    </w:p>
    <w:p w14:paraId="56E9BF4F" w14:textId="77777777" w:rsidR="00F540D9" w:rsidRDefault="00E66665">
      <w:pPr>
        <w:spacing w:after="80"/>
      </w:pPr>
      <w:r>
        <w:rPr>
          <w:rFonts w:ascii="Calibri" w:hAnsi="Calibri"/>
          <w:color w:val="222222"/>
          <w:sz w:val="21"/>
        </w:rPr>
        <w:t>Historically, real estate appraisal has depended on human appraisers performing Comparative Market Analysis (CMA). In a standard CMA, an appraiser identifies three to five recently sold properties ('comps') deemed similar in size, age, and neighborhood, manually applying subjective monetary adjustments to account for differences such as an extra bedroom, an updated kitchen, or an inground pool. While valuable, this conventional methodology suffers from fundamental structural flaws:</w:t>
      </w:r>
    </w:p>
    <w:p w14:paraId="605D22D2" w14:textId="77777777" w:rsidR="00F540D9" w:rsidRDefault="00E66665">
      <w:pPr>
        <w:pStyle w:val="ListBullet"/>
        <w:spacing w:after="80"/>
      </w:pPr>
      <w:r>
        <w:rPr>
          <w:rFonts w:ascii="Calibri" w:hAnsi="Calibri"/>
          <w:color w:val="222222"/>
          <w:sz w:val="21"/>
        </w:rPr>
        <w:t>Subjectivity and Cognitive Bias: Different appraisers frequently arrive at divergent valuations for the exact same property, driven by personal heuristic weighting.</w:t>
      </w:r>
    </w:p>
    <w:p w14:paraId="700DCC6B" w14:textId="77777777" w:rsidR="00F540D9" w:rsidRDefault="00E66665">
      <w:pPr>
        <w:pStyle w:val="ListBullet"/>
        <w:spacing w:after="80"/>
      </w:pPr>
      <w:r>
        <w:rPr>
          <w:rFonts w:ascii="Calibri" w:hAnsi="Calibri"/>
          <w:color w:val="222222"/>
          <w:sz w:val="21"/>
        </w:rPr>
        <w:t>Temporal Latency: Manual appraisals require days or weeks to schedule, inspect, and document, making them ill-suited for fast-moving liquid markets.</w:t>
      </w:r>
    </w:p>
    <w:p w14:paraId="5C6827EB" w14:textId="77777777" w:rsidR="00F540D9" w:rsidRDefault="00E66665">
      <w:pPr>
        <w:pStyle w:val="ListBullet"/>
        <w:spacing w:after="80"/>
      </w:pPr>
      <w:r>
        <w:rPr>
          <w:rFonts w:ascii="Calibri" w:hAnsi="Calibri"/>
          <w:color w:val="222222"/>
          <w:sz w:val="21"/>
        </w:rPr>
        <w:t>Inability to Model Non-Linear Interactions: Human analysts struggle to calculate compound non-linear interactions—such as how the marginal value of an additional square foot varies radically depending on municipal location, view ratings, and architectural condition.</w:t>
      </w:r>
    </w:p>
    <w:p w14:paraId="22D056BD" w14:textId="77777777" w:rsidR="00F540D9" w:rsidRDefault="00E66665">
      <w:pPr>
        <w:spacing w:after="80"/>
      </w:pPr>
      <w:r>
        <w:rPr>
          <w:rFonts w:ascii="Calibri" w:hAnsi="Calibri"/>
          <w:color w:val="222222"/>
          <w:sz w:val="21"/>
        </w:rPr>
        <w:t>The advent of machine learning and modern data analytics has enabled the development of Automated Valuation Models (AVMs). Machine learning models ingest hundreds or thousands of historical transaction records simultaneously, learning complex mathematical mappings between multi-dimensional feature spaces and final realized market clearing prices.</w:t>
      </w:r>
    </w:p>
    <w:p w14:paraId="2D9C4782" w14:textId="77777777" w:rsidR="00F540D9" w:rsidRDefault="00E66665">
      <w:pPr>
        <w:pStyle w:val="Heading2"/>
        <w:spacing w:before="240" w:after="80"/>
      </w:pPr>
      <w:r>
        <w:rPr>
          <w:rFonts w:ascii="Calibri" w:hAnsi="Calibri"/>
          <w:color w:val="316B9E"/>
          <w:sz w:val="25"/>
        </w:rPr>
        <w:t>2.2 Internship Context and Project Scope</w:t>
      </w:r>
    </w:p>
    <w:p w14:paraId="5F701E91" w14:textId="77777777" w:rsidR="00F540D9" w:rsidRDefault="00E66665">
      <w:pPr>
        <w:spacing w:after="80"/>
      </w:pPr>
      <w:r>
        <w:rPr>
          <w:rFonts w:ascii="Calibri" w:hAnsi="Calibri"/>
          <w:color w:val="222222"/>
          <w:sz w:val="21"/>
        </w:rPr>
        <w:t>This project was developed within the framework of the AICTE | IBM SkillsBuild Data Analytics with AI Academic Internship 2026, executed by BharatCares in association with the All India Council for Technical Education (AICTE). The primary mandate was to build a complete, production-grade, end-to-end machine learning system that progresses rigorously from raw, uncurated tabular data to a functional, deployed software application.</w:t>
      </w:r>
    </w:p>
    <w:p w14:paraId="6B51806F" w14:textId="77777777" w:rsidR="00F540D9" w:rsidRDefault="00E66665">
      <w:pPr>
        <w:pStyle w:val="Heading1"/>
        <w:spacing w:before="320" w:after="120"/>
      </w:pPr>
      <w:r>
        <w:rPr>
          <w:rFonts w:ascii="Calibri" w:hAnsi="Calibri"/>
          <w:color w:val="1B365D"/>
          <w:sz w:val="30"/>
        </w:rPr>
        <w:t>3. Problem Statement</w:t>
      </w:r>
    </w:p>
    <w:p w14:paraId="30B90169" w14:textId="77777777" w:rsidR="00F540D9" w:rsidRDefault="00E66665">
      <w:pPr>
        <w:spacing w:after="80"/>
      </w:pPr>
      <w:r>
        <w:rPr>
          <w:rFonts w:ascii="Calibri" w:hAnsi="Calibri"/>
          <w:color w:val="222222"/>
          <w:sz w:val="21"/>
        </w:rPr>
        <w:t>Residential property markets are characterized by extreme heterogeneity, non-linear pricing dynamics, and multi-scale geographic dependencies. The central challenge addressed in this study can be formally stated as follows:</w:t>
      </w:r>
    </w:p>
    <w:tbl>
      <w:tblPr>
        <w:tblW w:w="0" w:type="auto"/>
        <w:jc w:val="center"/>
        <w:tblLayout w:type="fixed"/>
        <w:tblLook w:val="04A0" w:firstRow="1" w:lastRow="0" w:firstColumn="1" w:lastColumn="0" w:noHBand="0" w:noVBand="1"/>
      </w:tblPr>
      <w:tblGrid>
        <w:gridCol w:w="9360"/>
      </w:tblGrid>
      <w:tr w:rsidR="00F540D9" w14:paraId="45D76011" w14:textId="77777777">
        <w:trPr>
          <w:jc w:val="center"/>
        </w:trPr>
        <w:tc>
          <w:tcPr>
            <w:tcW w:w="9360" w:type="dxa"/>
            <w:tcBorders>
              <w:left w:val="single" w:sz="24" w:space="0" w:color="1B365D"/>
            </w:tcBorders>
            <w:shd w:val="clear" w:color="auto" w:fill="EEF4F9"/>
            <w:tcMar>
              <w:top w:w="140" w:type="dxa"/>
              <w:left w:w="200" w:type="dxa"/>
              <w:bottom w:w="140" w:type="dxa"/>
              <w:right w:w="160" w:type="dxa"/>
            </w:tcMar>
          </w:tcPr>
          <w:p w14:paraId="4477DFF4" w14:textId="77777777" w:rsidR="00F540D9" w:rsidRDefault="00E66665">
            <w:pPr>
              <w:spacing w:before="40" w:after="40"/>
            </w:pPr>
            <w:r>
              <w:rPr>
                <w:rFonts w:ascii="Calibri" w:hAnsi="Calibri"/>
                <w:b/>
                <w:color w:val="1B365D"/>
                <w:sz w:val="20"/>
              </w:rPr>
              <w:t xml:space="preserve">Formal Problem Definition: </w:t>
            </w:r>
            <w:r>
              <w:rPr>
                <w:rFonts w:ascii="Calibri" w:hAnsi="Calibri"/>
                <w:i/>
                <w:color w:val="222222"/>
                <w:sz w:val="20"/>
              </w:rPr>
              <w:t>Given a set of historical residential property transaction records comprising physical structural dimensions, architectural specifications, temporal sale data, and municipal geographic indicators, formulate, train, evaluate, and deploy an automated supervised machine learning regression pipeline capable of predicting continuous market sale prices (in USD) with minimum generalization error on unseen properties.</w:t>
            </w:r>
          </w:p>
        </w:tc>
      </w:tr>
    </w:tbl>
    <w:p w14:paraId="728D5081" w14:textId="77777777" w:rsidR="00F540D9" w:rsidRDefault="00F540D9">
      <w:pPr>
        <w:spacing w:after="80"/>
      </w:pPr>
    </w:p>
    <w:p w14:paraId="32564705" w14:textId="77777777" w:rsidR="00F540D9" w:rsidRDefault="00E66665">
      <w:pPr>
        <w:spacing w:after="80"/>
      </w:pPr>
      <w:r>
        <w:rPr>
          <w:rFonts w:ascii="Calibri" w:hAnsi="Calibri"/>
          <w:color w:val="222222"/>
          <w:sz w:val="21"/>
        </w:rPr>
        <w:t>To successfully solve this problem, several key engineering obstacles had to be overcome:</w:t>
      </w:r>
    </w:p>
    <w:p w14:paraId="32EF62DC" w14:textId="77777777" w:rsidR="00F540D9" w:rsidRDefault="00E66665">
      <w:pPr>
        <w:pStyle w:val="ListBullet"/>
        <w:spacing w:after="80"/>
      </w:pPr>
      <w:r>
        <w:rPr>
          <w:rFonts w:ascii="Calibri" w:hAnsi="Calibri"/>
          <w:color w:val="222222"/>
          <w:sz w:val="21"/>
        </w:rPr>
        <w:lastRenderedPageBreak/>
        <w:t>High Dimensional Non-Linearity: Property prices do not scale linearly. For example, expanding a home from 1,000 to 2,000 sqft in an ultra-prime enclave yields dramatically higher financial appreciation than the same expansion in a distant rural county.</w:t>
      </w:r>
    </w:p>
    <w:p w14:paraId="24B055CF" w14:textId="77777777" w:rsidR="00F540D9" w:rsidRDefault="00E66665">
      <w:pPr>
        <w:pStyle w:val="ListBullet"/>
        <w:spacing w:after="80"/>
      </w:pPr>
      <w:r>
        <w:rPr>
          <w:rFonts w:ascii="Calibri" w:hAnsi="Calibri"/>
          <w:color w:val="222222"/>
          <w:sz w:val="21"/>
        </w:rPr>
        <w:t>Data Anomalies &amp; Zero-Dollar Transactions: Raw real estate registries frequently contain non-arm's-length transfers (e.g., intra-family title transfers, foreclosures, or clerical data-entry errors) recorded at $0.00, alongside multi-million dollar luxury outliers that can distort ordinary least squares optimization.</w:t>
      </w:r>
    </w:p>
    <w:p w14:paraId="1BD8AF68" w14:textId="77777777" w:rsidR="00F540D9" w:rsidRDefault="00E66665">
      <w:pPr>
        <w:pStyle w:val="ListBullet"/>
        <w:spacing w:after="80"/>
      </w:pPr>
      <w:r>
        <w:rPr>
          <w:rFonts w:ascii="Calibri" w:hAnsi="Calibri"/>
          <w:color w:val="222222"/>
          <w:sz w:val="21"/>
        </w:rPr>
        <w:t>High Cardinality Text Attributes: Raw street addresses contain thousands of unique text categories that cannot be ingested directly into regression algorithms without inducing severe dimensional explosion and overfitting.</w:t>
      </w:r>
    </w:p>
    <w:p w14:paraId="62CDEE03" w14:textId="77777777" w:rsidR="00F540D9" w:rsidRDefault="00E66665">
      <w:pPr>
        <w:pStyle w:val="ListBullet"/>
        <w:spacing w:after="80"/>
      </w:pPr>
      <w:r>
        <w:rPr>
          <w:rFonts w:ascii="Calibri" w:hAnsi="Calibri"/>
          <w:color w:val="222222"/>
          <w:sz w:val="21"/>
        </w:rPr>
        <w:t>Data Leakage Risks: Preprocessing transformations (such as feature scaling) must strictly learn parameters from training partitions alone, preventing optimistic evaluation bias.</w:t>
      </w:r>
    </w:p>
    <w:p w14:paraId="1130E300" w14:textId="77777777" w:rsidR="00F540D9" w:rsidRDefault="00E66665">
      <w:pPr>
        <w:pStyle w:val="Heading1"/>
        <w:spacing w:before="320" w:after="120"/>
      </w:pPr>
      <w:r>
        <w:rPr>
          <w:rFonts w:ascii="Calibri" w:hAnsi="Calibri"/>
          <w:color w:val="1B365D"/>
          <w:sz w:val="30"/>
        </w:rPr>
        <w:t>4. Objectives</w:t>
      </w:r>
    </w:p>
    <w:p w14:paraId="1B813EC9" w14:textId="77777777" w:rsidR="00F540D9" w:rsidRDefault="00E66665">
      <w:pPr>
        <w:spacing w:after="80"/>
      </w:pPr>
      <w:r>
        <w:rPr>
          <w:rFonts w:ascii="Calibri" w:hAnsi="Calibri"/>
          <w:color w:val="222222"/>
          <w:sz w:val="21"/>
        </w:rPr>
        <w:t>The overarching technical and pedagogical objectives of this project are structured as follows:</w:t>
      </w:r>
    </w:p>
    <w:p w14:paraId="485258F2" w14:textId="77777777" w:rsidR="00F540D9" w:rsidRDefault="00E66665">
      <w:pPr>
        <w:pStyle w:val="ListBullet"/>
        <w:spacing w:after="80"/>
      </w:pPr>
      <w:r>
        <w:rPr>
          <w:rFonts w:ascii="Calibri" w:hAnsi="Calibri"/>
          <w:b/>
          <w:color w:val="222222"/>
          <w:sz w:val="21"/>
        </w:rPr>
        <w:t xml:space="preserve">Comprehensive Data Understanding: </w:t>
      </w:r>
      <w:r>
        <w:rPr>
          <w:rFonts w:ascii="Calibri" w:hAnsi="Calibri"/>
          <w:color w:val="222222"/>
          <w:sz w:val="21"/>
        </w:rPr>
        <w:t>Perform programmatic statistical inspection of feature data types, cardinality, missing values, duplicates, and outlier distributions using automated profiling scripts (src/data_understanding.py).</w:t>
      </w:r>
    </w:p>
    <w:p w14:paraId="1A2B1109" w14:textId="77777777" w:rsidR="00F540D9" w:rsidRDefault="00E66665">
      <w:pPr>
        <w:pStyle w:val="ListBullet"/>
        <w:spacing w:after="80"/>
      </w:pPr>
      <w:r>
        <w:rPr>
          <w:rFonts w:ascii="Calibri" w:hAnsi="Calibri"/>
          <w:b/>
          <w:color w:val="222222"/>
          <w:sz w:val="21"/>
        </w:rPr>
        <w:t xml:space="preserve">Robust Data Cleaning &amp; Preprocessing: </w:t>
      </w:r>
      <w:r>
        <w:rPr>
          <w:rFonts w:ascii="Calibri" w:hAnsi="Calibri"/>
          <w:color w:val="222222"/>
          <w:sz w:val="21"/>
        </w:rPr>
        <w:t>Construct a leak-free preprocessing pipeline (src/data_cleaning.py) that handles zero-value anomalies, resolves dates, eliminates zero-variance and high-cardinality columns, encodes municipal identities, and winsorizes extreme price and area outliers.</w:t>
      </w:r>
    </w:p>
    <w:p w14:paraId="013946F0" w14:textId="77777777" w:rsidR="00F540D9" w:rsidRDefault="00E66665">
      <w:pPr>
        <w:pStyle w:val="ListBullet"/>
        <w:spacing w:after="80"/>
      </w:pPr>
      <w:r>
        <w:rPr>
          <w:rFonts w:ascii="Calibri" w:hAnsi="Calibri"/>
          <w:b/>
          <w:color w:val="222222"/>
          <w:sz w:val="21"/>
        </w:rPr>
        <w:t xml:space="preserve">Exploratory Data Analysis (EDA): </w:t>
      </w:r>
      <w:r>
        <w:rPr>
          <w:rFonts w:ascii="Calibri" w:hAnsi="Calibri"/>
          <w:color w:val="222222"/>
          <w:sz w:val="21"/>
        </w:rPr>
        <w:t>Design and generate 10 publication-grade analytical visualizations (src/eda.py) uncovering structural, temporal, and spatial relationships governing housing valuations in King County.</w:t>
      </w:r>
    </w:p>
    <w:p w14:paraId="0D630F4D" w14:textId="77777777" w:rsidR="00F540D9" w:rsidRDefault="00E66665">
      <w:pPr>
        <w:pStyle w:val="ListBullet"/>
        <w:spacing w:after="80"/>
      </w:pPr>
      <w:r>
        <w:rPr>
          <w:rFonts w:ascii="Calibri" w:hAnsi="Calibri"/>
          <w:b/>
          <w:color w:val="222222"/>
          <w:sz w:val="21"/>
        </w:rPr>
        <w:t xml:space="preserve">Domain Feature Engineering: </w:t>
      </w:r>
      <w:r>
        <w:rPr>
          <w:rFonts w:ascii="Calibri" w:hAnsi="Calibri"/>
          <w:color w:val="222222"/>
          <w:sz w:val="21"/>
        </w:rPr>
        <w:t>Engineer 10 mathematically sound predictor features (including house_age, was_renovated, renovation_age, total_sqft, living_to_lot, and has_basement) to enrich predictive signal.</w:t>
      </w:r>
    </w:p>
    <w:p w14:paraId="2C4EB399" w14:textId="77777777" w:rsidR="00F540D9" w:rsidRDefault="00E66665">
      <w:pPr>
        <w:pStyle w:val="ListBullet"/>
        <w:spacing w:after="80"/>
      </w:pPr>
      <w:r>
        <w:rPr>
          <w:rFonts w:ascii="Calibri" w:hAnsi="Calibri"/>
          <w:b/>
          <w:color w:val="222222"/>
          <w:sz w:val="21"/>
        </w:rPr>
        <w:t xml:space="preserve">Multi-Model Pipeline Architecture: </w:t>
      </w:r>
      <w:r>
        <w:rPr>
          <w:rFonts w:ascii="Calibri" w:hAnsi="Calibri"/>
          <w:color w:val="222222"/>
          <w:sz w:val="21"/>
        </w:rPr>
        <w:t>Formulate, train, and tune four distinct regression models (Linear Regression, Random Forest Regressor, Gradient Boosting Regressor, and XGBoost Regressor) within scikit-learn Pipeline objects incorporating StandardScaler.</w:t>
      </w:r>
    </w:p>
    <w:p w14:paraId="624CC384" w14:textId="77777777" w:rsidR="00F540D9" w:rsidRDefault="00E66665">
      <w:pPr>
        <w:pStyle w:val="ListBullet"/>
        <w:spacing w:after="80"/>
      </w:pPr>
      <w:r>
        <w:rPr>
          <w:rFonts w:ascii="Calibri" w:hAnsi="Calibri"/>
          <w:b/>
          <w:color w:val="222222"/>
          <w:sz w:val="21"/>
        </w:rPr>
        <w:t xml:space="preserve">Unbiased Hold-Out Evaluation: </w:t>
      </w:r>
      <w:r>
        <w:rPr>
          <w:rFonts w:ascii="Calibri" w:hAnsi="Calibri"/>
          <w:color w:val="222222"/>
          <w:sz w:val="21"/>
        </w:rPr>
        <w:t>Benchmark all four candidate architectures on an isolated 20% unseen test split (920 records) using Mean Absolute Error (MAE), Root Mean Squared Error (RMSE), and Coefficient of Determination (R²).</w:t>
      </w:r>
    </w:p>
    <w:p w14:paraId="35F599B9" w14:textId="77777777" w:rsidR="00F540D9" w:rsidRDefault="00E66665">
      <w:pPr>
        <w:pStyle w:val="ListBullet"/>
        <w:spacing w:after="80"/>
      </w:pPr>
      <w:r>
        <w:rPr>
          <w:rFonts w:ascii="Calibri" w:hAnsi="Calibri"/>
          <w:b/>
          <w:color w:val="222222"/>
          <w:sz w:val="21"/>
        </w:rPr>
        <w:t xml:space="preserve">Automated Best Model Selection: </w:t>
      </w:r>
      <w:r>
        <w:rPr>
          <w:rFonts w:ascii="Calibri" w:hAnsi="Calibri"/>
          <w:color w:val="222222"/>
          <w:sz w:val="21"/>
        </w:rPr>
        <w:t>Implement automated model selection logic that identifies, serializes (best_model.pkl), and archives the highest-performing pipeline based on test R².</w:t>
      </w:r>
    </w:p>
    <w:p w14:paraId="2A172C9E" w14:textId="77777777" w:rsidR="00F540D9" w:rsidRDefault="00E66665">
      <w:pPr>
        <w:pStyle w:val="ListBullet"/>
        <w:spacing w:after="80"/>
      </w:pPr>
      <w:r>
        <w:rPr>
          <w:rFonts w:ascii="Calibri" w:hAnsi="Calibri"/>
          <w:b/>
          <w:color w:val="222222"/>
          <w:sz w:val="21"/>
        </w:rPr>
        <w:t xml:space="preserve">Interactive Web Deployment: </w:t>
      </w:r>
      <w:r>
        <w:rPr>
          <w:rFonts w:ascii="Calibri" w:hAnsi="Calibri"/>
          <w:color w:val="222222"/>
          <w:sz w:val="21"/>
        </w:rPr>
        <w:t>Develop a full-featured, 5-page interactive Streamlit web dashboard (app/streamlit_app.py) enabling real-time user inference, KPI exploration, visual chart browsing, and model benchmarking.</w:t>
      </w:r>
    </w:p>
    <w:p w14:paraId="56177E24" w14:textId="77777777" w:rsidR="00F540D9" w:rsidRDefault="00E66665">
      <w:pPr>
        <w:pStyle w:val="ListBullet"/>
        <w:spacing w:after="80"/>
      </w:pPr>
      <w:r>
        <w:rPr>
          <w:rFonts w:ascii="Calibri" w:hAnsi="Calibri"/>
          <w:b/>
          <w:color w:val="222222"/>
          <w:sz w:val="21"/>
        </w:rPr>
        <w:t xml:space="preserve">Data-Driven Analytics Engine: </w:t>
      </w:r>
      <w:r>
        <w:rPr>
          <w:rFonts w:ascii="Calibri" w:hAnsi="Calibri"/>
          <w:color w:val="222222"/>
          <w:sz w:val="21"/>
        </w:rPr>
        <w:t>Formulate quantitative, natural-language analytical insights derived strictly from empirical dataset calculations to explain real estate market drivers.</w:t>
      </w:r>
    </w:p>
    <w:p w14:paraId="5E4F15A0" w14:textId="77777777" w:rsidR="00F540D9" w:rsidRDefault="00E66665">
      <w:r>
        <w:br w:type="page"/>
      </w:r>
    </w:p>
    <w:p w14:paraId="1AFD8035" w14:textId="77777777" w:rsidR="00F540D9" w:rsidRDefault="00E66665">
      <w:pPr>
        <w:pStyle w:val="Heading1"/>
        <w:spacing w:before="320" w:after="120"/>
      </w:pPr>
      <w:r>
        <w:rPr>
          <w:rFonts w:ascii="Calibri" w:hAnsi="Calibri"/>
          <w:color w:val="1B365D"/>
          <w:sz w:val="30"/>
        </w:rPr>
        <w:lastRenderedPageBreak/>
        <w:t>5. Dataset Description</w:t>
      </w:r>
    </w:p>
    <w:p w14:paraId="0A2C2602" w14:textId="77777777" w:rsidR="00F540D9" w:rsidRDefault="00E66665">
      <w:pPr>
        <w:spacing w:after="80"/>
      </w:pPr>
      <w:r>
        <w:rPr>
          <w:rFonts w:ascii="Calibri" w:hAnsi="Calibri"/>
          <w:color w:val="222222"/>
          <w:sz w:val="21"/>
        </w:rPr>
        <w:t>The empirical foundation for this study is the King County, Washington residential housing sales dataset, preserved within the repository at data/data.csv. King County encompasses the Seattle metropolitan area, representing one of the most economically dynamic and demographically diverse real estate markets in the United States.</w:t>
      </w:r>
    </w:p>
    <w:p w14:paraId="5ABAC968" w14:textId="77777777" w:rsidR="00F540D9" w:rsidRDefault="00E66665">
      <w:pPr>
        <w:pStyle w:val="Heading2"/>
        <w:spacing w:before="240" w:after="80"/>
      </w:pPr>
      <w:r>
        <w:rPr>
          <w:rFonts w:ascii="Calibri" w:hAnsi="Calibri"/>
          <w:color w:val="316B9E"/>
          <w:sz w:val="25"/>
        </w:rPr>
        <w:t>5.1 Dataset Parameters and Target Variable</w:t>
      </w:r>
    </w:p>
    <w:p w14:paraId="4ACD7AD7" w14:textId="77777777" w:rsidR="00F540D9" w:rsidRDefault="00E66665">
      <w:pPr>
        <w:pStyle w:val="ListBullet"/>
        <w:spacing w:after="80"/>
      </w:pPr>
      <w:r>
        <w:rPr>
          <w:rFonts w:ascii="Calibri" w:hAnsi="Calibri"/>
          <w:color w:val="222222"/>
          <w:sz w:val="21"/>
        </w:rPr>
        <w:t>Total Observations (Rows): 4,600 residential sales transactions.</w:t>
      </w:r>
    </w:p>
    <w:p w14:paraId="47EE5EB3" w14:textId="77777777" w:rsidR="00F540D9" w:rsidRDefault="00E66665">
      <w:pPr>
        <w:pStyle w:val="ListBullet"/>
        <w:spacing w:after="80"/>
      </w:pPr>
      <w:r>
        <w:rPr>
          <w:rFonts w:ascii="Calibri" w:hAnsi="Calibri"/>
          <w:color w:val="222222"/>
          <w:sz w:val="21"/>
        </w:rPr>
        <w:t>Total Raw Attributes (Columns): 18 columns (17 candidate predictor features + 1 target variable).</w:t>
      </w:r>
    </w:p>
    <w:p w14:paraId="1EB3D5A4" w14:textId="77777777" w:rsidR="00F540D9" w:rsidRDefault="00E66665">
      <w:pPr>
        <w:pStyle w:val="ListBullet"/>
        <w:spacing w:after="80"/>
      </w:pPr>
      <w:r>
        <w:rPr>
          <w:rFonts w:ascii="Calibri" w:hAnsi="Calibri"/>
          <w:color w:val="222222"/>
          <w:sz w:val="21"/>
        </w:rPr>
        <w:t>Target Variable: price — Continuous numerical value representing the final realized sale price in United States Dollars (USD).</w:t>
      </w:r>
    </w:p>
    <w:p w14:paraId="7417BB88" w14:textId="77777777" w:rsidR="00F540D9" w:rsidRDefault="00E66665">
      <w:pPr>
        <w:pStyle w:val="ListBullet"/>
        <w:spacing w:after="80"/>
      </w:pPr>
      <w:r>
        <w:rPr>
          <w:rFonts w:ascii="Calibri" w:hAnsi="Calibri"/>
          <w:color w:val="222222"/>
          <w:sz w:val="21"/>
        </w:rPr>
        <w:t>Missing Value Count: 0 null or missing values across all 18 raw columns.</w:t>
      </w:r>
    </w:p>
    <w:p w14:paraId="4D825122" w14:textId="77777777" w:rsidR="00F540D9" w:rsidRDefault="00E66665">
      <w:pPr>
        <w:pStyle w:val="ListBullet"/>
        <w:spacing w:after="80"/>
      </w:pPr>
      <w:r>
        <w:rPr>
          <w:rFonts w:ascii="Calibri" w:hAnsi="Calibri"/>
          <w:color w:val="222222"/>
          <w:sz w:val="21"/>
        </w:rPr>
        <w:t>True Duplicate Rows: 0 duplicate transaction records.</w:t>
      </w:r>
    </w:p>
    <w:p w14:paraId="1B6F6197" w14:textId="77777777" w:rsidR="00F540D9" w:rsidRDefault="00E66665">
      <w:pPr>
        <w:pStyle w:val="Heading2"/>
        <w:spacing w:before="240" w:after="80"/>
      </w:pPr>
      <w:r>
        <w:rPr>
          <w:rFonts w:ascii="Calibri" w:hAnsi="Calibri"/>
          <w:color w:val="316B9E"/>
          <w:sz w:val="25"/>
        </w:rPr>
        <w:t>5.2 Raw Target Variable Summary Statistics</w:t>
      </w:r>
    </w:p>
    <w:p w14:paraId="1AFFA856" w14:textId="77777777" w:rsidR="00F540D9" w:rsidRDefault="00E66665">
      <w:pPr>
        <w:spacing w:after="80"/>
      </w:pPr>
      <w:r>
        <w:rPr>
          <w:rFonts w:ascii="Calibri" w:hAnsi="Calibri"/>
          <w:color w:val="222222"/>
          <w:sz w:val="21"/>
        </w:rPr>
        <w:t>A rigorous statistical audit of the raw target variable price revealed the following descriptive metrics:</w:t>
      </w:r>
    </w:p>
    <w:tbl>
      <w:tblPr>
        <w:tblW w:w="0" w:type="auto"/>
        <w:jc w:val="center"/>
        <w:tblLayout w:type="fixed"/>
        <w:tblLook w:val="04A0" w:firstRow="1" w:lastRow="0" w:firstColumn="1" w:lastColumn="0" w:noHBand="0" w:noVBand="1"/>
      </w:tblPr>
      <w:tblGrid>
        <w:gridCol w:w="4680"/>
        <w:gridCol w:w="4680"/>
      </w:tblGrid>
      <w:tr w:rsidR="00F540D9" w14:paraId="4048A883" w14:textId="77777777">
        <w:trPr>
          <w:jc w:val="center"/>
        </w:trPr>
        <w:tc>
          <w:tcPr>
            <w:tcW w:w="4680" w:type="dxa"/>
          </w:tcPr>
          <w:p w14:paraId="5CE9B3D9" w14:textId="77777777" w:rsidR="00F540D9" w:rsidRDefault="00E66665">
            <w:r>
              <w:t>Statistical Metric</w:t>
            </w:r>
          </w:p>
        </w:tc>
        <w:tc>
          <w:tcPr>
            <w:tcW w:w="4680" w:type="dxa"/>
          </w:tcPr>
          <w:p w14:paraId="0CA5660D" w14:textId="77777777" w:rsidR="00F540D9" w:rsidRDefault="00E66665">
            <w:r>
              <w:t>Observed Empirical Value</w:t>
            </w:r>
          </w:p>
        </w:tc>
      </w:tr>
      <w:tr w:rsidR="00F540D9" w14:paraId="4BE8B8F7" w14:textId="77777777">
        <w:trPr>
          <w:jc w:val="center"/>
        </w:trPr>
        <w:tc>
          <w:tcPr>
            <w:tcW w:w="4680" w:type="dxa"/>
          </w:tcPr>
          <w:p w14:paraId="3E756E60" w14:textId="77777777" w:rsidR="00F540D9" w:rsidRDefault="00F540D9"/>
        </w:tc>
        <w:tc>
          <w:tcPr>
            <w:tcW w:w="4680" w:type="dxa"/>
          </w:tcPr>
          <w:p w14:paraId="3A1828F9" w14:textId="77777777" w:rsidR="00F540D9" w:rsidRDefault="00F540D9"/>
        </w:tc>
      </w:tr>
      <w:tr w:rsidR="00F540D9" w14:paraId="472FF921" w14:textId="77777777">
        <w:trPr>
          <w:jc w:val="center"/>
        </w:trPr>
        <w:tc>
          <w:tcPr>
            <w:tcW w:w="4680" w:type="dxa"/>
          </w:tcPr>
          <w:p w14:paraId="3A0CB3C6" w14:textId="77777777" w:rsidR="00F540D9" w:rsidRDefault="00F540D9"/>
        </w:tc>
        <w:tc>
          <w:tcPr>
            <w:tcW w:w="4680" w:type="dxa"/>
          </w:tcPr>
          <w:p w14:paraId="145976D1" w14:textId="77777777" w:rsidR="00F540D9" w:rsidRDefault="00F540D9"/>
        </w:tc>
      </w:tr>
      <w:tr w:rsidR="00F540D9" w14:paraId="221CFF6B" w14:textId="77777777">
        <w:trPr>
          <w:jc w:val="center"/>
        </w:trPr>
        <w:tc>
          <w:tcPr>
            <w:tcW w:w="4680" w:type="dxa"/>
          </w:tcPr>
          <w:p w14:paraId="16755297" w14:textId="77777777" w:rsidR="00F540D9" w:rsidRDefault="00F540D9"/>
        </w:tc>
        <w:tc>
          <w:tcPr>
            <w:tcW w:w="4680" w:type="dxa"/>
          </w:tcPr>
          <w:p w14:paraId="2DEE180A" w14:textId="77777777" w:rsidR="00F540D9" w:rsidRDefault="00F540D9"/>
        </w:tc>
      </w:tr>
      <w:tr w:rsidR="00F540D9" w14:paraId="2E489A19" w14:textId="77777777">
        <w:trPr>
          <w:jc w:val="center"/>
        </w:trPr>
        <w:tc>
          <w:tcPr>
            <w:tcW w:w="4680" w:type="dxa"/>
          </w:tcPr>
          <w:p w14:paraId="4D7F5FCC" w14:textId="77777777" w:rsidR="00F540D9" w:rsidRDefault="00F540D9"/>
        </w:tc>
        <w:tc>
          <w:tcPr>
            <w:tcW w:w="4680" w:type="dxa"/>
          </w:tcPr>
          <w:p w14:paraId="2A8AEA3B" w14:textId="77777777" w:rsidR="00F540D9" w:rsidRDefault="00F540D9"/>
        </w:tc>
      </w:tr>
      <w:tr w:rsidR="00F540D9" w14:paraId="403027D7" w14:textId="77777777">
        <w:trPr>
          <w:jc w:val="center"/>
        </w:trPr>
        <w:tc>
          <w:tcPr>
            <w:tcW w:w="4680" w:type="dxa"/>
          </w:tcPr>
          <w:p w14:paraId="324C818E" w14:textId="77777777" w:rsidR="00F540D9" w:rsidRDefault="00F540D9"/>
        </w:tc>
        <w:tc>
          <w:tcPr>
            <w:tcW w:w="4680" w:type="dxa"/>
          </w:tcPr>
          <w:p w14:paraId="3C130193" w14:textId="77777777" w:rsidR="00F540D9" w:rsidRDefault="00F540D9"/>
        </w:tc>
      </w:tr>
      <w:tr w:rsidR="00F540D9" w14:paraId="22B73630" w14:textId="77777777">
        <w:trPr>
          <w:jc w:val="center"/>
        </w:trPr>
        <w:tc>
          <w:tcPr>
            <w:tcW w:w="4680" w:type="dxa"/>
          </w:tcPr>
          <w:p w14:paraId="127528DE" w14:textId="77777777" w:rsidR="00F540D9" w:rsidRDefault="00F540D9"/>
        </w:tc>
        <w:tc>
          <w:tcPr>
            <w:tcW w:w="4680" w:type="dxa"/>
          </w:tcPr>
          <w:p w14:paraId="33AD843F" w14:textId="77777777" w:rsidR="00F540D9" w:rsidRDefault="00F540D9"/>
        </w:tc>
      </w:tr>
      <w:tr w:rsidR="00F540D9" w14:paraId="20150E1F" w14:textId="77777777">
        <w:trPr>
          <w:jc w:val="center"/>
        </w:trPr>
        <w:tc>
          <w:tcPr>
            <w:tcW w:w="4680" w:type="dxa"/>
          </w:tcPr>
          <w:p w14:paraId="69A685FC" w14:textId="77777777" w:rsidR="00F540D9" w:rsidRDefault="00F540D9"/>
        </w:tc>
        <w:tc>
          <w:tcPr>
            <w:tcW w:w="4680" w:type="dxa"/>
          </w:tcPr>
          <w:p w14:paraId="346EF761" w14:textId="77777777" w:rsidR="00F540D9" w:rsidRDefault="00F540D9"/>
        </w:tc>
      </w:tr>
    </w:tbl>
    <w:p w14:paraId="62CB727B" w14:textId="77777777" w:rsidR="00F540D9" w:rsidRDefault="00E66665">
      <w:pPr>
        <w:pStyle w:val="Heading2"/>
        <w:spacing w:before="240" w:after="80"/>
      </w:pPr>
      <w:r>
        <w:rPr>
          <w:rFonts w:ascii="Calibri" w:hAnsi="Calibri"/>
          <w:color w:val="316B9E"/>
          <w:sz w:val="25"/>
        </w:rPr>
        <w:t>5.3 Comprehensive Data Dictionary</w:t>
      </w:r>
    </w:p>
    <w:p w14:paraId="31F3D3DE" w14:textId="77777777" w:rsidR="00F540D9" w:rsidRDefault="00E66665">
      <w:pPr>
        <w:spacing w:after="80"/>
      </w:pPr>
      <w:r>
        <w:rPr>
          <w:rFonts w:ascii="Calibri" w:hAnsi="Calibri"/>
          <w:color w:val="222222"/>
          <w:sz w:val="21"/>
        </w:rPr>
        <w:t>The table below enumerates all 18 raw attributes present in data/data.csv, documenting their native storage data types, physical descriptions, and operational roles within the machine learning pipeline: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584"/>
        <w:gridCol w:w="1152"/>
        <w:gridCol w:w="3744"/>
        <w:gridCol w:w="2880"/>
      </w:tblGrid>
      <w:tr w:rsidR="00F540D9" w14:paraId="2678A414" w14:textId="77777777">
        <w:trPr>
          <w:jc w:val="center"/>
        </w:trPr>
        <w:tc>
          <w:tcPr>
            <w:tcW w:w="1584" w:type="dxa"/>
            <w:shd w:val="clear" w:color="auto" w:fill="1B365D"/>
            <w:tcMar>
              <w:top w:w="140" w:type="dxa"/>
              <w:left w:w="160" w:type="dxa"/>
              <w:bottom w:w="140" w:type="dxa"/>
              <w:right w:w="160" w:type="dxa"/>
            </w:tcMar>
          </w:tcPr>
          <w:p w14:paraId="7213B6CC" w14:textId="77777777" w:rsidR="00F540D9" w:rsidRDefault="00E66665">
            <w:pPr>
              <w:spacing w:after="0"/>
            </w:pPr>
            <w:r>
              <w:rPr>
                <w:rFonts w:ascii="Calibri" w:hAnsi="Calibri"/>
                <w:b/>
                <w:color w:val="FFFFFF"/>
                <w:sz w:val="19"/>
              </w:rPr>
              <w:t>Column</w:t>
            </w:r>
          </w:p>
        </w:tc>
        <w:tc>
          <w:tcPr>
            <w:tcW w:w="1152" w:type="dxa"/>
            <w:shd w:val="clear" w:color="auto" w:fill="1B365D"/>
            <w:tcMar>
              <w:top w:w="140" w:type="dxa"/>
              <w:left w:w="160" w:type="dxa"/>
              <w:bottom w:w="140" w:type="dxa"/>
              <w:right w:w="160" w:type="dxa"/>
            </w:tcMar>
          </w:tcPr>
          <w:p w14:paraId="7958B76D" w14:textId="77777777" w:rsidR="00F540D9" w:rsidRDefault="00E66665">
            <w:pPr>
              <w:spacing w:after="0"/>
            </w:pPr>
            <w:r>
              <w:rPr>
                <w:rFonts w:ascii="Calibri" w:hAnsi="Calibri"/>
                <w:b/>
                <w:color w:val="FFFFFF"/>
                <w:sz w:val="19"/>
              </w:rPr>
              <w:t>Type</w:t>
            </w:r>
          </w:p>
        </w:tc>
        <w:tc>
          <w:tcPr>
            <w:tcW w:w="3744" w:type="dxa"/>
            <w:shd w:val="clear" w:color="auto" w:fill="1B365D"/>
            <w:tcMar>
              <w:top w:w="140" w:type="dxa"/>
              <w:left w:w="160" w:type="dxa"/>
              <w:bottom w:w="140" w:type="dxa"/>
              <w:right w:w="160" w:type="dxa"/>
            </w:tcMar>
          </w:tcPr>
          <w:p w14:paraId="5B81D299" w14:textId="77777777" w:rsidR="00F540D9" w:rsidRDefault="00E66665">
            <w:pPr>
              <w:spacing w:after="0"/>
            </w:pPr>
            <w:r>
              <w:rPr>
                <w:rFonts w:ascii="Calibri" w:hAnsi="Calibri"/>
                <w:b/>
                <w:color w:val="FFFFFF"/>
                <w:sz w:val="19"/>
              </w:rPr>
              <w:t>Description</w:t>
            </w:r>
          </w:p>
        </w:tc>
        <w:tc>
          <w:tcPr>
            <w:tcW w:w="2880" w:type="dxa"/>
            <w:shd w:val="clear" w:color="auto" w:fill="1B365D"/>
            <w:tcMar>
              <w:top w:w="140" w:type="dxa"/>
              <w:left w:w="160" w:type="dxa"/>
              <w:bottom w:w="140" w:type="dxa"/>
              <w:right w:w="160" w:type="dxa"/>
            </w:tcMar>
          </w:tcPr>
          <w:p w14:paraId="1E79171E" w14:textId="77777777" w:rsidR="00F540D9" w:rsidRDefault="00E66665">
            <w:pPr>
              <w:spacing w:after="0"/>
            </w:pPr>
            <w:r>
              <w:rPr>
                <w:rFonts w:ascii="Calibri" w:hAnsi="Calibri"/>
                <w:b/>
                <w:color w:val="FFFFFF"/>
                <w:sz w:val="19"/>
              </w:rPr>
              <w:t>Pipeline Treatment</w:t>
            </w:r>
          </w:p>
        </w:tc>
      </w:tr>
      <w:tr w:rsidR="00F540D9" w14:paraId="2B156767" w14:textId="77777777">
        <w:trPr>
          <w:jc w:val="center"/>
        </w:trPr>
        <w:tc>
          <w:tcPr>
            <w:tcW w:w="1584" w:type="dxa"/>
            <w:shd w:val="clear" w:color="auto" w:fill="FFFFFF"/>
            <w:tcMar>
              <w:top w:w="100" w:type="dxa"/>
              <w:left w:w="160" w:type="dxa"/>
              <w:bottom w:w="100" w:type="dxa"/>
              <w:right w:w="160" w:type="dxa"/>
            </w:tcMar>
          </w:tcPr>
          <w:p w14:paraId="7D3B665C" w14:textId="77777777" w:rsidR="00F540D9" w:rsidRDefault="00E66665">
            <w:pPr>
              <w:spacing w:after="0" w:line="264" w:lineRule="auto"/>
            </w:pPr>
            <w:r>
              <w:rPr>
                <w:rFonts w:ascii="Calibri" w:hAnsi="Calibri"/>
                <w:color w:val="222222"/>
                <w:sz w:val="19"/>
              </w:rPr>
              <w:t>date</w:t>
            </w:r>
          </w:p>
        </w:tc>
        <w:tc>
          <w:tcPr>
            <w:tcW w:w="1152" w:type="dxa"/>
            <w:shd w:val="clear" w:color="auto" w:fill="FFFFFF"/>
            <w:tcMar>
              <w:top w:w="100" w:type="dxa"/>
              <w:left w:w="160" w:type="dxa"/>
              <w:bottom w:w="100" w:type="dxa"/>
              <w:right w:w="160" w:type="dxa"/>
            </w:tcMar>
          </w:tcPr>
          <w:p w14:paraId="6AD2C21E" w14:textId="77777777" w:rsidR="00F540D9" w:rsidRDefault="00E66665">
            <w:pPr>
              <w:spacing w:after="0" w:line="264" w:lineRule="auto"/>
            </w:pPr>
            <w:r>
              <w:rPr>
                <w:rFonts w:ascii="Calibri" w:hAnsi="Calibri"/>
                <w:color w:val="222222"/>
                <w:sz w:val="19"/>
              </w:rPr>
              <w:t>object</w:t>
            </w:r>
          </w:p>
        </w:tc>
        <w:tc>
          <w:tcPr>
            <w:tcW w:w="3744" w:type="dxa"/>
            <w:shd w:val="clear" w:color="auto" w:fill="FFFFFF"/>
            <w:tcMar>
              <w:top w:w="100" w:type="dxa"/>
              <w:left w:w="160" w:type="dxa"/>
              <w:bottom w:w="100" w:type="dxa"/>
              <w:right w:w="160" w:type="dxa"/>
            </w:tcMar>
          </w:tcPr>
          <w:p w14:paraId="326DEBEA" w14:textId="77777777" w:rsidR="00F540D9" w:rsidRDefault="00E66665">
            <w:pPr>
              <w:spacing w:after="0" w:line="264" w:lineRule="auto"/>
            </w:pPr>
            <w:r>
              <w:rPr>
                <w:rFonts w:ascii="Calibri" w:hAnsi="Calibri"/>
                <w:color w:val="222222"/>
                <w:sz w:val="19"/>
              </w:rPr>
              <w:t>Date and timestamp string of transaction (e.g., '2014-05-02 00:00:00')</w:t>
            </w:r>
          </w:p>
        </w:tc>
        <w:tc>
          <w:tcPr>
            <w:tcW w:w="2880" w:type="dxa"/>
            <w:shd w:val="clear" w:color="auto" w:fill="FFFFFF"/>
            <w:tcMar>
              <w:top w:w="100" w:type="dxa"/>
              <w:left w:w="160" w:type="dxa"/>
              <w:bottom w:w="100" w:type="dxa"/>
              <w:right w:w="160" w:type="dxa"/>
            </w:tcMar>
          </w:tcPr>
          <w:p w14:paraId="3E0042F4" w14:textId="77777777" w:rsidR="00F540D9" w:rsidRDefault="00E66665">
            <w:pPr>
              <w:spacing w:after="0" w:line="264" w:lineRule="auto"/>
            </w:pPr>
            <w:r>
              <w:rPr>
                <w:rFonts w:ascii="Calibri" w:hAnsi="Calibri"/>
                <w:color w:val="222222"/>
                <w:sz w:val="19"/>
              </w:rPr>
              <w:t>Parsed into sale_year &amp; sale_month; raw column dropped</w:t>
            </w:r>
          </w:p>
        </w:tc>
      </w:tr>
      <w:tr w:rsidR="00F540D9" w14:paraId="04228061" w14:textId="77777777">
        <w:trPr>
          <w:jc w:val="center"/>
        </w:trPr>
        <w:tc>
          <w:tcPr>
            <w:tcW w:w="1584" w:type="dxa"/>
            <w:shd w:val="clear" w:color="auto" w:fill="F4F7FA"/>
            <w:tcMar>
              <w:top w:w="100" w:type="dxa"/>
              <w:left w:w="160" w:type="dxa"/>
              <w:bottom w:w="100" w:type="dxa"/>
              <w:right w:w="160" w:type="dxa"/>
            </w:tcMar>
          </w:tcPr>
          <w:p w14:paraId="6F2CAF4F" w14:textId="77777777" w:rsidR="00F540D9" w:rsidRDefault="00E66665">
            <w:pPr>
              <w:spacing w:after="0" w:line="264" w:lineRule="auto"/>
            </w:pPr>
            <w:r>
              <w:rPr>
                <w:rFonts w:ascii="Calibri" w:hAnsi="Calibri"/>
                <w:color w:val="222222"/>
                <w:sz w:val="19"/>
              </w:rPr>
              <w:t>price</w:t>
            </w:r>
          </w:p>
        </w:tc>
        <w:tc>
          <w:tcPr>
            <w:tcW w:w="1152" w:type="dxa"/>
            <w:shd w:val="clear" w:color="auto" w:fill="F4F7FA"/>
            <w:tcMar>
              <w:top w:w="100" w:type="dxa"/>
              <w:left w:w="160" w:type="dxa"/>
              <w:bottom w:w="100" w:type="dxa"/>
              <w:right w:w="160" w:type="dxa"/>
            </w:tcMar>
          </w:tcPr>
          <w:p w14:paraId="204E6230" w14:textId="77777777" w:rsidR="00F540D9" w:rsidRDefault="00E66665">
            <w:pPr>
              <w:spacing w:after="0" w:line="264" w:lineRule="auto"/>
            </w:pPr>
            <w:r>
              <w:rPr>
                <w:rFonts w:ascii="Calibri" w:hAnsi="Calibri"/>
                <w:color w:val="222222"/>
                <w:sz w:val="19"/>
              </w:rPr>
              <w:t>float64</w:t>
            </w:r>
          </w:p>
        </w:tc>
        <w:tc>
          <w:tcPr>
            <w:tcW w:w="3744" w:type="dxa"/>
            <w:shd w:val="clear" w:color="auto" w:fill="F4F7FA"/>
            <w:tcMar>
              <w:top w:w="100" w:type="dxa"/>
              <w:left w:w="160" w:type="dxa"/>
              <w:bottom w:w="100" w:type="dxa"/>
              <w:right w:w="160" w:type="dxa"/>
            </w:tcMar>
          </w:tcPr>
          <w:p w14:paraId="7A1981E8" w14:textId="77777777" w:rsidR="00F540D9" w:rsidRDefault="00E66665">
            <w:pPr>
              <w:spacing w:after="0" w:line="264" w:lineRule="auto"/>
            </w:pPr>
            <w:r>
              <w:rPr>
                <w:rFonts w:ascii="Calibri" w:hAnsi="Calibri"/>
                <w:color w:val="222222"/>
                <w:sz w:val="19"/>
              </w:rPr>
              <w:t>Transaction sale price in USD (Target Variable)</w:t>
            </w:r>
          </w:p>
        </w:tc>
        <w:tc>
          <w:tcPr>
            <w:tcW w:w="2880" w:type="dxa"/>
            <w:shd w:val="clear" w:color="auto" w:fill="F4F7FA"/>
            <w:tcMar>
              <w:top w:w="100" w:type="dxa"/>
              <w:left w:w="160" w:type="dxa"/>
              <w:bottom w:w="100" w:type="dxa"/>
              <w:right w:w="160" w:type="dxa"/>
            </w:tcMar>
          </w:tcPr>
          <w:p w14:paraId="3F99A382" w14:textId="77777777" w:rsidR="00F540D9" w:rsidRDefault="00E66665">
            <w:pPr>
              <w:spacing w:after="0" w:line="264" w:lineRule="auto"/>
            </w:pPr>
            <w:r>
              <w:rPr>
                <w:rFonts w:ascii="Calibri" w:hAnsi="Calibri"/>
                <w:color w:val="222222"/>
                <w:sz w:val="19"/>
              </w:rPr>
              <w:t>Target Variable; winsorized at 1st &amp; 99th percentiles</w:t>
            </w:r>
          </w:p>
        </w:tc>
      </w:tr>
      <w:tr w:rsidR="00F540D9" w14:paraId="76715756" w14:textId="77777777">
        <w:trPr>
          <w:jc w:val="center"/>
        </w:trPr>
        <w:tc>
          <w:tcPr>
            <w:tcW w:w="1584" w:type="dxa"/>
            <w:shd w:val="clear" w:color="auto" w:fill="FFFFFF"/>
            <w:tcMar>
              <w:top w:w="100" w:type="dxa"/>
              <w:left w:w="160" w:type="dxa"/>
              <w:bottom w:w="100" w:type="dxa"/>
              <w:right w:w="160" w:type="dxa"/>
            </w:tcMar>
          </w:tcPr>
          <w:p w14:paraId="3AA3CE06" w14:textId="77777777" w:rsidR="00F540D9" w:rsidRDefault="00E66665">
            <w:pPr>
              <w:spacing w:after="0" w:line="264" w:lineRule="auto"/>
            </w:pPr>
            <w:r>
              <w:rPr>
                <w:rFonts w:ascii="Calibri" w:hAnsi="Calibri"/>
                <w:color w:val="222222"/>
                <w:sz w:val="19"/>
              </w:rPr>
              <w:lastRenderedPageBreak/>
              <w:t>bedrooms</w:t>
            </w:r>
          </w:p>
        </w:tc>
        <w:tc>
          <w:tcPr>
            <w:tcW w:w="1152" w:type="dxa"/>
            <w:shd w:val="clear" w:color="auto" w:fill="FFFFFF"/>
            <w:tcMar>
              <w:top w:w="100" w:type="dxa"/>
              <w:left w:w="160" w:type="dxa"/>
              <w:bottom w:w="100" w:type="dxa"/>
              <w:right w:w="160" w:type="dxa"/>
            </w:tcMar>
          </w:tcPr>
          <w:p w14:paraId="39238C47" w14:textId="77777777" w:rsidR="00F540D9" w:rsidRDefault="00E66665">
            <w:pPr>
              <w:spacing w:after="0" w:line="264" w:lineRule="auto"/>
            </w:pPr>
            <w:r>
              <w:rPr>
                <w:rFonts w:ascii="Calibri" w:hAnsi="Calibri"/>
                <w:color w:val="222222"/>
                <w:sz w:val="19"/>
              </w:rPr>
              <w:t>float64</w:t>
            </w:r>
          </w:p>
        </w:tc>
        <w:tc>
          <w:tcPr>
            <w:tcW w:w="3744" w:type="dxa"/>
            <w:shd w:val="clear" w:color="auto" w:fill="FFFFFF"/>
            <w:tcMar>
              <w:top w:w="100" w:type="dxa"/>
              <w:left w:w="160" w:type="dxa"/>
              <w:bottom w:w="100" w:type="dxa"/>
              <w:right w:w="160" w:type="dxa"/>
            </w:tcMar>
          </w:tcPr>
          <w:p w14:paraId="23C9604D" w14:textId="77777777" w:rsidR="00F540D9" w:rsidRDefault="00E66665">
            <w:pPr>
              <w:spacing w:after="0" w:line="264" w:lineRule="auto"/>
            </w:pPr>
            <w:r>
              <w:rPr>
                <w:rFonts w:ascii="Calibri" w:hAnsi="Calibri"/>
                <w:color w:val="222222"/>
                <w:sz w:val="19"/>
              </w:rPr>
              <w:t>Total count of bedrooms (discrete numeric from 0 to 9)</w:t>
            </w:r>
          </w:p>
        </w:tc>
        <w:tc>
          <w:tcPr>
            <w:tcW w:w="2880" w:type="dxa"/>
            <w:shd w:val="clear" w:color="auto" w:fill="FFFFFF"/>
            <w:tcMar>
              <w:top w:w="100" w:type="dxa"/>
              <w:left w:w="160" w:type="dxa"/>
              <w:bottom w:w="100" w:type="dxa"/>
              <w:right w:w="160" w:type="dxa"/>
            </w:tcMar>
          </w:tcPr>
          <w:p w14:paraId="7F804203" w14:textId="77777777" w:rsidR="00F540D9" w:rsidRDefault="00E66665">
            <w:pPr>
              <w:spacing w:after="0" w:line="264" w:lineRule="auto"/>
            </w:pPr>
            <w:r>
              <w:rPr>
                <w:rFonts w:ascii="Calibri" w:hAnsi="Calibri"/>
                <w:color w:val="222222"/>
                <w:sz w:val="19"/>
              </w:rPr>
              <w:t>Numerical Feature; modeled directly</w:t>
            </w:r>
          </w:p>
        </w:tc>
      </w:tr>
      <w:tr w:rsidR="00F540D9" w14:paraId="46650CD5" w14:textId="77777777">
        <w:trPr>
          <w:jc w:val="center"/>
        </w:trPr>
        <w:tc>
          <w:tcPr>
            <w:tcW w:w="1584" w:type="dxa"/>
            <w:shd w:val="clear" w:color="auto" w:fill="F4F7FA"/>
            <w:tcMar>
              <w:top w:w="100" w:type="dxa"/>
              <w:left w:w="160" w:type="dxa"/>
              <w:bottom w:w="100" w:type="dxa"/>
              <w:right w:w="160" w:type="dxa"/>
            </w:tcMar>
          </w:tcPr>
          <w:p w14:paraId="75306DF5" w14:textId="77777777" w:rsidR="00F540D9" w:rsidRDefault="00E66665">
            <w:pPr>
              <w:spacing w:after="0" w:line="264" w:lineRule="auto"/>
            </w:pPr>
            <w:r>
              <w:rPr>
                <w:rFonts w:ascii="Calibri" w:hAnsi="Calibri"/>
                <w:color w:val="222222"/>
                <w:sz w:val="19"/>
              </w:rPr>
              <w:t>bathrooms</w:t>
            </w:r>
          </w:p>
        </w:tc>
        <w:tc>
          <w:tcPr>
            <w:tcW w:w="1152" w:type="dxa"/>
            <w:shd w:val="clear" w:color="auto" w:fill="F4F7FA"/>
            <w:tcMar>
              <w:top w:w="100" w:type="dxa"/>
              <w:left w:w="160" w:type="dxa"/>
              <w:bottom w:w="100" w:type="dxa"/>
              <w:right w:w="160" w:type="dxa"/>
            </w:tcMar>
          </w:tcPr>
          <w:p w14:paraId="5DF7499C" w14:textId="77777777" w:rsidR="00F540D9" w:rsidRDefault="00E66665">
            <w:pPr>
              <w:spacing w:after="0" w:line="264" w:lineRule="auto"/>
            </w:pPr>
            <w:r>
              <w:rPr>
                <w:rFonts w:ascii="Calibri" w:hAnsi="Calibri"/>
                <w:color w:val="222222"/>
                <w:sz w:val="19"/>
              </w:rPr>
              <w:t>float64</w:t>
            </w:r>
          </w:p>
        </w:tc>
        <w:tc>
          <w:tcPr>
            <w:tcW w:w="3744" w:type="dxa"/>
            <w:shd w:val="clear" w:color="auto" w:fill="F4F7FA"/>
            <w:tcMar>
              <w:top w:w="100" w:type="dxa"/>
              <w:left w:w="160" w:type="dxa"/>
              <w:bottom w:w="100" w:type="dxa"/>
              <w:right w:w="160" w:type="dxa"/>
            </w:tcMar>
          </w:tcPr>
          <w:p w14:paraId="72CFDE61" w14:textId="77777777" w:rsidR="00F540D9" w:rsidRDefault="00E66665">
            <w:pPr>
              <w:spacing w:after="0" w:line="264" w:lineRule="auto"/>
            </w:pPr>
            <w:r>
              <w:rPr>
                <w:rFonts w:ascii="Calibri" w:hAnsi="Calibri"/>
                <w:color w:val="222222"/>
                <w:sz w:val="19"/>
              </w:rPr>
              <w:t>Total bathroom count (fractions represent half/quarter baths)</w:t>
            </w:r>
          </w:p>
        </w:tc>
        <w:tc>
          <w:tcPr>
            <w:tcW w:w="2880" w:type="dxa"/>
            <w:shd w:val="clear" w:color="auto" w:fill="F4F7FA"/>
            <w:tcMar>
              <w:top w:w="100" w:type="dxa"/>
              <w:left w:w="160" w:type="dxa"/>
              <w:bottom w:w="100" w:type="dxa"/>
              <w:right w:w="160" w:type="dxa"/>
            </w:tcMar>
          </w:tcPr>
          <w:p w14:paraId="2B9320FB" w14:textId="77777777" w:rsidR="00F540D9" w:rsidRDefault="00E66665">
            <w:pPr>
              <w:spacing w:after="0" w:line="264" w:lineRule="auto"/>
            </w:pPr>
            <w:r>
              <w:rPr>
                <w:rFonts w:ascii="Calibri" w:hAnsi="Calibri"/>
                <w:color w:val="222222"/>
                <w:sz w:val="19"/>
              </w:rPr>
              <w:t>Numerical Feature; modeled directly</w:t>
            </w:r>
          </w:p>
        </w:tc>
      </w:tr>
      <w:tr w:rsidR="00F540D9" w14:paraId="7B9B2248" w14:textId="77777777">
        <w:trPr>
          <w:jc w:val="center"/>
        </w:trPr>
        <w:tc>
          <w:tcPr>
            <w:tcW w:w="1584" w:type="dxa"/>
            <w:shd w:val="clear" w:color="auto" w:fill="FFFFFF"/>
            <w:tcMar>
              <w:top w:w="100" w:type="dxa"/>
              <w:left w:w="160" w:type="dxa"/>
              <w:bottom w:w="100" w:type="dxa"/>
              <w:right w:w="160" w:type="dxa"/>
            </w:tcMar>
          </w:tcPr>
          <w:p w14:paraId="2DAA2471" w14:textId="77777777" w:rsidR="00F540D9" w:rsidRDefault="00E66665">
            <w:pPr>
              <w:spacing w:after="0" w:line="264" w:lineRule="auto"/>
            </w:pPr>
            <w:r>
              <w:rPr>
                <w:rFonts w:ascii="Calibri" w:hAnsi="Calibri"/>
                <w:color w:val="222222"/>
                <w:sz w:val="19"/>
              </w:rPr>
              <w:t>sqft_living</w:t>
            </w:r>
          </w:p>
        </w:tc>
        <w:tc>
          <w:tcPr>
            <w:tcW w:w="1152" w:type="dxa"/>
            <w:shd w:val="clear" w:color="auto" w:fill="FFFFFF"/>
            <w:tcMar>
              <w:top w:w="100" w:type="dxa"/>
              <w:left w:w="160" w:type="dxa"/>
              <w:bottom w:w="100" w:type="dxa"/>
              <w:right w:w="160" w:type="dxa"/>
            </w:tcMar>
          </w:tcPr>
          <w:p w14:paraId="7344CD74" w14:textId="77777777" w:rsidR="00F540D9" w:rsidRDefault="00E66665">
            <w:pPr>
              <w:spacing w:after="0" w:line="264" w:lineRule="auto"/>
            </w:pPr>
            <w:r>
              <w:rPr>
                <w:rFonts w:ascii="Calibri" w:hAnsi="Calibri"/>
                <w:color w:val="222222"/>
                <w:sz w:val="19"/>
              </w:rPr>
              <w:t>int64</w:t>
            </w:r>
          </w:p>
        </w:tc>
        <w:tc>
          <w:tcPr>
            <w:tcW w:w="3744" w:type="dxa"/>
            <w:shd w:val="clear" w:color="auto" w:fill="FFFFFF"/>
            <w:tcMar>
              <w:top w:w="100" w:type="dxa"/>
              <w:left w:w="160" w:type="dxa"/>
              <w:bottom w:w="100" w:type="dxa"/>
              <w:right w:w="160" w:type="dxa"/>
            </w:tcMar>
          </w:tcPr>
          <w:p w14:paraId="318AC324" w14:textId="77777777" w:rsidR="00F540D9" w:rsidRDefault="00E66665">
            <w:pPr>
              <w:spacing w:after="0" w:line="264" w:lineRule="auto"/>
            </w:pPr>
            <w:r>
              <w:rPr>
                <w:rFonts w:ascii="Calibri" w:hAnsi="Calibri"/>
                <w:color w:val="222222"/>
                <w:sz w:val="19"/>
              </w:rPr>
              <w:t>Habitable interior living space in square feet</w:t>
            </w:r>
          </w:p>
        </w:tc>
        <w:tc>
          <w:tcPr>
            <w:tcW w:w="2880" w:type="dxa"/>
            <w:shd w:val="clear" w:color="auto" w:fill="FFFFFF"/>
            <w:tcMar>
              <w:top w:w="100" w:type="dxa"/>
              <w:left w:w="160" w:type="dxa"/>
              <w:bottom w:w="100" w:type="dxa"/>
              <w:right w:w="160" w:type="dxa"/>
            </w:tcMar>
          </w:tcPr>
          <w:p w14:paraId="336D1A6A" w14:textId="77777777" w:rsidR="00F540D9" w:rsidRDefault="00E66665">
            <w:pPr>
              <w:spacing w:after="0" w:line="264" w:lineRule="auto"/>
            </w:pPr>
            <w:r>
              <w:rPr>
                <w:rFonts w:ascii="Calibri" w:hAnsi="Calibri"/>
                <w:color w:val="222222"/>
                <w:sz w:val="19"/>
              </w:rPr>
              <w:t>Numerical Feature; winsorized at 1st &amp; 99th percentiles</w:t>
            </w:r>
          </w:p>
        </w:tc>
      </w:tr>
      <w:tr w:rsidR="00F540D9" w14:paraId="568975AA" w14:textId="77777777">
        <w:trPr>
          <w:jc w:val="center"/>
        </w:trPr>
        <w:tc>
          <w:tcPr>
            <w:tcW w:w="1584" w:type="dxa"/>
            <w:shd w:val="clear" w:color="auto" w:fill="F4F7FA"/>
            <w:tcMar>
              <w:top w:w="100" w:type="dxa"/>
              <w:left w:w="160" w:type="dxa"/>
              <w:bottom w:w="100" w:type="dxa"/>
              <w:right w:w="160" w:type="dxa"/>
            </w:tcMar>
          </w:tcPr>
          <w:p w14:paraId="097F12D4" w14:textId="77777777" w:rsidR="00F540D9" w:rsidRDefault="00E66665">
            <w:pPr>
              <w:spacing w:after="0" w:line="264" w:lineRule="auto"/>
            </w:pPr>
            <w:r>
              <w:rPr>
                <w:rFonts w:ascii="Calibri" w:hAnsi="Calibri"/>
                <w:color w:val="222222"/>
                <w:sz w:val="19"/>
              </w:rPr>
              <w:t>sqft_lot</w:t>
            </w:r>
          </w:p>
        </w:tc>
        <w:tc>
          <w:tcPr>
            <w:tcW w:w="1152" w:type="dxa"/>
            <w:shd w:val="clear" w:color="auto" w:fill="F4F7FA"/>
            <w:tcMar>
              <w:top w:w="100" w:type="dxa"/>
              <w:left w:w="160" w:type="dxa"/>
              <w:bottom w:w="100" w:type="dxa"/>
              <w:right w:w="160" w:type="dxa"/>
            </w:tcMar>
          </w:tcPr>
          <w:p w14:paraId="6B020D6E" w14:textId="77777777" w:rsidR="00F540D9" w:rsidRDefault="00E66665">
            <w:pPr>
              <w:spacing w:after="0" w:line="264" w:lineRule="auto"/>
            </w:pPr>
            <w:r>
              <w:rPr>
                <w:rFonts w:ascii="Calibri" w:hAnsi="Calibri"/>
                <w:color w:val="222222"/>
                <w:sz w:val="19"/>
              </w:rPr>
              <w:t>int64</w:t>
            </w:r>
          </w:p>
        </w:tc>
        <w:tc>
          <w:tcPr>
            <w:tcW w:w="3744" w:type="dxa"/>
            <w:shd w:val="clear" w:color="auto" w:fill="F4F7FA"/>
            <w:tcMar>
              <w:top w:w="100" w:type="dxa"/>
              <w:left w:w="160" w:type="dxa"/>
              <w:bottom w:w="100" w:type="dxa"/>
              <w:right w:w="160" w:type="dxa"/>
            </w:tcMar>
          </w:tcPr>
          <w:p w14:paraId="48CA1A90" w14:textId="77777777" w:rsidR="00F540D9" w:rsidRDefault="00E66665">
            <w:pPr>
              <w:spacing w:after="0" w:line="264" w:lineRule="auto"/>
            </w:pPr>
            <w:r>
              <w:rPr>
                <w:rFonts w:ascii="Calibri" w:hAnsi="Calibri"/>
                <w:color w:val="222222"/>
                <w:sz w:val="19"/>
              </w:rPr>
              <w:t>Total land parcel/lot area in square feet</w:t>
            </w:r>
          </w:p>
        </w:tc>
        <w:tc>
          <w:tcPr>
            <w:tcW w:w="2880" w:type="dxa"/>
            <w:shd w:val="clear" w:color="auto" w:fill="F4F7FA"/>
            <w:tcMar>
              <w:top w:w="100" w:type="dxa"/>
              <w:left w:w="160" w:type="dxa"/>
              <w:bottom w:w="100" w:type="dxa"/>
              <w:right w:w="160" w:type="dxa"/>
            </w:tcMar>
          </w:tcPr>
          <w:p w14:paraId="0C69EBD8" w14:textId="77777777" w:rsidR="00F540D9" w:rsidRDefault="00E66665">
            <w:pPr>
              <w:spacing w:after="0" w:line="264" w:lineRule="auto"/>
            </w:pPr>
            <w:r>
              <w:rPr>
                <w:rFonts w:ascii="Calibri" w:hAnsi="Calibri"/>
                <w:color w:val="222222"/>
                <w:sz w:val="19"/>
              </w:rPr>
              <w:t>Numerical Feature; winsorized at 1st &amp; 99th percentiles</w:t>
            </w:r>
          </w:p>
        </w:tc>
      </w:tr>
      <w:tr w:rsidR="00F540D9" w14:paraId="7131B426" w14:textId="77777777">
        <w:trPr>
          <w:jc w:val="center"/>
        </w:trPr>
        <w:tc>
          <w:tcPr>
            <w:tcW w:w="1584" w:type="dxa"/>
            <w:shd w:val="clear" w:color="auto" w:fill="FFFFFF"/>
            <w:tcMar>
              <w:top w:w="100" w:type="dxa"/>
              <w:left w:w="160" w:type="dxa"/>
              <w:bottom w:w="100" w:type="dxa"/>
              <w:right w:w="160" w:type="dxa"/>
            </w:tcMar>
          </w:tcPr>
          <w:p w14:paraId="7273DD70" w14:textId="77777777" w:rsidR="00F540D9" w:rsidRDefault="00E66665">
            <w:pPr>
              <w:spacing w:after="0" w:line="264" w:lineRule="auto"/>
            </w:pPr>
            <w:r>
              <w:rPr>
                <w:rFonts w:ascii="Calibri" w:hAnsi="Calibri"/>
                <w:color w:val="222222"/>
                <w:sz w:val="19"/>
              </w:rPr>
              <w:t>floors</w:t>
            </w:r>
          </w:p>
        </w:tc>
        <w:tc>
          <w:tcPr>
            <w:tcW w:w="1152" w:type="dxa"/>
            <w:shd w:val="clear" w:color="auto" w:fill="FFFFFF"/>
            <w:tcMar>
              <w:top w:w="100" w:type="dxa"/>
              <w:left w:w="160" w:type="dxa"/>
              <w:bottom w:w="100" w:type="dxa"/>
              <w:right w:w="160" w:type="dxa"/>
            </w:tcMar>
          </w:tcPr>
          <w:p w14:paraId="6202F3FE" w14:textId="77777777" w:rsidR="00F540D9" w:rsidRDefault="00E66665">
            <w:pPr>
              <w:spacing w:after="0" w:line="264" w:lineRule="auto"/>
            </w:pPr>
            <w:r>
              <w:rPr>
                <w:rFonts w:ascii="Calibri" w:hAnsi="Calibri"/>
                <w:color w:val="222222"/>
                <w:sz w:val="19"/>
              </w:rPr>
              <w:t>float64</w:t>
            </w:r>
          </w:p>
        </w:tc>
        <w:tc>
          <w:tcPr>
            <w:tcW w:w="3744" w:type="dxa"/>
            <w:shd w:val="clear" w:color="auto" w:fill="FFFFFF"/>
            <w:tcMar>
              <w:top w:w="100" w:type="dxa"/>
              <w:left w:w="160" w:type="dxa"/>
              <w:bottom w:w="100" w:type="dxa"/>
              <w:right w:w="160" w:type="dxa"/>
            </w:tcMar>
          </w:tcPr>
          <w:p w14:paraId="26573D1A" w14:textId="77777777" w:rsidR="00F540D9" w:rsidRDefault="00E66665">
            <w:pPr>
              <w:spacing w:after="0" w:line="264" w:lineRule="auto"/>
            </w:pPr>
            <w:r>
              <w:rPr>
                <w:rFonts w:ascii="Calibri" w:hAnsi="Calibri"/>
                <w:color w:val="222222"/>
                <w:sz w:val="19"/>
              </w:rPr>
              <w:t>Number of vertical building levels/floors (1.0 to 3.5)</w:t>
            </w:r>
          </w:p>
        </w:tc>
        <w:tc>
          <w:tcPr>
            <w:tcW w:w="2880" w:type="dxa"/>
            <w:shd w:val="clear" w:color="auto" w:fill="FFFFFF"/>
            <w:tcMar>
              <w:top w:w="100" w:type="dxa"/>
              <w:left w:w="160" w:type="dxa"/>
              <w:bottom w:w="100" w:type="dxa"/>
              <w:right w:w="160" w:type="dxa"/>
            </w:tcMar>
          </w:tcPr>
          <w:p w14:paraId="7BCFE283" w14:textId="77777777" w:rsidR="00F540D9" w:rsidRDefault="00E66665">
            <w:pPr>
              <w:spacing w:after="0" w:line="264" w:lineRule="auto"/>
            </w:pPr>
            <w:r>
              <w:rPr>
                <w:rFonts w:ascii="Calibri" w:hAnsi="Calibri"/>
                <w:color w:val="222222"/>
                <w:sz w:val="19"/>
              </w:rPr>
              <w:t>Numerical Feature; modeled directly</w:t>
            </w:r>
          </w:p>
        </w:tc>
      </w:tr>
      <w:tr w:rsidR="00F540D9" w14:paraId="0E78630E" w14:textId="77777777">
        <w:trPr>
          <w:jc w:val="center"/>
        </w:trPr>
        <w:tc>
          <w:tcPr>
            <w:tcW w:w="1584" w:type="dxa"/>
            <w:shd w:val="clear" w:color="auto" w:fill="F4F7FA"/>
            <w:tcMar>
              <w:top w:w="100" w:type="dxa"/>
              <w:left w:w="160" w:type="dxa"/>
              <w:bottom w:w="100" w:type="dxa"/>
              <w:right w:w="160" w:type="dxa"/>
            </w:tcMar>
          </w:tcPr>
          <w:p w14:paraId="1AD8F9B0" w14:textId="77777777" w:rsidR="00F540D9" w:rsidRDefault="00E66665">
            <w:pPr>
              <w:spacing w:after="0" w:line="264" w:lineRule="auto"/>
            </w:pPr>
            <w:r>
              <w:rPr>
                <w:rFonts w:ascii="Calibri" w:hAnsi="Calibri"/>
                <w:color w:val="222222"/>
                <w:sz w:val="19"/>
              </w:rPr>
              <w:t>waterfront</w:t>
            </w:r>
          </w:p>
        </w:tc>
        <w:tc>
          <w:tcPr>
            <w:tcW w:w="1152" w:type="dxa"/>
            <w:shd w:val="clear" w:color="auto" w:fill="F4F7FA"/>
            <w:tcMar>
              <w:top w:w="100" w:type="dxa"/>
              <w:left w:w="160" w:type="dxa"/>
              <w:bottom w:w="100" w:type="dxa"/>
              <w:right w:w="160" w:type="dxa"/>
            </w:tcMar>
          </w:tcPr>
          <w:p w14:paraId="10EF8D5D" w14:textId="77777777" w:rsidR="00F540D9" w:rsidRDefault="00E66665">
            <w:pPr>
              <w:spacing w:after="0" w:line="264" w:lineRule="auto"/>
            </w:pPr>
            <w:r>
              <w:rPr>
                <w:rFonts w:ascii="Calibri" w:hAnsi="Calibri"/>
                <w:color w:val="222222"/>
                <w:sz w:val="19"/>
              </w:rPr>
              <w:t>int64</w:t>
            </w:r>
          </w:p>
        </w:tc>
        <w:tc>
          <w:tcPr>
            <w:tcW w:w="3744" w:type="dxa"/>
            <w:shd w:val="clear" w:color="auto" w:fill="F4F7FA"/>
            <w:tcMar>
              <w:top w:w="100" w:type="dxa"/>
              <w:left w:w="160" w:type="dxa"/>
              <w:bottom w:w="100" w:type="dxa"/>
              <w:right w:w="160" w:type="dxa"/>
            </w:tcMar>
          </w:tcPr>
          <w:p w14:paraId="510ED3A5" w14:textId="77777777" w:rsidR="00F540D9" w:rsidRDefault="00E66665">
            <w:pPr>
              <w:spacing w:after="0" w:line="264" w:lineRule="auto"/>
            </w:pPr>
            <w:r>
              <w:rPr>
                <w:rFonts w:ascii="Calibri" w:hAnsi="Calibri"/>
                <w:color w:val="222222"/>
                <w:sz w:val="19"/>
              </w:rPr>
              <w:t>Binary waterfront proximity indicator (1 = Waterfront, 0 = Inland)</w:t>
            </w:r>
          </w:p>
        </w:tc>
        <w:tc>
          <w:tcPr>
            <w:tcW w:w="2880" w:type="dxa"/>
            <w:shd w:val="clear" w:color="auto" w:fill="F4F7FA"/>
            <w:tcMar>
              <w:top w:w="100" w:type="dxa"/>
              <w:left w:w="160" w:type="dxa"/>
              <w:bottom w:w="100" w:type="dxa"/>
              <w:right w:w="160" w:type="dxa"/>
            </w:tcMar>
          </w:tcPr>
          <w:p w14:paraId="40DA36E2" w14:textId="77777777" w:rsidR="00F540D9" w:rsidRDefault="00E66665">
            <w:pPr>
              <w:spacing w:after="0" w:line="264" w:lineRule="auto"/>
            </w:pPr>
            <w:r>
              <w:rPr>
                <w:rFonts w:ascii="Calibri" w:hAnsi="Calibri"/>
                <w:color w:val="222222"/>
                <w:sz w:val="19"/>
              </w:rPr>
              <w:t>Binary Categorical Feature; modeled directly</w:t>
            </w:r>
          </w:p>
        </w:tc>
      </w:tr>
      <w:tr w:rsidR="00F540D9" w14:paraId="3A963DBF" w14:textId="77777777">
        <w:trPr>
          <w:jc w:val="center"/>
        </w:trPr>
        <w:tc>
          <w:tcPr>
            <w:tcW w:w="1584" w:type="dxa"/>
            <w:shd w:val="clear" w:color="auto" w:fill="FFFFFF"/>
            <w:tcMar>
              <w:top w:w="100" w:type="dxa"/>
              <w:left w:w="160" w:type="dxa"/>
              <w:bottom w:w="100" w:type="dxa"/>
              <w:right w:w="160" w:type="dxa"/>
            </w:tcMar>
          </w:tcPr>
          <w:p w14:paraId="3B7CD997" w14:textId="77777777" w:rsidR="00F540D9" w:rsidRDefault="00E66665">
            <w:pPr>
              <w:spacing w:after="0" w:line="264" w:lineRule="auto"/>
            </w:pPr>
            <w:r>
              <w:rPr>
                <w:rFonts w:ascii="Calibri" w:hAnsi="Calibri"/>
                <w:color w:val="222222"/>
                <w:sz w:val="19"/>
              </w:rPr>
              <w:t>view</w:t>
            </w:r>
          </w:p>
        </w:tc>
        <w:tc>
          <w:tcPr>
            <w:tcW w:w="1152" w:type="dxa"/>
            <w:shd w:val="clear" w:color="auto" w:fill="FFFFFF"/>
            <w:tcMar>
              <w:top w:w="100" w:type="dxa"/>
              <w:left w:w="160" w:type="dxa"/>
              <w:bottom w:w="100" w:type="dxa"/>
              <w:right w:w="160" w:type="dxa"/>
            </w:tcMar>
          </w:tcPr>
          <w:p w14:paraId="3FB456F6" w14:textId="77777777" w:rsidR="00F540D9" w:rsidRDefault="00E66665">
            <w:pPr>
              <w:spacing w:after="0" w:line="264" w:lineRule="auto"/>
            </w:pPr>
            <w:r>
              <w:rPr>
                <w:rFonts w:ascii="Calibri" w:hAnsi="Calibri"/>
                <w:color w:val="222222"/>
                <w:sz w:val="19"/>
              </w:rPr>
              <w:t>int64</w:t>
            </w:r>
          </w:p>
        </w:tc>
        <w:tc>
          <w:tcPr>
            <w:tcW w:w="3744" w:type="dxa"/>
            <w:shd w:val="clear" w:color="auto" w:fill="FFFFFF"/>
            <w:tcMar>
              <w:top w:w="100" w:type="dxa"/>
              <w:left w:w="160" w:type="dxa"/>
              <w:bottom w:w="100" w:type="dxa"/>
              <w:right w:w="160" w:type="dxa"/>
            </w:tcMar>
          </w:tcPr>
          <w:p w14:paraId="047904CC" w14:textId="77777777" w:rsidR="00F540D9" w:rsidRDefault="00E66665">
            <w:pPr>
              <w:spacing w:after="0" w:line="264" w:lineRule="auto"/>
            </w:pPr>
            <w:r>
              <w:rPr>
                <w:rFonts w:ascii="Calibri" w:hAnsi="Calibri"/>
                <w:color w:val="222222"/>
                <w:sz w:val="19"/>
              </w:rPr>
              <w:t>Visual outlook aesthetic rating scale (0 = None to 4 = Outstanding)</w:t>
            </w:r>
          </w:p>
        </w:tc>
        <w:tc>
          <w:tcPr>
            <w:tcW w:w="2880" w:type="dxa"/>
            <w:shd w:val="clear" w:color="auto" w:fill="FFFFFF"/>
            <w:tcMar>
              <w:top w:w="100" w:type="dxa"/>
              <w:left w:w="160" w:type="dxa"/>
              <w:bottom w:w="100" w:type="dxa"/>
              <w:right w:w="160" w:type="dxa"/>
            </w:tcMar>
          </w:tcPr>
          <w:p w14:paraId="31B9A907" w14:textId="77777777" w:rsidR="00F540D9" w:rsidRDefault="00E66665">
            <w:pPr>
              <w:spacing w:after="0" w:line="264" w:lineRule="auto"/>
            </w:pPr>
            <w:r>
              <w:rPr>
                <w:rFonts w:ascii="Calibri" w:hAnsi="Calibri"/>
                <w:color w:val="222222"/>
                <w:sz w:val="19"/>
              </w:rPr>
              <w:t>Ordinal Numerical Feature; modeled directly</w:t>
            </w:r>
          </w:p>
        </w:tc>
      </w:tr>
      <w:tr w:rsidR="00F540D9" w14:paraId="1FC425C3" w14:textId="77777777">
        <w:trPr>
          <w:jc w:val="center"/>
        </w:trPr>
        <w:tc>
          <w:tcPr>
            <w:tcW w:w="1584" w:type="dxa"/>
            <w:shd w:val="clear" w:color="auto" w:fill="F4F7FA"/>
            <w:tcMar>
              <w:top w:w="100" w:type="dxa"/>
              <w:left w:w="160" w:type="dxa"/>
              <w:bottom w:w="100" w:type="dxa"/>
              <w:right w:w="160" w:type="dxa"/>
            </w:tcMar>
          </w:tcPr>
          <w:p w14:paraId="30CB97D0" w14:textId="77777777" w:rsidR="00F540D9" w:rsidRDefault="00E66665">
            <w:pPr>
              <w:spacing w:after="0" w:line="264" w:lineRule="auto"/>
            </w:pPr>
            <w:r>
              <w:rPr>
                <w:rFonts w:ascii="Calibri" w:hAnsi="Calibri"/>
                <w:color w:val="222222"/>
                <w:sz w:val="19"/>
              </w:rPr>
              <w:t>condition</w:t>
            </w:r>
          </w:p>
        </w:tc>
        <w:tc>
          <w:tcPr>
            <w:tcW w:w="1152" w:type="dxa"/>
            <w:shd w:val="clear" w:color="auto" w:fill="F4F7FA"/>
            <w:tcMar>
              <w:top w:w="100" w:type="dxa"/>
              <w:left w:w="160" w:type="dxa"/>
              <w:bottom w:w="100" w:type="dxa"/>
              <w:right w:w="160" w:type="dxa"/>
            </w:tcMar>
          </w:tcPr>
          <w:p w14:paraId="0D8BCEB9" w14:textId="77777777" w:rsidR="00F540D9" w:rsidRDefault="00E66665">
            <w:pPr>
              <w:spacing w:after="0" w:line="264" w:lineRule="auto"/>
            </w:pPr>
            <w:r>
              <w:rPr>
                <w:rFonts w:ascii="Calibri" w:hAnsi="Calibri"/>
                <w:color w:val="222222"/>
                <w:sz w:val="19"/>
              </w:rPr>
              <w:t>int64</w:t>
            </w:r>
          </w:p>
        </w:tc>
        <w:tc>
          <w:tcPr>
            <w:tcW w:w="3744" w:type="dxa"/>
            <w:shd w:val="clear" w:color="auto" w:fill="F4F7FA"/>
            <w:tcMar>
              <w:top w:w="100" w:type="dxa"/>
              <w:left w:w="160" w:type="dxa"/>
              <w:bottom w:w="100" w:type="dxa"/>
              <w:right w:w="160" w:type="dxa"/>
            </w:tcMar>
          </w:tcPr>
          <w:p w14:paraId="47863F9C" w14:textId="77777777" w:rsidR="00F540D9" w:rsidRDefault="00E66665">
            <w:pPr>
              <w:spacing w:after="0" w:line="264" w:lineRule="auto"/>
            </w:pPr>
            <w:r>
              <w:rPr>
                <w:rFonts w:ascii="Calibri" w:hAnsi="Calibri"/>
                <w:color w:val="222222"/>
                <w:sz w:val="19"/>
              </w:rPr>
              <w:t>Overall physical maintenance rating scale (1 = Poor to 5 = Excellent)</w:t>
            </w:r>
          </w:p>
        </w:tc>
        <w:tc>
          <w:tcPr>
            <w:tcW w:w="2880" w:type="dxa"/>
            <w:shd w:val="clear" w:color="auto" w:fill="F4F7FA"/>
            <w:tcMar>
              <w:top w:w="100" w:type="dxa"/>
              <w:left w:w="160" w:type="dxa"/>
              <w:bottom w:w="100" w:type="dxa"/>
              <w:right w:w="160" w:type="dxa"/>
            </w:tcMar>
          </w:tcPr>
          <w:p w14:paraId="04432A8D" w14:textId="77777777" w:rsidR="00F540D9" w:rsidRDefault="00E66665">
            <w:pPr>
              <w:spacing w:after="0" w:line="264" w:lineRule="auto"/>
            </w:pPr>
            <w:r>
              <w:rPr>
                <w:rFonts w:ascii="Calibri" w:hAnsi="Calibri"/>
                <w:color w:val="222222"/>
                <w:sz w:val="19"/>
              </w:rPr>
              <w:t>Ordinal Numerical Feature; modeled directly</w:t>
            </w:r>
          </w:p>
        </w:tc>
      </w:tr>
      <w:tr w:rsidR="00F540D9" w14:paraId="7F84F4E9" w14:textId="77777777">
        <w:trPr>
          <w:jc w:val="center"/>
        </w:trPr>
        <w:tc>
          <w:tcPr>
            <w:tcW w:w="1584" w:type="dxa"/>
            <w:shd w:val="clear" w:color="auto" w:fill="FFFFFF"/>
            <w:tcMar>
              <w:top w:w="100" w:type="dxa"/>
              <w:left w:w="160" w:type="dxa"/>
              <w:bottom w:w="100" w:type="dxa"/>
              <w:right w:w="160" w:type="dxa"/>
            </w:tcMar>
          </w:tcPr>
          <w:p w14:paraId="42E968B4" w14:textId="77777777" w:rsidR="00F540D9" w:rsidRDefault="00E66665">
            <w:pPr>
              <w:spacing w:after="0" w:line="264" w:lineRule="auto"/>
            </w:pPr>
            <w:r>
              <w:rPr>
                <w:rFonts w:ascii="Calibri" w:hAnsi="Calibri"/>
                <w:color w:val="222222"/>
                <w:sz w:val="19"/>
              </w:rPr>
              <w:t>sqft_above</w:t>
            </w:r>
          </w:p>
        </w:tc>
        <w:tc>
          <w:tcPr>
            <w:tcW w:w="1152" w:type="dxa"/>
            <w:shd w:val="clear" w:color="auto" w:fill="FFFFFF"/>
            <w:tcMar>
              <w:top w:w="100" w:type="dxa"/>
              <w:left w:w="160" w:type="dxa"/>
              <w:bottom w:w="100" w:type="dxa"/>
              <w:right w:w="160" w:type="dxa"/>
            </w:tcMar>
          </w:tcPr>
          <w:p w14:paraId="0F62AA72" w14:textId="77777777" w:rsidR="00F540D9" w:rsidRDefault="00E66665">
            <w:pPr>
              <w:spacing w:after="0" w:line="264" w:lineRule="auto"/>
            </w:pPr>
            <w:r>
              <w:rPr>
                <w:rFonts w:ascii="Calibri" w:hAnsi="Calibri"/>
                <w:color w:val="222222"/>
                <w:sz w:val="19"/>
              </w:rPr>
              <w:t>int64</w:t>
            </w:r>
          </w:p>
        </w:tc>
        <w:tc>
          <w:tcPr>
            <w:tcW w:w="3744" w:type="dxa"/>
            <w:shd w:val="clear" w:color="auto" w:fill="FFFFFF"/>
            <w:tcMar>
              <w:top w:w="100" w:type="dxa"/>
              <w:left w:w="160" w:type="dxa"/>
              <w:bottom w:w="100" w:type="dxa"/>
              <w:right w:w="160" w:type="dxa"/>
            </w:tcMar>
          </w:tcPr>
          <w:p w14:paraId="57317DDA" w14:textId="77777777" w:rsidR="00F540D9" w:rsidRDefault="00E66665">
            <w:pPr>
              <w:spacing w:after="0" w:line="264" w:lineRule="auto"/>
            </w:pPr>
            <w:r>
              <w:rPr>
                <w:rFonts w:ascii="Calibri" w:hAnsi="Calibri"/>
                <w:color w:val="222222"/>
                <w:sz w:val="19"/>
              </w:rPr>
              <w:t>Interior space above ground grade level in square feet</w:t>
            </w:r>
          </w:p>
        </w:tc>
        <w:tc>
          <w:tcPr>
            <w:tcW w:w="2880" w:type="dxa"/>
            <w:shd w:val="clear" w:color="auto" w:fill="FFFFFF"/>
            <w:tcMar>
              <w:top w:w="100" w:type="dxa"/>
              <w:left w:w="160" w:type="dxa"/>
              <w:bottom w:w="100" w:type="dxa"/>
              <w:right w:w="160" w:type="dxa"/>
            </w:tcMar>
          </w:tcPr>
          <w:p w14:paraId="20B5F501" w14:textId="77777777" w:rsidR="00F540D9" w:rsidRDefault="00E66665">
            <w:pPr>
              <w:spacing w:after="0" w:line="264" w:lineRule="auto"/>
            </w:pPr>
            <w:r>
              <w:rPr>
                <w:rFonts w:ascii="Calibri" w:hAnsi="Calibri"/>
                <w:color w:val="222222"/>
                <w:sz w:val="19"/>
              </w:rPr>
              <w:t>Numerical Feature; modeled directly</w:t>
            </w:r>
          </w:p>
        </w:tc>
      </w:tr>
      <w:tr w:rsidR="00F540D9" w14:paraId="42D3C5A3" w14:textId="77777777">
        <w:trPr>
          <w:jc w:val="center"/>
        </w:trPr>
        <w:tc>
          <w:tcPr>
            <w:tcW w:w="1584" w:type="dxa"/>
            <w:shd w:val="clear" w:color="auto" w:fill="F4F7FA"/>
            <w:tcMar>
              <w:top w:w="100" w:type="dxa"/>
              <w:left w:w="160" w:type="dxa"/>
              <w:bottom w:w="100" w:type="dxa"/>
              <w:right w:w="160" w:type="dxa"/>
            </w:tcMar>
          </w:tcPr>
          <w:p w14:paraId="2AB48EC6" w14:textId="77777777" w:rsidR="00F540D9" w:rsidRDefault="00E66665">
            <w:pPr>
              <w:spacing w:after="0" w:line="264" w:lineRule="auto"/>
            </w:pPr>
            <w:r>
              <w:rPr>
                <w:rFonts w:ascii="Calibri" w:hAnsi="Calibri"/>
                <w:color w:val="222222"/>
                <w:sz w:val="19"/>
              </w:rPr>
              <w:t>sqft_basement</w:t>
            </w:r>
          </w:p>
        </w:tc>
        <w:tc>
          <w:tcPr>
            <w:tcW w:w="1152" w:type="dxa"/>
            <w:shd w:val="clear" w:color="auto" w:fill="F4F7FA"/>
            <w:tcMar>
              <w:top w:w="100" w:type="dxa"/>
              <w:left w:w="160" w:type="dxa"/>
              <w:bottom w:w="100" w:type="dxa"/>
              <w:right w:w="160" w:type="dxa"/>
            </w:tcMar>
          </w:tcPr>
          <w:p w14:paraId="6BD60CC8" w14:textId="77777777" w:rsidR="00F540D9" w:rsidRDefault="00E66665">
            <w:pPr>
              <w:spacing w:after="0" w:line="264" w:lineRule="auto"/>
            </w:pPr>
            <w:r>
              <w:rPr>
                <w:rFonts w:ascii="Calibri" w:hAnsi="Calibri"/>
                <w:color w:val="222222"/>
                <w:sz w:val="19"/>
              </w:rPr>
              <w:t>int64</w:t>
            </w:r>
          </w:p>
        </w:tc>
        <w:tc>
          <w:tcPr>
            <w:tcW w:w="3744" w:type="dxa"/>
            <w:shd w:val="clear" w:color="auto" w:fill="F4F7FA"/>
            <w:tcMar>
              <w:top w:w="100" w:type="dxa"/>
              <w:left w:w="160" w:type="dxa"/>
              <w:bottom w:w="100" w:type="dxa"/>
              <w:right w:w="160" w:type="dxa"/>
            </w:tcMar>
          </w:tcPr>
          <w:p w14:paraId="0DB5401B" w14:textId="77777777" w:rsidR="00F540D9" w:rsidRDefault="00E66665">
            <w:pPr>
              <w:spacing w:after="0" w:line="264" w:lineRule="auto"/>
            </w:pPr>
            <w:r>
              <w:rPr>
                <w:rFonts w:ascii="Calibri" w:hAnsi="Calibri"/>
                <w:color w:val="222222"/>
                <w:sz w:val="19"/>
              </w:rPr>
              <w:t>Interior space below ground grade level in square feet</w:t>
            </w:r>
          </w:p>
        </w:tc>
        <w:tc>
          <w:tcPr>
            <w:tcW w:w="2880" w:type="dxa"/>
            <w:shd w:val="clear" w:color="auto" w:fill="F4F7FA"/>
            <w:tcMar>
              <w:top w:w="100" w:type="dxa"/>
              <w:left w:w="160" w:type="dxa"/>
              <w:bottom w:w="100" w:type="dxa"/>
              <w:right w:w="160" w:type="dxa"/>
            </w:tcMar>
          </w:tcPr>
          <w:p w14:paraId="7D691190" w14:textId="77777777" w:rsidR="00F540D9" w:rsidRDefault="00E66665">
            <w:pPr>
              <w:spacing w:after="0" w:line="264" w:lineRule="auto"/>
            </w:pPr>
            <w:r>
              <w:rPr>
                <w:rFonts w:ascii="Calibri" w:hAnsi="Calibri"/>
                <w:color w:val="222222"/>
                <w:sz w:val="19"/>
              </w:rPr>
              <w:t>Numerical Feature; used to engineer has_basement</w:t>
            </w:r>
          </w:p>
        </w:tc>
      </w:tr>
      <w:tr w:rsidR="00F540D9" w14:paraId="64751ACC" w14:textId="77777777">
        <w:trPr>
          <w:jc w:val="center"/>
        </w:trPr>
        <w:tc>
          <w:tcPr>
            <w:tcW w:w="1584" w:type="dxa"/>
            <w:shd w:val="clear" w:color="auto" w:fill="FFFFFF"/>
            <w:tcMar>
              <w:top w:w="100" w:type="dxa"/>
              <w:left w:w="160" w:type="dxa"/>
              <w:bottom w:w="100" w:type="dxa"/>
              <w:right w:w="160" w:type="dxa"/>
            </w:tcMar>
          </w:tcPr>
          <w:p w14:paraId="5151CFA9" w14:textId="77777777" w:rsidR="00F540D9" w:rsidRDefault="00E66665">
            <w:pPr>
              <w:spacing w:after="0" w:line="264" w:lineRule="auto"/>
            </w:pPr>
            <w:r>
              <w:rPr>
                <w:rFonts w:ascii="Calibri" w:hAnsi="Calibri"/>
                <w:color w:val="222222"/>
                <w:sz w:val="19"/>
              </w:rPr>
              <w:t>yr_built</w:t>
            </w:r>
          </w:p>
        </w:tc>
        <w:tc>
          <w:tcPr>
            <w:tcW w:w="1152" w:type="dxa"/>
            <w:shd w:val="clear" w:color="auto" w:fill="FFFFFF"/>
            <w:tcMar>
              <w:top w:w="100" w:type="dxa"/>
              <w:left w:w="160" w:type="dxa"/>
              <w:bottom w:w="100" w:type="dxa"/>
              <w:right w:w="160" w:type="dxa"/>
            </w:tcMar>
          </w:tcPr>
          <w:p w14:paraId="4A98713E" w14:textId="77777777" w:rsidR="00F540D9" w:rsidRDefault="00E66665">
            <w:pPr>
              <w:spacing w:after="0" w:line="264" w:lineRule="auto"/>
            </w:pPr>
            <w:r>
              <w:rPr>
                <w:rFonts w:ascii="Calibri" w:hAnsi="Calibri"/>
                <w:color w:val="222222"/>
                <w:sz w:val="19"/>
              </w:rPr>
              <w:t>int64</w:t>
            </w:r>
          </w:p>
        </w:tc>
        <w:tc>
          <w:tcPr>
            <w:tcW w:w="3744" w:type="dxa"/>
            <w:shd w:val="clear" w:color="auto" w:fill="FFFFFF"/>
            <w:tcMar>
              <w:top w:w="100" w:type="dxa"/>
              <w:left w:w="160" w:type="dxa"/>
              <w:bottom w:w="100" w:type="dxa"/>
              <w:right w:w="160" w:type="dxa"/>
            </w:tcMar>
          </w:tcPr>
          <w:p w14:paraId="553D321C" w14:textId="77777777" w:rsidR="00F540D9" w:rsidRDefault="00E66665">
            <w:pPr>
              <w:spacing w:after="0" w:line="264" w:lineRule="auto"/>
            </w:pPr>
            <w:r>
              <w:rPr>
                <w:rFonts w:ascii="Calibri" w:hAnsi="Calibri"/>
                <w:color w:val="222222"/>
                <w:sz w:val="19"/>
              </w:rPr>
              <w:t>Original construction completion year (1900 to 2014)</w:t>
            </w:r>
          </w:p>
        </w:tc>
        <w:tc>
          <w:tcPr>
            <w:tcW w:w="2880" w:type="dxa"/>
            <w:shd w:val="clear" w:color="auto" w:fill="FFFFFF"/>
            <w:tcMar>
              <w:top w:w="100" w:type="dxa"/>
              <w:left w:w="160" w:type="dxa"/>
              <w:bottom w:w="100" w:type="dxa"/>
              <w:right w:w="160" w:type="dxa"/>
            </w:tcMar>
          </w:tcPr>
          <w:p w14:paraId="27B84D2A" w14:textId="77777777" w:rsidR="00F540D9" w:rsidRDefault="00E66665">
            <w:pPr>
              <w:spacing w:after="0" w:line="264" w:lineRule="auto"/>
            </w:pPr>
            <w:r>
              <w:rPr>
                <w:rFonts w:ascii="Calibri" w:hAnsi="Calibri"/>
                <w:color w:val="222222"/>
                <w:sz w:val="19"/>
              </w:rPr>
              <w:t>Numerical Feature; used to engineer house_age</w:t>
            </w:r>
          </w:p>
        </w:tc>
      </w:tr>
      <w:tr w:rsidR="00F540D9" w14:paraId="2A941828" w14:textId="77777777">
        <w:trPr>
          <w:jc w:val="center"/>
        </w:trPr>
        <w:tc>
          <w:tcPr>
            <w:tcW w:w="1584" w:type="dxa"/>
            <w:shd w:val="clear" w:color="auto" w:fill="F4F7FA"/>
            <w:tcMar>
              <w:top w:w="100" w:type="dxa"/>
              <w:left w:w="160" w:type="dxa"/>
              <w:bottom w:w="100" w:type="dxa"/>
              <w:right w:w="160" w:type="dxa"/>
            </w:tcMar>
          </w:tcPr>
          <w:p w14:paraId="7B91FC71" w14:textId="77777777" w:rsidR="00F540D9" w:rsidRDefault="00E66665">
            <w:pPr>
              <w:spacing w:after="0" w:line="264" w:lineRule="auto"/>
            </w:pPr>
            <w:r>
              <w:rPr>
                <w:rFonts w:ascii="Calibri" w:hAnsi="Calibri"/>
                <w:color w:val="222222"/>
                <w:sz w:val="19"/>
              </w:rPr>
              <w:t>yr_renovated</w:t>
            </w:r>
          </w:p>
        </w:tc>
        <w:tc>
          <w:tcPr>
            <w:tcW w:w="1152" w:type="dxa"/>
            <w:shd w:val="clear" w:color="auto" w:fill="F4F7FA"/>
            <w:tcMar>
              <w:top w:w="100" w:type="dxa"/>
              <w:left w:w="160" w:type="dxa"/>
              <w:bottom w:w="100" w:type="dxa"/>
              <w:right w:w="160" w:type="dxa"/>
            </w:tcMar>
          </w:tcPr>
          <w:p w14:paraId="2A8E7051" w14:textId="77777777" w:rsidR="00F540D9" w:rsidRDefault="00E66665">
            <w:pPr>
              <w:spacing w:after="0" w:line="264" w:lineRule="auto"/>
            </w:pPr>
            <w:r>
              <w:rPr>
                <w:rFonts w:ascii="Calibri" w:hAnsi="Calibri"/>
                <w:color w:val="222222"/>
                <w:sz w:val="19"/>
              </w:rPr>
              <w:t>int64</w:t>
            </w:r>
          </w:p>
        </w:tc>
        <w:tc>
          <w:tcPr>
            <w:tcW w:w="3744" w:type="dxa"/>
            <w:shd w:val="clear" w:color="auto" w:fill="F4F7FA"/>
            <w:tcMar>
              <w:top w:w="100" w:type="dxa"/>
              <w:left w:w="160" w:type="dxa"/>
              <w:bottom w:w="100" w:type="dxa"/>
              <w:right w:w="160" w:type="dxa"/>
            </w:tcMar>
          </w:tcPr>
          <w:p w14:paraId="3577913E" w14:textId="77777777" w:rsidR="00F540D9" w:rsidRDefault="00E66665">
            <w:pPr>
              <w:spacing w:after="0" w:line="264" w:lineRule="auto"/>
            </w:pPr>
            <w:r>
              <w:rPr>
                <w:rFonts w:ascii="Calibri" w:hAnsi="Calibri"/>
                <w:color w:val="222222"/>
                <w:sz w:val="19"/>
              </w:rPr>
              <w:t>Year of most recent renovation (0 indicates never renovated)</w:t>
            </w:r>
          </w:p>
        </w:tc>
        <w:tc>
          <w:tcPr>
            <w:tcW w:w="2880" w:type="dxa"/>
            <w:shd w:val="clear" w:color="auto" w:fill="F4F7FA"/>
            <w:tcMar>
              <w:top w:w="100" w:type="dxa"/>
              <w:left w:w="160" w:type="dxa"/>
              <w:bottom w:w="100" w:type="dxa"/>
              <w:right w:w="160" w:type="dxa"/>
            </w:tcMar>
          </w:tcPr>
          <w:p w14:paraId="470BCBBE" w14:textId="77777777" w:rsidR="00F540D9" w:rsidRDefault="00E66665">
            <w:pPr>
              <w:spacing w:after="0" w:line="264" w:lineRule="auto"/>
            </w:pPr>
            <w:r>
              <w:rPr>
                <w:rFonts w:ascii="Calibri" w:hAnsi="Calibri"/>
                <w:color w:val="222222"/>
                <w:sz w:val="19"/>
              </w:rPr>
              <w:t>Numerical Feature; used for was_renovated and renovation_age</w:t>
            </w:r>
          </w:p>
        </w:tc>
      </w:tr>
      <w:tr w:rsidR="00F540D9" w14:paraId="0852BEC0" w14:textId="77777777">
        <w:trPr>
          <w:jc w:val="center"/>
        </w:trPr>
        <w:tc>
          <w:tcPr>
            <w:tcW w:w="1584" w:type="dxa"/>
            <w:shd w:val="clear" w:color="auto" w:fill="FFFFFF"/>
            <w:tcMar>
              <w:top w:w="100" w:type="dxa"/>
              <w:left w:w="160" w:type="dxa"/>
              <w:bottom w:w="100" w:type="dxa"/>
              <w:right w:w="160" w:type="dxa"/>
            </w:tcMar>
          </w:tcPr>
          <w:p w14:paraId="0E6F9219" w14:textId="77777777" w:rsidR="00F540D9" w:rsidRDefault="00E66665">
            <w:pPr>
              <w:spacing w:after="0" w:line="264" w:lineRule="auto"/>
            </w:pPr>
            <w:r>
              <w:rPr>
                <w:rFonts w:ascii="Calibri" w:hAnsi="Calibri"/>
                <w:color w:val="222222"/>
                <w:sz w:val="19"/>
              </w:rPr>
              <w:t>street</w:t>
            </w:r>
          </w:p>
        </w:tc>
        <w:tc>
          <w:tcPr>
            <w:tcW w:w="1152" w:type="dxa"/>
            <w:shd w:val="clear" w:color="auto" w:fill="FFFFFF"/>
            <w:tcMar>
              <w:top w:w="100" w:type="dxa"/>
              <w:left w:w="160" w:type="dxa"/>
              <w:bottom w:w="100" w:type="dxa"/>
              <w:right w:w="160" w:type="dxa"/>
            </w:tcMar>
          </w:tcPr>
          <w:p w14:paraId="69447B35" w14:textId="77777777" w:rsidR="00F540D9" w:rsidRDefault="00E66665">
            <w:pPr>
              <w:spacing w:after="0" w:line="264" w:lineRule="auto"/>
            </w:pPr>
            <w:r>
              <w:rPr>
                <w:rFonts w:ascii="Calibri" w:hAnsi="Calibri"/>
                <w:color w:val="222222"/>
                <w:sz w:val="19"/>
              </w:rPr>
              <w:t>object</w:t>
            </w:r>
          </w:p>
        </w:tc>
        <w:tc>
          <w:tcPr>
            <w:tcW w:w="3744" w:type="dxa"/>
            <w:shd w:val="clear" w:color="auto" w:fill="FFFFFF"/>
            <w:tcMar>
              <w:top w:w="100" w:type="dxa"/>
              <w:left w:w="160" w:type="dxa"/>
              <w:bottom w:w="100" w:type="dxa"/>
              <w:right w:w="160" w:type="dxa"/>
            </w:tcMar>
          </w:tcPr>
          <w:p w14:paraId="03378DF4" w14:textId="77777777" w:rsidR="00F540D9" w:rsidRDefault="00E66665">
            <w:pPr>
              <w:spacing w:after="0" w:line="264" w:lineRule="auto"/>
            </w:pPr>
            <w:r>
              <w:rPr>
                <w:rFonts w:ascii="Calibri" w:hAnsi="Calibri"/>
                <w:color w:val="222222"/>
                <w:sz w:val="19"/>
              </w:rPr>
              <w:t>Specific postal street address (4,525 unique text values)</w:t>
            </w:r>
          </w:p>
        </w:tc>
        <w:tc>
          <w:tcPr>
            <w:tcW w:w="2880" w:type="dxa"/>
            <w:shd w:val="clear" w:color="auto" w:fill="FFFFFF"/>
            <w:tcMar>
              <w:top w:w="100" w:type="dxa"/>
              <w:left w:w="160" w:type="dxa"/>
              <w:bottom w:w="100" w:type="dxa"/>
              <w:right w:w="160" w:type="dxa"/>
            </w:tcMar>
          </w:tcPr>
          <w:p w14:paraId="054D7A20" w14:textId="77777777" w:rsidR="00F540D9" w:rsidRDefault="00E66665">
            <w:pPr>
              <w:spacing w:after="0" w:line="264" w:lineRule="auto"/>
            </w:pPr>
            <w:r>
              <w:rPr>
                <w:rFonts w:ascii="Calibri" w:hAnsi="Calibri"/>
                <w:color w:val="222222"/>
                <w:sz w:val="19"/>
              </w:rPr>
              <w:t>Dropped; extreme cardinality causes severe overfitting</w:t>
            </w:r>
          </w:p>
        </w:tc>
      </w:tr>
      <w:tr w:rsidR="00F540D9" w14:paraId="733BA998" w14:textId="77777777">
        <w:trPr>
          <w:jc w:val="center"/>
        </w:trPr>
        <w:tc>
          <w:tcPr>
            <w:tcW w:w="1584" w:type="dxa"/>
            <w:shd w:val="clear" w:color="auto" w:fill="F4F7FA"/>
            <w:tcMar>
              <w:top w:w="100" w:type="dxa"/>
              <w:left w:w="160" w:type="dxa"/>
              <w:bottom w:w="100" w:type="dxa"/>
              <w:right w:w="160" w:type="dxa"/>
            </w:tcMar>
          </w:tcPr>
          <w:p w14:paraId="696C7ACB" w14:textId="77777777" w:rsidR="00F540D9" w:rsidRDefault="00E66665">
            <w:pPr>
              <w:spacing w:after="0" w:line="264" w:lineRule="auto"/>
            </w:pPr>
            <w:r>
              <w:rPr>
                <w:rFonts w:ascii="Calibri" w:hAnsi="Calibri"/>
                <w:color w:val="222222"/>
                <w:sz w:val="19"/>
              </w:rPr>
              <w:t>city</w:t>
            </w:r>
          </w:p>
        </w:tc>
        <w:tc>
          <w:tcPr>
            <w:tcW w:w="1152" w:type="dxa"/>
            <w:shd w:val="clear" w:color="auto" w:fill="F4F7FA"/>
            <w:tcMar>
              <w:top w:w="100" w:type="dxa"/>
              <w:left w:w="160" w:type="dxa"/>
              <w:bottom w:w="100" w:type="dxa"/>
              <w:right w:w="160" w:type="dxa"/>
            </w:tcMar>
          </w:tcPr>
          <w:p w14:paraId="01AFB165" w14:textId="77777777" w:rsidR="00F540D9" w:rsidRDefault="00E66665">
            <w:pPr>
              <w:spacing w:after="0" w:line="264" w:lineRule="auto"/>
            </w:pPr>
            <w:r>
              <w:rPr>
                <w:rFonts w:ascii="Calibri" w:hAnsi="Calibri"/>
                <w:color w:val="222222"/>
                <w:sz w:val="19"/>
              </w:rPr>
              <w:t>object</w:t>
            </w:r>
          </w:p>
        </w:tc>
        <w:tc>
          <w:tcPr>
            <w:tcW w:w="3744" w:type="dxa"/>
            <w:shd w:val="clear" w:color="auto" w:fill="F4F7FA"/>
            <w:tcMar>
              <w:top w:w="100" w:type="dxa"/>
              <w:left w:w="160" w:type="dxa"/>
              <w:bottom w:w="100" w:type="dxa"/>
              <w:right w:w="160" w:type="dxa"/>
            </w:tcMar>
          </w:tcPr>
          <w:p w14:paraId="4C350EA3" w14:textId="77777777" w:rsidR="00F540D9" w:rsidRDefault="00E66665">
            <w:pPr>
              <w:spacing w:after="0" w:line="264" w:lineRule="auto"/>
            </w:pPr>
            <w:r>
              <w:rPr>
                <w:rFonts w:ascii="Calibri" w:hAnsi="Calibri"/>
                <w:color w:val="222222"/>
                <w:sz w:val="19"/>
              </w:rPr>
              <w:t>Municipal municipality name (44 unique cities across King County)</w:t>
            </w:r>
          </w:p>
        </w:tc>
        <w:tc>
          <w:tcPr>
            <w:tcW w:w="2880" w:type="dxa"/>
            <w:shd w:val="clear" w:color="auto" w:fill="F4F7FA"/>
            <w:tcMar>
              <w:top w:w="100" w:type="dxa"/>
              <w:left w:w="160" w:type="dxa"/>
              <w:bottom w:w="100" w:type="dxa"/>
              <w:right w:w="160" w:type="dxa"/>
            </w:tcMar>
          </w:tcPr>
          <w:p w14:paraId="2A7F5DBB" w14:textId="77777777" w:rsidR="00F540D9" w:rsidRDefault="00E66665">
            <w:pPr>
              <w:spacing w:after="0" w:line="264" w:lineRule="auto"/>
            </w:pPr>
            <w:r>
              <w:rPr>
                <w:rFonts w:ascii="Calibri" w:hAnsi="Calibri"/>
                <w:color w:val="222222"/>
                <w:sz w:val="19"/>
              </w:rPr>
              <w:t>Transformed via LabelEncoder into city_encoded</w:t>
            </w:r>
          </w:p>
        </w:tc>
      </w:tr>
      <w:tr w:rsidR="00F540D9" w14:paraId="77CDCC7B" w14:textId="77777777">
        <w:trPr>
          <w:jc w:val="center"/>
        </w:trPr>
        <w:tc>
          <w:tcPr>
            <w:tcW w:w="1584" w:type="dxa"/>
            <w:shd w:val="clear" w:color="auto" w:fill="FFFFFF"/>
            <w:tcMar>
              <w:top w:w="100" w:type="dxa"/>
              <w:left w:w="160" w:type="dxa"/>
              <w:bottom w:w="100" w:type="dxa"/>
              <w:right w:w="160" w:type="dxa"/>
            </w:tcMar>
          </w:tcPr>
          <w:p w14:paraId="52E6242E" w14:textId="77777777" w:rsidR="00F540D9" w:rsidRDefault="00E66665">
            <w:pPr>
              <w:spacing w:after="0" w:line="264" w:lineRule="auto"/>
            </w:pPr>
            <w:r>
              <w:rPr>
                <w:rFonts w:ascii="Calibri" w:hAnsi="Calibri"/>
                <w:color w:val="222222"/>
                <w:sz w:val="19"/>
              </w:rPr>
              <w:t>statezip</w:t>
            </w:r>
          </w:p>
        </w:tc>
        <w:tc>
          <w:tcPr>
            <w:tcW w:w="1152" w:type="dxa"/>
            <w:shd w:val="clear" w:color="auto" w:fill="FFFFFF"/>
            <w:tcMar>
              <w:top w:w="100" w:type="dxa"/>
              <w:left w:w="160" w:type="dxa"/>
              <w:bottom w:w="100" w:type="dxa"/>
              <w:right w:w="160" w:type="dxa"/>
            </w:tcMar>
          </w:tcPr>
          <w:p w14:paraId="6206CB35" w14:textId="77777777" w:rsidR="00F540D9" w:rsidRDefault="00E66665">
            <w:pPr>
              <w:spacing w:after="0" w:line="264" w:lineRule="auto"/>
            </w:pPr>
            <w:r>
              <w:rPr>
                <w:rFonts w:ascii="Calibri" w:hAnsi="Calibri"/>
                <w:color w:val="222222"/>
                <w:sz w:val="19"/>
              </w:rPr>
              <w:t>object</w:t>
            </w:r>
          </w:p>
        </w:tc>
        <w:tc>
          <w:tcPr>
            <w:tcW w:w="3744" w:type="dxa"/>
            <w:shd w:val="clear" w:color="auto" w:fill="FFFFFF"/>
            <w:tcMar>
              <w:top w:w="100" w:type="dxa"/>
              <w:left w:w="160" w:type="dxa"/>
              <w:bottom w:w="100" w:type="dxa"/>
              <w:right w:w="160" w:type="dxa"/>
            </w:tcMar>
          </w:tcPr>
          <w:p w14:paraId="39AE8992" w14:textId="77777777" w:rsidR="00F540D9" w:rsidRDefault="00E66665">
            <w:pPr>
              <w:spacing w:after="0" w:line="264" w:lineRule="auto"/>
            </w:pPr>
            <w:r>
              <w:rPr>
                <w:rFonts w:ascii="Calibri" w:hAnsi="Calibri"/>
                <w:color w:val="222222"/>
                <w:sz w:val="19"/>
              </w:rPr>
              <w:t>State abbreviation and postal code string (e.g., 'WA 98133')</w:t>
            </w:r>
          </w:p>
        </w:tc>
        <w:tc>
          <w:tcPr>
            <w:tcW w:w="2880" w:type="dxa"/>
            <w:shd w:val="clear" w:color="auto" w:fill="FFFFFF"/>
            <w:tcMar>
              <w:top w:w="100" w:type="dxa"/>
              <w:left w:w="160" w:type="dxa"/>
              <w:bottom w:w="100" w:type="dxa"/>
              <w:right w:w="160" w:type="dxa"/>
            </w:tcMar>
          </w:tcPr>
          <w:p w14:paraId="77E06D4B" w14:textId="77777777" w:rsidR="00F540D9" w:rsidRDefault="00E66665">
            <w:pPr>
              <w:spacing w:after="0" w:line="264" w:lineRule="auto"/>
            </w:pPr>
            <w:r>
              <w:rPr>
                <w:rFonts w:ascii="Calibri" w:hAnsi="Calibri"/>
                <w:color w:val="222222"/>
                <w:sz w:val="19"/>
              </w:rPr>
              <w:t>Regex parsed r'(\d+)' into numeric zip_code; raw dropped</w:t>
            </w:r>
          </w:p>
        </w:tc>
      </w:tr>
      <w:tr w:rsidR="00F540D9" w14:paraId="58FF2DDA" w14:textId="77777777">
        <w:trPr>
          <w:jc w:val="center"/>
        </w:trPr>
        <w:tc>
          <w:tcPr>
            <w:tcW w:w="1584" w:type="dxa"/>
            <w:shd w:val="clear" w:color="auto" w:fill="F4F7FA"/>
            <w:tcMar>
              <w:top w:w="100" w:type="dxa"/>
              <w:left w:w="160" w:type="dxa"/>
              <w:bottom w:w="100" w:type="dxa"/>
              <w:right w:w="160" w:type="dxa"/>
            </w:tcMar>
          </w:tcPr>
          <w:p w14:paraId="2D2A7CCD" w14:textId="77777777" w:rsidR="00F540D9" w:rsidRDefault="00E66665">
            <w:pPr>
              <w:spacing w:after="0" w:line="264" w:lineRule="auto"/>
            </w:pPr>
            <w:r>
              <w:rPr>
                <w:rFonts w:ascii="Calibri" w:hAnsi="Calibri"/>
                <w:color w:val="222222"/>
                <w:sz w:val="19"/>
              </w:rPr>
              <w:t>country</w:t>
            </w:r>
          </w:p>
        </w:tc>
        <w:tc>
          <w:tcPr>
            <w:tcW w:w="1152" w:type="dxa"/>
            <w:shd w:val="clear" w:color="auto" w:fill="F4F7FA"/>
            <w:tcMar>
              <w:top w:w="100" w:type="dxa"/>
              <w:left w:w="160" w:type="dxa"/>
              <w:bottom w:w="100" w:type="dxa"/>
              <w:right w:w="160" w:type="dxa"/>
            </w:tcMar>
          </w:tcPr>
          <w:p w14:paraId="52029086" w14:textId="77777777" w:rsidR="00F540D9" w:rsidRDefault="00E66665">
            <w:pPr>
              <w:spacing w:after="0" w:line="264" w:lineRule="auto"/>
            </w:pPr>
            <w:r>
              <w:rPr>
                <w:rFonts w:ascii="Calibri" w:hAnsi="Calibri"/>
                <w:color w:val="222222"/>
                <w:sz w:val="19"/>
              </w:rPr>
              <w:t>object</w:t>
            </w:r>
          </w:p>
        </w:tc>
        <w:tc>
          <w:tcPr>
            <w:tcW w:w="3744" w:type="dxa"/>
            <w:shd w:val="clear" w:color="auto" w:fill="F4F7FA"/>
            <w:tcMar>
              <w:top w:w="100" w:type="dxa"/>
              <w:left w:w="160" w:type="dxa"/>
              <w:bottom w:w="100" w:type="dxa"/>
              <w:right w:w="160" w:type="dxa"/>
            </w:tcMar>
          </w:tcPr>
          <w:p w14:paraId="476F4C88" w14:textId="77777777" w:rsidR="00F540D9" w:rsidRDefault="00E66665">
            <w:pPr>
              <w:spacing w:after="0" w:line="264" w:lineRule="auto"/>
            </w:pPr>
            <w:r>
              <w:rPr>
                <w:rFonts w:ascii="Calibri" w:hAnsi="Calibri"/>
                <w:color w:val="222222"/>
                <w:sz w:val="19"/>
              </w:rPr>
              <w:t>Country designation ('USA' across all 4,600 records)</w:t>
            </w:r>
          </w:p>
        </w:tc>
        <w:tc>
          <w:tcPr>
            <w:tcW w:w="2880" w:type="dxa"/>
            <w:shd w:val="clear" w:color="auto" w:fill="F4F7FA"/>
            <w:tcMar>
              <w:top w:w="100" w:type="dxa"/>
              <w:left w:w="160" w:type="dxa"/>
              <w:bottom w:w="100" w:type="dxa"/>
              <w:right w:w="160" w:type="dxa"/>
            </w:tcMar>
          </w:tcPr>
          <w:p w14:paraId="13D7CDCF" w14:textId="77777777" w:rsidR="00F540D9" w:rsidRDefault="00E66665">
            <w:pPr>
              <w:spacing w:after="0" w:line="264" w:lineRule="auto"/>
            </w:pPr>
            <w:r>
              <w:rPr>
                <w:rFonts w:ascii="Calibri" w:hAnsi="Calibri"/>
                <w:color w:val="222222"/>
                <w:sz w:val="19"/>
              </w:rPr>
              <w:t>Dropped; zero variance / constant feature provides zero signal</w:t>
            </w:r>
          </w:p>
        </w:tc>
      </w:tr>
    </w:tbl>
    <w:p w14:paraId="508EF21D" w14:textId="77777777" w:rsidR="00F540D9" w:rsidRDefault="00E66665">
      <w:pPr>
        <w:pStyle w:val="Heading2"/>
        <w:spacing w:before="240" w:after="80"/>
      </w:pPr>
      <w:r>
        <w:rPr>
          <w:rFonts w:ascii="Calibri" w:hAnsi="Calibri"/>
          <w:color w:val="316B9E"/>
          <w:sz w:val="25"/>
        </w:rPr>
        <w:lastRenderedPageBreak/>
        <w:t>5.4 Inherent Dataset Limitations</w:t>
      </w:r>
    </w:p>
    <w:p w14:paraId="16EB2E49" w14:textId="77777777" w:rsidR="00F540D9" w:rsidRDefault="00E66665">
      <w:pPr>
        <w:spacing w:after="80"/>
      </w:pPr>
      <w:r>
        <w:rPr>
          <w:rFonts w:ascii="Calibri" w:hAnsi="Calibri"/>
          <w:color w:val="222222"/>
          <w:sz w:val="21"/>
        </w:rPr>
        <w:t>While extensive, the dataset possesses several natural constraints that must be acknowledged:</w:t>
      </w:r>
    </w:p>
    <w:p w14:paraId="575B61A3" w14:textId="77777777" w:rsidR="00F540D9" w:rsidRDefault="00E66665">
      <w:pPr>
        <w:pStyle w:val="ListBullet"/>
        <w:spacing w:after="80"/>
      </w:pPr>
      <w:r>
        <w:rPr>
          <w:rFonts w:ascii="Calibri" w:hAnsi="Calibri"/>
          <w:color w:val="222222"/>
          <w:sz w:val="21"/>
        </w:rPr>
        <w:t>Temporal Confinement: All transactions occurred within a window in the calendar year 2014. The data does not reflect subsequent economic inflationary shifts or interest-rate fluctuations.</w:t>
      </w:r>
    </w:p>
    <w:p w14:paraId="67BD901D" w14:textId="77777777" w:rsidR="00F540D9" w:rsidRDefault="00E66665">
      <w:pPr>
        <w:pStyle w:val="ListBullet"/>
        <w:spacing w:after="80"/>
      </w:pPr>
      <w:r>
        <w:rPr>
          <w:rFonts w:ascii="Calibri" w:hAnsi="Calibri"/>
          <w:color w:val="222222"/>
          <w:sz w:val="21"/>
        </w:rPr>
        <w:t>Geographic Specificity: All records are strictly limited to King County, Washington. Learned price relationships cannot be naively generalized to other national or international housing markets.</w:t>
      </w:r>
    </w:p>
    <w:p w14:paraId="6E4EA9EF" w14:textId="77777777" w:rsidR="00F540D9" w:rsidRDefault="00E66665">
      <w:pPr>
        <w:pStyle w:val="ListBullet"/>
        <w:spacing w:after="80"/>
      </w:pPr>
      <w:r>
        <w:rPr>
          <w:rFonts w:ascii="Calibri" w:hAnsi="Calibri"/>
          <w:color w:val="222222"/>
          <w:sz w:val="21"/>
        </w:rPr>
        <w:t>Absence of Visual and Hyperlocal Covariates: Crucial valuation drivers—such as interior architectural finishes, school district academic ratings, neighborhood walkability, and local crime indices—are absent from the tabular registry.</w:t>
      </w:r>
    </w:p>
    <w:p w14:paraId="5ADA2A43" w14:textId="77777777" w:rsidR="00F540D9" w:rsidRDefault="00E66665">
      <w:r>
        <w:br w:type="page"/>
      </w:r>
    </w:p>
    <w:p w14:paraId="7E9430AA" w14:textId="77777777" w:rsidR="00F540D9" w:rsidRDefault="00E66665">
      <w:pPr>
        <w:pStyle w:val="Heading1"/>
        <w:spacing w:before="320" w:after="120"/>
      </w:pPr>
      <w:r>
        <w:rPr>
          <w:rFonts w:ascii="Calibri" w:hAnsi="Calibri"/>
          <w:color w:val="1B365D"/>
          <w:sz w:val="30"/>
        </w:rPr>
        <w:lastRenderedPageBreak/>
        <w:t>6. Data Understanding</w:t>
      </w:r>
    </w:p>
    <w:p w14:paraId="161BF248" w14:textId="77777777" w:rsidR="00F540D9" w:rsidRDefault="00E66665">
      <w:pPr>
        <w:spacing w:after="80"/>
      </w:pPr>
      <w:r>
        <w:rPr>
          <w:rFonts w:ascii="Calibri" w:hAnsi="Calibri"/>
          <w:color w:val="222222"/>
          <w:sz w:val="21"/>
        </w:rPr>
        <w:t>The initial phase of the data science lifecycle is Data Understanding, programmatically executed via src/data_understanding.py through the master function understand_data(). This module ingests data/data.csv and conducts an exhaustive preliminary statistical audit before any transformations are applied.</w:t>
      </w:r>
    </w:p>
    <w:p w14:paraId="492A65D5" w14:textId="77777777" w:rsidR="00F540D9" w:rsidRDefault="00E66665">
      <w:pPr>
        <w:pStyle w:val="Heading2"/>
        <w:spacing w:before="240" w:after="80"/>
      </w:pPr>
      <w:r>
        <w:rPr>
          <w:rFonts w:ascii="Calibri" w:hAnsi="Calibri"/>
          <w:color w:val="316B9E"/>
          <w:sz w:val="25"/>
        </w:rPr>
        <w:t>6.1 Programmatic Execution and Shape Verification</w:t>
      </w:r>
    </w:p>
    <w:p w14:paraId="7A9186A0" w14:textId="77777777" w:rsidR="00F540D9" w:rsidRDefault="00E66665">
      <w:pPr>
        <w:spacing w:after="80"/>
      </w:pPr>
      <w:r>
        <w:rPr>
          <w:rFonts w:ascii="Calibri" w:hAnsi="Calibri"/>
          <w:color w:val="222222"/>
          <w:sz w:val="21"/>
        </w:rPr>
        <w:t>The code first validates the structural dimensionality of the dataset using df.shape, verifying that 4,600 rows and 18 columns have been properly loaded into memory. Column-wise data types are inspected via df.dtypes, revealing 5 floating-point columns, 9 integer columns, and 4 text object columns.</w:t>
      </w:r>
    </w:p>
    <w:p w14:paraId="3BE697B2" w14:textId="77777777" w:rsidR="00F540D9" w:rsidRDefault="00E66665">
      <w:pPr>
        <w:pStyle w:val="Heading2"/>
        <w:spacing w:before="240" w:after="80"/>
      </w:pPr>
      <w:r>
        <w:rPr>
          <w:rFonts w:ascii="Calibri" w:hAnsi="Calibri"/>
          <w:color w:val="316B9E"/>
          <w:sz w:val="25"/>
        </w:rPr>
        <w:t>6.2 Data Integrity: Missing Values and Duplicates</w:t>
      </w:r>
    </w:p>
    <w:p w14:paraId="18564CFA" w14:textId="77777777" w:rsidR="00F540D9" w:rsidRDefault="00E66665">
      <w:pPr>
        <w:spacing w:after="80"/>
      </w:pPr>
      <w:r>
        <w:rPr>
          <w:rFonts w:ascii="Calibri" w:hAnsi="Calibri"/>
          <w:color w:val="222222"/>
          <w:sz w:val="21"/>
        </w:rPr>
        <w:t>A rigorous null-value audit is performed using df.isnull().sum(). The code confirms that missing_df[missing_df['Missing'] &gt; 0] yields an empty set, proving that zero missing values exist across any of the 18 columns. Furthermore, df.duplicated().sum() returns 0, confirming the absence of exact duplicate transaction entries.</w:t>
      </w:r>
    </w:p>
    <w:p w14:paraId="41D3C6F8" w14:textId="77777777" w:rsidR="00F540D9" w:rsidRDefault="00E66665">
      <w:pPr>
        <w:pStyle w:val="Heading2"/>
        <w:spacing w:before="240" w:after="80"/>
      </w:pPr>
      <w:r>
        <w:rPr>
          <w:rFonts w:ascii="Calibri" w:hAnsi="Calibri"/>
          <w:color w:val="316B9E"/>
          <w:sz w:val="25"/>
        </w:rPr>
        <w:t>6.3 Cardinality and Uniqueness Analysis</w:t>
      </w:r>
    </w:p>
    <w:p w14:paraId="7485021D" w14:textId="77777777" w:rsidR="00F540D9" w:rsidRDefault="00E66665">
      <w:pPr>
        <w:spacing w:after="80"/>
      </w:pPr>
      <w:r>
        <w:rPr>
          <w:rFonts w:ascii="Calibri" w:hAnsi="Calibri"/>
          <w:color w:val="222222"/>
          <w:sz w:val="21"/>
        </w:rPr>
        <w:t>The script iterates through all columns to compute df[col].nunique(), highlighting crucial structural characteristics:</w:t>
      </w:r>
    </w:p>
    <w:p w14:paraId="2DAF1390" w14:textId="77777777" w:rsidR="00F540D9" w:rsidRDefault="00E66665">
      <w:pPr>
        <w:pStyle w:val="ListBullet"/>
        <w:spacing w:after="80"/>
      </w:pPr>
      <w:r>
        <w:rPr>
          <w:rFonts w:ascii="Calibri" w:hAnsi="Calibri"/>
          <w:color w:val="222222"/>
          <w:sz w:val="21"/>
        </w:rPr>
        <w:t>street: 4,525 unique string values out of 4,600 rows (98.37% uniqueness), indicating extreme cardinality.</w:t>
      </w:r>
    </w:p>
    <w:p w14:paraId="308E4D0F" w14:textId="77777777" w:rsidR="00F540D9" w:rsidRDefault="00E66665">
      <w:pPr>
        <w:pStyle w:val="ListBullet"/>
        <w:spacing w:after="80"/>
      </w:pPr>
      <w:r>
        <w:rPr>
          <w:rFonts w:ascii="Calibri" w:hAnsi="Calibri"/>
          <w:color w:val="222222"/>
          <w:sz w:val="21"/>
        </w:rPr>
        <w:t>city: 44 unique municipal designations across King County (e.g., Seattle with 1,573 sales, Renton with 293, Bellevue with 286).</w:t>
      </w:r>
    </w:p>
    <w:p w14:paraId="5E2F18CE" w14:textId="77777777" w:rsidR="00F540D9" w:rsidRDefault="00E66665">
      <w:pPr>
        <w:pStyle w:val="ListBullet"/>
        <w:spacing w:after="80"/>
      </w:pPr>
      <w:r>
        <w:rPr>
          <w:rFonts w:ascii="Calibri" w:hAnsi="Calibri"/>
          <w:color w:val="222222"/>
          <w:sz w:val="21"/>
        </w:rPr>
        <w:t>statezip: 77 distinct postal code strings, combining the state identifier 'WA' with a 5-digit zip code.</w:t>
      </w:r>
    </w:p>
    <w:p w14:paraId="4FD7874D" w14:textId="77777777" w:rsidR="00F540D9" w:rsidRDefault="00E66665">
      <w:pPr>
        <w:pStyle w:val="ListBullet"/>
        <w:spacing w:after="80"/>
      </w:pPr>
      <w:r>
        <w:rPr>
          <w:rFonts w:ascii="Calibri" w:hAnsi="Calibri"/>
          <w:color w:val="222222"/>
          <w:sz w:val="21"/>
        </w:rPr>
        <w:t>country: Exactly 1 unique value ('USA') across all 4,600 rows, confirming zero variance.</w:t>
      </w:r>
    </w:p>
    <w:p w14:paraId="1A6E8777" w14:textId="77777777" w:rsidR="00F540D9" w:rsidRDefault="00E66665">
      <w:pPr>
        <w:pStyle w:val="Heading2"/>
        <w:spacing w:before="240" w:after="80"/>
      </w:pPr>
      <w:r>
        <w:rPr>
          <w:rFonts w:ascii="Calibri" w:hAnsi="Calibri"/>
          <w:color w:val="316B9E"/>
          <w:sz w:val="25"/>
        </w:rPr>
        <w:t>6.4 Domain Feature Distribution Observations</w:t>
      </w:r>
    </w:p>
    <w:p w14:paraId="1D4FA8B0" w14:textId="77777777" w:rsidR="00F540D9" w:rsidRDefault="00E66665">
      <w:pPr>
        <w:spacing w:after="80"/>
      </w:pPr>
      <w:r>
        <w:rPr>
          <w:rFonts w:ascii="Calibri" w:hAnsi="Calibri"/>
          <w:color w:val="222222"/>
          <w:sz w:val="21"/>
        </w:rPr>
        <w:t>The script implements targeted sanity checks on key domain attributes, surfacing essential real-world distributions:</w:t>
      </w:r>
    </w:p>
    <w:p w14:paraId="14073438" w14:textId="77777777" w:rsidR="00F540D9" w:rsidRDefault="00E66665">
      <w:pPr>
        <w:pStyle w:val="ListBullet"/>
        <w:spacing w:after="80"/>
      </w:pPr>
      <w:r>
        <w:rPr>
          <w:rFonts w:ascii="Calibri" w:hAnsi="Calibri"/>
          <w:color w:val="222222"/>
          <w:sz w:val="21"/>
        </w:rPr>
        <w:t>yr_renovated = 0: Exactly 3,842 properties (83.52% of the dataset) have a recorded renovation year of 0, indicating they have never undergone documented structural renovation since original construction.</w:t>
      </w:r>
    </w:p>
    <w:p w14:paraId="736AF85F" w14:textId="77777777" w:rsidR="00F540D9" w:rsidRDefault="00E66665">
      <w:pPr>
        <w:pStyle w:val="ListBullet"/>
        <w:spacing w:after="80"/>
      </w:pPr>
      <w:r>
        <w:rPr>
          <w:rFonts w:ascii="Calibri" w:hAnsi="Calibri"/>
          <w:color w:val="222222"/>
          <w:sz w:val="21"/>
        </w:rPr>
        <w:t>sqft_basement = 0: Exactly 2,745 properties (59.67% of the dataset) have zero basement square footage, indicating single-level slab or crawlspace construction.</w:t>
      </w:r>
    </w:p>
    <w:p w14:paraId="69C73EE8" w14:textId="77777777" w:rsidR="00F540D9" w:rsidRDefault="00E66665">
      <w:pPr>
        <w:pStyle w:val="ListBullet"/>
        <w:spacing w:after="80"/>
      </w:pPr>
      <w:r>
        <w:rPr>
          <w:rFonts w:ascii="Calibri" w:hAnsi="Calibri"/>
          <w:color w:val="222222"/>
          <w:sz w:val="21"/>
        </w:rPr>
        <w:t>waterfront Distribution: Only 33 properties (0.72%) possess direct waterfront access (waterfront = 1), whereas 4,567 properties (99.28%) are inland structures.</w:t>
      </w:r>
    </w:p>
    <w:p w14:paraId="1BC547CA" w14:textId="77777777" w:rsidR="00F540D9" w:rsidRDefault="00E66665">
      <w:pPr>
        <w:pStyle w:val="ListBullet"/>
        <w:spacing w:after="80"/>
      </w:pPr>
      <w:r>
        <w:rPr>
          <w:rFonts w:ascii="Calibri" w:hAnsi="Calibri"/>
          <w:color w:val="222222"/>
          <w:sz w:val="21"/>
        </w:rPr>
        <w:t>IQR Outlier Profiling: An Interquartile Range (IQR = Q3 - Q1) sweep on numerical columns flags 240 outliers in price (5.2%), 541 outliers in sqft_lot (11.8%), 129 outliers in sqft_living (2.8%), and 111 outliers in sqft_above (2.4%).</w:t>
      </w:r>
    </w:p>
    <w:p w14:paraId="7A5FCD5F" w14:textId="77777777" w:rsidR="00F540D9" w:rsidRDefault="00E66665">
      <w:pPr>
        <w:pStyle w:val="Heading1"/>
        <w:spacing w:before="320" w:after="120"/>
      </w:pPr>
      <w:r>
        <w:rPr>
          <w:rFonts w:ascii="Calibri" w:hAnsi="Calibri"/>
          <w:color w:val="1B365D"/>
          <w:sz w:val="30"/>
        </w:rPr>
        <w:lastRenderedPageBreak/>
        <w:t>7. Data Cleaning and Preprocessing</w:t>
      </w:r>
    </w:p>
    <w:p w14:paraId="4856B02B" w14:textId="77777777" w:rsidR="00F540D9" w:rsidRDefault="00E66665">
      <w:pPr>
        <w:spacing w:after="80"/>
      </w:pPr>
      <w:r>
        <w:rPr>
          <w:rFonts w:ascii="Calibri" w:hAnsi="Calibri"/>
          <w:color w:val="222222"/>
          <w:sz w:val="21"/>
        </w:rPr>
        <w:t>The data cleaning and preprocessing pipeline is implemented in src/data_cleaning.py through the core function load_and_clean(). This function standardizes and transforms raw tabular records into a fully numerical, leak-free feature matrix ready for machine learning algorithms.</w:t>
      </w:r>
    </w:p>
    <w:p w14:paraId="40B148CC" w14:textId="77777777" w:rsidR="00F540D9" w:rsidRDefault="00E66665">
      <w:pPr>
        <w:pStyle w:val="Heading2"/>
        <w:spacing w:before="240" w:after="80"/>
      </w:pPr>
      <w:r>
        <w:rPr>
          <w:rFonts w:ascii="Calibri" w:hAnsi="Calibri"/>
          <w:color w:val="316B9E"/>
          <w:sz w:val="25"/>
        </w:rPr>
        <w:t>7.1 Temporal Decomposition</w:t>
      </w:r>
    </w:p>
    <w:p w14:paraId="6C429884" w14:textId="77777777" w:rsidR="00F540D9" w:rsidRDefault="00E66665">
      <w:pPr>
        <w:spacing w:after="80"/>
      </w:pPr>
      <w:r>
        <w:rPr>
          <w:rFonts w:ascii="Calibri" w:hAnsi="Calibri"/>
          <w:color w:val="222222"/>
          <w:sz w:val="21"/>
        </w:rPr>
        <w:t>Raw transaction timestamps in the date column (stored as text strings such as '2014-05-02 00:00:00') cannot be mathematically ingested by regression models. The function executes pd.to_datetime(df['date'], errors='coerce'), extracting sale_year and sale_month as discrete numerical attributes before dropping the original uninformative date column. This decomposition enables models to capture seasonal market fluctuations (e.g., peak spring/summer housing demand) and year-over-year baseline shifts.</w:t>
      </w:r>
    </w:p>
    <w:p w14:paraId="51E1FB0F" w14:textId="77777777" w:rsidR="00F540D9" w:rsidRDefault="00E66665">
      <w:pPr>
        <w:pStyle w:val="Heading2"/>
        <w:spacing w:before="240" w:after="80"/>
      </w:pPr>
      <w:r>
        <w:rPr>
          <w:rFonts w:ascii="Calibri" w:hAnsi="Calibri"/>
          <w:color w:val="316B9E"/>
          <w:sz w:val="25"/>
        </w:rPr>
        <w:t>7.2 Defensive Imputation Safeguards</w:t>
      </w:r>
    </w:p>
    <w:p w14:paraId="65695912" w14:textId="77777777" w:rsidR="00F540D9" w:rsidRDefault="00E66665">
      <w:pPr>
        <w:spacing w:after="80"/>
      </w:pPr>
      <w:r>
        <w:rPr>
          <w:rFonts w:ascii="Calibri" w:hAnsi="Calibri"/>
          <w:color w:val="222222"/>
          <w:sz w:val="21"/>
        </w:rPr>
        <w:t>Although the baseline data.csv currently contains no missing cells, production pipelines must be resilient against incomplete records encountered during future inference. The pipeline implements automated median imputation for numeric features (df[col].fillna(df[col].median())) and mode imputation for categorical features (df[col].fillna(df[col].mode()[0])), ensuring zero execution interruptions.</w:t>
      </w:r>
    </w:p>
    <w:p w14:paraId="158AF397" w14:textId="77777777" w:rsidR="00F540D9" w:rsidRDefault="00E66665">
      <w:pPr>
        <w:pStyle w:val="Heading2"/>
        <w:spacing w:before="240" w:after="80"/>
      </w:pPr>
      <w:r>
        <w:rPr>
          <w:rFonts w:ascii="Calibri" w:hAnsi="Calibri"/>
          <w:color w:val="316B9E"/>
          <w:sz w:val="25"/>
        </w:rPr>
        <w:t>7.3 High-Cardinality and Zero-Variance Feature Elimination</w:t>
      </w:r>
    </w:p>
    <w:p w14:paraId="0EAF987D" w14:textId="77777777" w:rsidR="00F540D9" w:rsidRDefault="00E66665">
      <w:pPr>
        <w:spacing w:after="80"/>
      </w:pPr>
      <w:r>
        <w:rPr>
          <w:rFonts w:ascii="Calibri" w:hAnsi="Calibri"/>
          <w:color w:val="222222"/>
          <w:sz w:val="21"/>
        </w:rPr>
        <w:t>The pipeline systematically removes two attributes that harm model generalization:</w:t>
      </w:r>
    </w:p>
    <w:p w14:paraId="0179A278" w14:textId="77777777" w:rsidR="00F540D9" w:rsidRDefault="00E66665">
      <w:pPr>
        <w:pStyle w:val="ListBullet"/>
        <w:spacing w:after="80"/>
      </w:pPr>
      <w:r>
        <w:rPr>
          <w:rFonts w:ascii="Calibri" w:hAnsi="Calibri"/>
          <w:color w:val="222222"/>
          <w:sz w:val="21"/>
        </w:rPr>
        <w:t>Elimination of 'street': With 4,525 distinct addresses across 4,600 rows, one-hot encoding street would expand the feature matrix by over 4,500 sparse dimensions, causing catastrophic overfitting. It is therefore dropped.</w:t>
      </w:r>
    </w:p>
    <w:p w14:paraId="325A8BC5" w14:textId="77777777" w:rsidR="00F540D9" w:rsidRDefault="00E66665">
      <w:pPr>
        <w:pStyle w:val="ListBullet"/>
        <w:spacing w:after="80"/>
      </w:pPr>
      <w:r>
        <w:rPr>
          <w:rFonts w:ascii="Calibri" w:hAnsi="Calibri"/>
          <w:color w:val="222222"/>
          <w:sz w:val="21"/>
        </w:rPr>
        <w:t>Elimination of 'country': The country feature contains the constant string 'USA' across all records. A feature with zero statistical variance provides zero informational entropy and is dropped.</w:t>
      </w:r>
    </w:p>
    <w:p w14:paraId="56B0C48E" w14:textId="77777777" w:rsidR="00F540D9" w:rsidRDefault="00E66665">
      <w:pPr>
        <w:pStyle w:val="Heading2"/>
        <w:spacing w:before="240" w:after="80"/>
      </w:pPr>
      <w:r>
        <w:rPr>
          <w:rFonts w:ascii="Calibri" w:hAnsi="Calibri"/>
          <w:color w:val="316B9E"/>
          <w:sz w:val="25"/>
        </w:rPr>
        <w:t>7.4 Geographic Feature Extraction and Categorical Encoding</w:t>
      </w:r>
    </w:p>
    <w:p w14:paraId="56716592" w14:textId="77777777" w:rsidR="00F540D9" w:rsidRDefault="00E66665">
      <w:pPr>
        <w:spacing w:after="80"/>
      </w:pPr>
      <w:r>
        <w:rPr>
          <w:rFonts w:ascii="Calibri" w:hAnsi="Calibri"/>
          <w:color w:val="222222"/>
          <w:sz w:val="21"/>
        </w:rPr>
        <w:t>Location is one of the most critical determinants of real estate value. The pipeline extracts and encodes geographic signals through two methods:</w:t>
      </w:r>
    </w:p>
    <w:p w14:paraId="57527C70" w14:textId="77777777" w:rsidR="00F540D9" w:rsidRDefault="00E66665">
      <w:pPr>
        <w:pStyle w:val="ListBullet"/>
        <w:spacing w:after="80"/>
      </w:pPr>
      <w:r>
        <w:rPr>
          <w:rFonts w:ascii="Calibri" w:hAnsi="Calibri"/>
          <w:color w:val="222222"/>
          <w:sz w:val="21"/>
        </w:rPr>
        <w:t>Postal Code Extraction: The composite string statezip (e.g., 'WA 98133') is parsed using regular expression extraction r'(\d+)', yielding the continuous 5-digit numerical postal code zip_code. The text column statezip is dropped.</w:t>
      </w:r>
    </w:p>
    <w:p w14:paraId="127CABD5" w14:textId="77777777" w:rsidR="00F540D9" w:rsidRDefault="00E66665">
      <w:pPr>
        <w:pStyle w:val="ListBullet"/>
        <w:spacing w:after="80"/>
      </w:pPr>
      <w:r>
        <w:rPr>
          <w:rFonts w:ascii="Calibri" w:hAnsi="Calibri"/>
          <w:color w:val="222222"/>
          <w:sz w:val="21"/>
        </w:rPr>
        <w:t>Municipal Label Encoding: The city column contains 44 unique municipal names. Scikit-learn's LabelEncoder is applied to convert city names into integer categories (city_encoded, ranging from 0 to 43). The original string column is preserved as city_name solely for human-readable dashboard displays and is excluded from model feature matrices.</w:t>
      </w:r>
    </w:p>
    <w:p w14:paraId="53D8C75F" w14:textId="77777777" w:rsidR="00F540D9" w:rsidRDefault="00E66665">
      <w:pPr>
        <w:pStyle w:val="Heading2"/>
        <w:spacing w:before="240" w:after="80"/>
      </w:pPr>
      <w:r>
        <w:rPr>
          <w:rFonts w:ascii="Calibri" w:hAnsi="Calibri"/>
          <w:color w:val="316B9E"/>
          <w:sz w:val="25"/>
        </w:rPr>
        <w:t>7.5 Outlier Winsorization (1st and 99th Percentile Capping)</w:t>
      </w:r>
    </w:p>
    <w:p w14:paraId="3E655BCE" w14:textId="77777777" w:rsidR="00F540D9" w:rsidRDefault="00E66665">
      <w:pPr>
        <w:spacing w:after="80"/>
      </w:pPr>
      <w:r>
        <w:rPr>
          <w:rFonts w:ascii="Calibri" w:hAnsi="Calibri"/>
          <w:color w:val="222222"/>
          <w:sz w:val="21"/>
        </w:rPr>
        <w:t xml:space="preserve">Rather than deleting outlier rows—which shrinks the training sample and discards genuine real-world information—the pipeline applies percentile winsorization. Specifically, numerical extremes in price, </w:t>
      </w:r>
      <w:r>
        <w:rPr>
          <w:rFonts w:ascii="Calibri" w:hAnsi="Calibri"/>
          <w:color w:val="222222"/>
          <w:sz w:val="21"/>
        </w:rPr>
        <w:lastRenderedPageBreak/>
        <w:t>sqft_living, and sqft_lot outside the 1st and 99th percentiles are capped using df[col].clip(lower=lo, upper=hi).</w:t>
      </w:r>
    </w:p>
    <w:tbl>
      <w:tblPr>
        <w:tblW w:w="0" w:type="auto"/>
        <w:jc w:val="center"/>
        <w:tblLayout w:type="fixed"/>
        <w:tblLook w:val="04A0" w:firstRow="1" w:lastRow="0" w:firstColumn="1" w:lastColumn="0" w:noHBand="0" w:noVBand="1"/>
      </w:tblPr>
      <w:tblGrid>
        <w:gridCol w:w="9360"/>
      </w:tblGrid>
      <w:tr w:rsidR="00F540D9" w14:paraId="3018D2A1" w14:textId="77777777">
        <w:trPr>
          <w:jc w:val="center"/>
        </w:trPr>
        <w:tc>
          <w:tcPr>
            <w:tcW w:w="9360" w:type="dxa"/>
            <w:tcBorders>
              <w:left w:val="single" w:sz="24" w:space="0" w:color="1B365D"/>
            </w:tcBorders>
            <w:shd w:val="clear" w:color="auto" w:fill="EEF4F9"/>
            <w:tcMar>
              <w:top w:w="140" w:type="dxa"/>
              <w:left w:w="200" w:type="dxa"/>
              <w:bottom w:w="140" w:type="dxa"/>
              <w:right w:w="160" w:type="dxa"/>
            </w:tcMar>
          </w:tcPr>
          <w:p w14:paraId="517FD4F0" w14:textId="77777777" w:rsidR="00F540D9" w:rsidRDefault="00E66665">
            <w:pPr>
              <w:spacing w:before="40" w:after="40"/>
            </w:pPr>
            <w:r>
              <w:rPr>
                <w:rFonts w:ascii="Calibri" w:hAnsi="Calibri"/>
                <w:b/>
                <w:color w:val="1B365D"/>
                <w:sz w:val="20"/>
              </w:rPr>
              <w:t xml:space="preserve">Winsorization Outcome: </w:t>
            </w:r>
            <w:r>
              <w:rPr>
                <w:rFonts w:ascii="Calibri" w:hAnsi="Calibri"/>
                <w:i/>
                <w:color w:val="222222"/>
                <w:sz w:val="20"/>
              </w:rPr>
              <w:t>During winsorization, 46 extreme high-value price outliers exceeding the 99th percentile ($2,005,220.00) were capped, effectively compressing multi-million dollar luxury estates (up to $26.59M) to prevent excessive gradient distortion. Simultaneously, 85 values in sqft_living and 92 values in sqft_lot were bounded. The resulting clean dataset shape is 4,600 rows across 24 columns (comprising price, city_name, and 22 predictor features).</w:t>
            </w:r>
          </w:p>
        </w:tc>
      </w:tr>
    </w:tbl>
    <w:p w14:paraId="4355435A" w14:textId="77777777" w:rsidR="00F540D9" w:rsidRDefault="00F540D9">
      <w:pPr>
        <w:spacing w:after="80"/>
      </w:pPr>
    </w:p>
    <w:p w14:paraId="3905BDDF" w14:textId="77777777" w:rsidR="00F540D9" w:rsidRDefault="00E66665">
      <w:r>
        <w:br w:type="page"/>
      </w:r>
    </w:p>
    <w:p w14:paraId="2C51D640" w14:textId="77777777" w:rsidR="00F540D9" w:rsidRDefault="00E66665">
      <w:pPr>
        <w:pStyle w:val="Heading1"/>
        <w:spacing w:before="320" w:after="120"/>
      </w:pPr>
      <w:r>
        <w:rPr>
          <w:rFonts w:ascii="Calibri" w:hAnsi="Calibri"/>
          <w:color w:val="1B365D"/>
          <w:sz w:val="30"/>
        </w:rPr>
        <w:lastRenderedPageBreak/>
        <w:t>8. Exploratory Data Analysis (EDA)</w:t>
      </w:r>
    </w:p>
    <w:p w14:paraId="5A951E9A" w14:textId="77777777" w:rsidR="00F540D9" w:rsidRDefault="00E66665">
      <w:pPr>
        <w:spacing w:after="80"/>
      </w:pPr>
      <w:r>
        <w:rPr>
          <w:rFonts w:ascii="Calibri" w:hAnsi="Calibri"/>
          <w:color w:val="222222"/>
          <w:sz w:val="21"/>
        </w:rPr>
        <w:t>Exploratory Data Analysis (EDA) was programmatically executed via src/eda.py using the function run_eda(). Ten high-resolution analytical visualizations were automatically generated and saved to the visualizations/ directory. Below is a detailed examination of each chart and its underlying empirical findings.</w:t>
      </w:r>
    </w:p>
    <w:p w14:paraId="25C3F37B" w14:textId="77777777" w:rsidR="00F540D9" w:rsidRDefault="00E66665">
      <w:pPr>
        <w:pStyle w:val="Heading2"/>
        <w:spacing w:before="240" w:after="80"/>
      </w:pPr>
      <w:r>
        <w:rPr>
          <w:rFonts w:ascii="Calibri" w:hAnsi="Calibri"/>
          <w:color w:val="316B9E"/>
          <w:sz w:val="25"/>
        </w:rPr>
        <w:t>8.1 Distribution of House Prices (Raw vs. Log-Transformed)</w:t>
      </w:r>
    </w:p>
    <w:p w14:paraId="696080FC" w14:textId="77777777" w:rsidR="00F540D9" w:rsidRDefault="00E66665">
      <w:pPr>
        <w:spacing w:after="80"/>
      </w:pPr>
      <w:r>
        <w:rPr>
          <w:rFonts w:ascii="Calibri" w:hAnsi="Calibri"/>
          <w:color w:val="222222"/>
          <w:sz w:val="21"/>
        </w:rPr>
        <w:t>Figure 1 displays the frequency distribution of property sale prices in raw USD alongside its natural logarithmic transformation (np.log1p(df['price'])).</w:t>
      </w:r>
    </w:p>
    <w:p w14:paraId="36413271" w14:textId="77777777" w:rsidR="00F540D9" w:rsidRDefault="00E66665">
      <w:pPr>
        <w:keepNext/>
        <w:spacing w:before="160" w:after="40"/>
        <w:jc w:val="center"/>
      </w:pPr>
      <w:r>
        <w:rPr>
          <w:noProof/>
        </w:rPr>
        <w:drawing>
          <wp:inline distT="0" distB="0" distL="0" distR="0" wp14:anchorId="689F7678" wp14:editId="4890C9C3">
            <wp:extent cx="4937760" cy="2132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8"/>
                    <a:stretch>
                      <a:fillRect/>
                    </a:stretch>
                  </pic:blipFill>
                  <pic:spPr>
                    <a:xfrm>
                      <a:off x="0" y="0"/>
                      <a:ext cx="4937760" cy="2132956"/>
                    </a:xfrm>
                    <a:prstGeom prst="rect">
                      <a:avLst/>
                    </a:prstGeom>
                  </pic:spPr>
                </pic:pic>
              </a:graphicData>
            </a:graphic>
          </wp:inline>
        </w:drawing>
      </w:r>
    </w:p>
    <w:p w14:paraId="7E38EC4B" w14:textId="77777777" w:rsidR="00F540D9" w:rsidRDefault="00E66665">
      <w:pPr>
        <w:spacing w:before="40" w:after="160"/>
        <w:jc w:val="center"/>
      </w:pPr>
      <w:r>
        <w:rPr>
          <w:rFonts w:ascii="Calibri" w:hAnsi="Calibri"/>
          <w:b/>
          <w:i/>
          <w:color w:val="316B9E"/>
          <w:sz w:val="19"/>
        </w:rPr>
        <w:t>Figure 1: Distribution of Raw House Prices vs. Log-Transformed Prices</w:t>
      </w:r>
    </w:p>
    <w:p w14:paraId="68CDF1E1" w14:textId="77777777" w:rsidR="00F540D9" w:rsidRDefault="00E66665">
      <w:pPr>
        <w:spacing w:after="80"/>
      </w:pPr>
      <w:r>
        <w:rPr>
          <w:rFonts w:ascii="Calibri" w:hAnsi="Calibri"/>
          <w:color w:val="222222"/>
          <w:sz w:val="21"/>
        </w:rPr>
        <w:t>Observation &amp; Empirical Insight: The raw price histogram exhibits severe positive (right) skewness, with the vast majority of transactions clustered between $250,000 and $700,000, accompanied by a long tail extending toward multi-million-dollar valuations. In contrast, the log-transformed distribution exhibits near-perfect Gaussian symmetry (Bell curve). This confirms that housing prices naturally follow a log-normal distribution, justifying the use of non-linear tree-based ensembles that do not strictly re</w:t>
      </w:r>
      <w:r>
        <w:rPr>
          <w:rFonts w:ascii="Calibri" w:hAnsi="Calibri"/>
          <w:color w:val="222222"/>
          <w:sz w:val="21"/>
        </w:rPr>
        <w:t>quire normally distributed target variables.</w:t>
      </w:r>
    </w:p>
    <w:p w14:paraId="3FC52FA9" w14:textId="77777777" w:rsidR="00F540D9" w:rsidRDefault="00E66665">
      <w:pPr>
        <w:pStyle w:val="Heading2"/>
        <w:spacing w:before="240" w:after="80"/>
      </w:pPr>
      <w:r>
        <w:rPr>
          <w:rFonts w:ascii="Calibri" w:hAnsi="Calibri"/>
          <w:color w:val="316B9E"/>
          <w:sz w:val="25"/>
        </w:rPr>
        <w:t>8.2 Relationship Between Living Area and Price</w:t>
      </w:r>
    </w:p>
    <w:p w14:paraId="0AC247F4" w14:textId="77777777" w:rsidR="00F540D9" w:rsidRDefault="00E66665">
      <w:pPr>
        <w:spacing w:after="80"/>
      </w:pPr>
      <w:r>
        <w:rPr>
          <w:rFonts w:ascii="Calibri" w:hAnsi="Calibri"/>
          <w:color w:val="222222"/>
          <w:sz w:val="21"/>
        </w:rPr>
        <w:t>Figure 2 presents a scatter plot analyzing the correlation between habitable living area (sqft_living) and transaction price.</w:t>
      </w:r>
    </w:p>
    <w:p w14:paraId="5A4F2226" w14:textId="77777777" w:rsidR="00F540D9" w:rsidRDefault="00E66665">
      <w:pPr>
        <w:keepNext/>
        <w:spacing w:before="160" w:after="40"/>
        <w:jc w:val="center"/>
      </w:pPr>
      <w:r>
        <w:rPr>
          <w:noProof/>
        </w:rPr>
        <w:lastRenderedPageBreak/>
        <w:drawing>
          <wp:inline distT="0" distB="0" distL="0" distR="0" wp14:anchorId="75991474" wp14:editId="0CB2A572">
            <wp:extent cx="4937760" cy="3124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ice_vs_sqft.png"/>
                    <pic:cNvPicPr/>
                  </pic:nvPicPr>
                  <pic:blipFill>
                    <a:blip r:embed="rId9"/>
                    <a:stretch>
                      <a:fillRect/>
                    </a:stretch>
                  </pic:blipFill>
                  <pic:spPr>
                    <a:xfrm>
                      <a:off x="0" y="0"/>
                      <a:ext cx="4937760" cy="3124778"/>
                    </a:xfrm>
                    <a:prstGeom prst="rect">
                      <a:avLst/>
                    </a:prstGeom>
                  </pic:spPr>
                </pic:pic>
              </a:graphicData>
            </a:graphic>
          </wp:inline>
        </w:drawing>
      </w:r>
    </w:p>
    <w:p w14:paraId="28DDE2B9" w14:textId="77777777" w:rsidR="00F540D9" w:rsidRDefault="00E66665">
      <w:pPr>
        <w:spacing w:before="40" w:after="160"/>
        <w:jc w:val="center"/>
      </w:pPr>
      <w:r>
        <w:rPr>
          <w:rFonts w:ascii="Calibri" w:hAnsi="Calibri"/>
          <w:b/>
          <w:i/>
          <w:color w:val="316B9E"/>
          <w:sz w:val="19"/>
        </w:rPr>
        <w:t>Figure 2: Scatter Plot of House Price vs. Interior Living Area (sqft)</w:t>
      </w:r>
    </w:p>
    <w:p w14:paraId="634FA1A8" w14:textId="77777777" w:rsidR="00F540D9" w:rsidRDefault="00E66665">
      <w:pPr>
        <w:spacing w:after="80"/>
      </w:pPr>
      <w:r>
        <w:rPr>
          <w:rFonts w:ascii="Calibri" w:hAnsi="Calibri"/>
          <w:color w:val="222222"/>
          <w:sz w:val="21"/>
        </w:rPr>
        <w:t>Observation &amp; Empirical Insight: There is an unmistakable, strong positive linear trajectory between living area and sale price (Pearson correlation r = 0.662). As interior square footage expands, price increases consistently. However, upward dispersion widens significantly beyond 3,500 sqft, illustrating that in luxury brackets, property values are heavily modulated by interaction factors such as view, waterfront proximity, and prestigious ZIP codes.</w:t>
      </w:r>
    </w:p>
    <w:p w14:paraId="00F98AB1" w14:textId="77777777" w:rsidR="00F540D9" w:rsidRDefault="00E66665">
      <w:pPr>
        <w:pStyle w:val="Heading2"/>
        <w:spacing w:before="240" w:after="80"/>
      </w:pPr>
      <w:r>
        <w:rPr>
          <w:rFonts w:ascii="Calibri" w:hAnsi="Calibri"/>
          <w:color w:val="316B9E"/>
          <w:sz w:val="25"/>
        </w:rPr>
        <w:t>8.3 Price Distribution by Number of Bedrooms</w:t>
      </w:r>
    </w:p>
    <w:p w14:paraId="004A67EB" w14:textId="77777777" w:rsidR="00F540D9" w:rsidRDefault="00E66665">
      <w:pPr>
        <w:spacing w:after="80"/>
      </w:pPr>
      <w:r>
        <w:rPr>
          <w:rFonts w:ascii="Calibri" w:hAnsi="Calibri"/>
          <w:color w:val="222222"/>
          <w:sz w:val="21"/>
        </w:rPr>
        <w:t>Figure 3 utilizes box plots to illustrate price variations across bedroom counts ranging from 0 to 9.</w:t>
      </w:r>
    </w:p>
    <w:p w14:paraId="41815E04" w14:textId="77777777" w:rsidR="00F540D9" w:rsidRDefault="00E66665">
      <w:pPr>
        <w:keepNext/>
        <w:spacing w:before="160" w:after="40"/>
        <w:jc w:val="center"/>
      </w:pPr>
      <w:r>
        <w:rPr>
          <w:noProof/>
        </w:rPr>
        <w:lastRenderedPageBreak/>
        <w:drawing>
          <wp:inline distT="0" distB="0" distL="0" distR="0" wp14:anchorId="3C81D145" wp14:editId="5B460926">
            <wp:extent cx="4937760" cy="312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ice_vs_bedrooms.png"/>
                    <pic:cNvPicPr/>
                  </pic:nvPicPr>
                  <pic:blipFill>
                    <a:blip r:embed="rId10"/>
                    <a:stretch>
                      <a:fillRect/>
                    </a:stretch>
                  </pic:blipFill>
                  <pic:spPr>
                    <a:xfrm>
                      <a:off x="0" y="0"/>
                      <a:ext cx="4937760" cy="3120420"/>
                    </a:xfrm>
                    <a:prstGeom prst="rect">
                      <a:avLst/>
                    </a:prstGeom>
                  </pic:spPr>
                </pic:pic>
              </a:graphicData>
            </a:graphic>
          </wp:inline>
        </w:drawing>
      </w:r>
    </w:p>
    <w:p w14:paraId="1B0094E9" w14:textId="77777777" w:rsidR="00F540D9" w:rsidRDefault="00E66665">
      <w:pPr>
        <w:spacing w:before="40" w:after="160"/>
        <w:jc w:val="center"/>
      </w:pPr>
      <w:r>
        <w:rPr>
          <w:rFonts w:ascii="Calibri" w:hAnsi="Calibri"/>
          <w:b/>
          <w:i/>
          <w:color w:val="316B9E"/>
          <w:sz w:val="19"/>
        </w:rPr>
        <w:t>Figure 3: Box Plot Distribution of House Price by Number of Bedrooms</w:t>
      </w:r>
    </w:p>
    <w:p w14:paraId="005D675F" w14:textId="77777777" w:rsidR="00F540D9" w:rsidRDefault="00E66665">
      <w:pPr>
        <w:spacing w:after="80"/>
      </w:pPr>
      <w:r>
        <w:rPr>
          <w:rFonts w:ascii="Calibri" w:hAnsi="Calibri"/>
          <w:color w:val="222222"/>
          <w:sz w:val="21"/>
        </w:rPr>
        <w:t>Observation &amp; Empirical Insight: Median property prices climb steadily from 1 bedroom ($320,000) up to 5 bedrooms ($620,000). Beyond 6 bedrooms, median prices plateau and interquartile variance increases. This demonstrates that while additional bedrooms add value for typical family residences, extreme bedroom counts often correspond to specialized rental boarding properties or older rural estates that do not command proportional luxury premiums.</w:t>
      </w:r>
    </w:p>
    <w:p w14:paraId="1A5347E2" w14:textId="77777777" w:rsidR="00F540D9" w:rsidRDefault="00E66665">
      <w:pPr>
        <w:pStyle w:val="Heading2"/>
        <w:spacing w:before="240" w:after="80"/>
      </w:pPr>
      <w:r>
        <w:rPr>
          <w:rFonts w:ascii="Calibri" w:hAnsi="Calibri"/>
          <w:color w:val="316B9E"/>
          <w:sz w:val="25"/>
        </w:rPr>
        <w:t>8.4 Price Distribution by Number of Bathrooms</w:t>
      </w:r>
    </w:p>
    <w:p w14:paraId="07F96E91" w14:textId="77777777" w:rsidR="00F540D9" w:rsidRDefault="00E66665">
      <w:pPr>
        <w:spacing w:after="80"/>
      </w:pPr>
      <w:r>
        <w:rPr>
          <w:rFonts w:ascii="Calibri" w:hAnsi="Calibri"/>
          <w:color w:val="222222"/>
          <w:sz w:val="21"/>
        </w:rPr>
        <w:t>Figure 4 charts the scaling of property prices across bathroom counts ranging from 0.75 to 8.0.</w:t>
      </w:r>
    </w:p>
    <w:p w14:paraId="07135AC5" w14:textId="77777777" w:rsidR="00F540D9" w:rsidRDefault="00E66665">
      <w:pPr>
        <w:keepNext/>
        <w:spacing w:before="160" w:after="40"/>
        <w:jc w:val="center"/>
      </w:pPr>
      <w:r>
        <w:rPr>
          <w:noProof/>
        </w:rPr>
        <w:lastRenderedPageBreak/>
        <w:drawing>
          <wp:inline distT="0" distB="0" distL="0" distR="0" wp14:anchorId="28D9E2C7" wp14:editId="49DDBC51">
            <wp:extent cx="4937760" cy="32162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ce_vs_bathrooms.png"/>
                    <pic:cNvPicPr/>
                  </pic:nvPicPr>
                  <pic:blipFill>
                    <a:blip r:embed="rId11"/>
                    <a:stretch>
                      <a:fillRect/>
                    </a:stretch>
                  </pic:blipFill>
                  <pic:spPr>
                    <a:xfrm>
                      <a:off x="0" y="0"/>
                      <a:ext cx="4937760" cy="3216299"/>
                    </a:xfrm>
                    <a:prstGeom prst="rect">
                      <a:avLst/>
                    </a:prstGeom>
                  </pic:spPr>
                </pic:pic>
              </a:graphicData>
            </a:graphic>
          </wp:inline>
        </w:drawing>
      </w:r>
    </w:p>
    <w:p w14:paraId="0C8DF60B" w14:textId="77777777" w:rsidR="00F540D9" w:rsidRDefault="00E66665">
      <w:pPr>
        <w:spacing w:before="40" w:after="160"/>
        <w:jc w:val="center"/>
      </w:pPr>
      <w:r>
        <w:rPr>
          <w:rFonts w:ascii="Calibri" w:hAnsi="Calibri"/>
          <w:b/>
          <w:i/>
          <w:color w:val="316B9E"/>
          <w:sz w:val="19"/>
        </w:rPr>
        <w:t>Figure 4: Box Plot Distribution of House Price by Number of Bathrooms</w:t>
      </w:r>
    </w:p>
    <w:p w14:paraId="3D24ABB1" w14:textId="77777777" w:rsidR="00F540D9" w:rsidRDefault="00E66665">
      <w:pPr>
        <w:spacing w:after="80"/>
      </w:pPr>
      <w:r>
        <w:rPr>
          <w:rFonts w:ascii="Calibri" w:hAnsi="Calibri"/>
          <w:color w:val="222222"/>
          <w:sz w:val="21"/>
        </w:rPr>
        <w:t>Observation &amp; Empirical Insight: House prices scale monotonically with bathroom count (Pearson correlation r = 0.510), showing an even stronger association than bedrooms (r = 0.328). In modern architectural design, higher bathroom counts reflect luxury layouts (en-suite master baths, guest powder rooms) and expansive square footage, making bathroom count a highly reliable proxy for overall structural affluence.</w:t>
      </w:r>
    </w:p>
    <w:p w14:paraId="42DB6AF7" w14:textId="77777777" w:rsidR="00F540D9" w:rsidRDefault="00E66665">
      <w:pPr>
        <w:pStyle w:val="Heading2"/>
        <w:spacing w:before="240" w:after="80"/>
      </w:pPr>
      <w:r>
        <w:rPr>
          <w:rFonts w:ascii="Calibri" w:hAnsi="Calibri"/>
          <w:color w:val="316B9E"/>
          <w:sz w:val="25"/>
        </w:rPr>
        <w:t>8.5 Median Price by Condition Rating</w:t>
      </w:r>
    </w:p>
    <w:p w14:paraId="76A36496" w14:textId="77777777" w:rsidR="00F540D9" w:rsidRDefault="00E66665">
      <w:pPr>
        <w:spacing w:after="80"/>
      </w:pPr>
      <w:r>
        <w:rPr>
          <w:rFonts w:ascii="Calibri" w:hAnsi="Calibri"/>
          <w:color w:val="222222"/>
          <w:sz w:val="21"/>
        </w:rPr>
        <w:t>Figure 5 displays a bar chart comparing median house prices across physical condition ratings from 1 (Poor) to 5 (Excellent).</w:t>
      </w:r>
    </w:p>
    <w:p w14:paraId="7556CD0B" w14:textId="77777777" w:rsidR="00F540D9" w:rsidRDefault="00E66665">
      <w:pPr>
        <w:keepNext/>
        <w:spacing w:before="160" w:after="40"/>
        <w:jc w:val="center"/>
      </w:pPr>
      <w:r>
        <w:rPr>
          <w:noProof/>
        </w:rPr>
        <w:lastRenderedPageBreak/>
        <w:drawing>
          <wp:inline distT="0" distB="0" distL="0" distR="0" wp14:anchorId="5A8E48F7" wp14:editId="1F9207E5">
            <wp:extent cx="4937760" cy="3430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ce_vs_condition.png"/>
                    <pic:cNvPicPr/>
                  </pic:nvPicPr>
                  <pic:blipFill>
                    <a:blip r:embed="rId12"/>
                    <a:stretch>
                      <a:fillRect/>
                    </a:stretch>
                  </pic:blipFill>
                  <pic:spPr>
                    <a:xfrm>
                      <a:off x="0" y="0"/>
                      <a:ext cx="4937760" cy="3430595"/>
                    </a:xfrm>
                    <a:prstGeom prst="rect">
                      <a:avLst/>
                    </a:prstGeom>
                  </pic:spPr>
                </pic:pic>
              </a:graphicData>
            </a:graphic>
          </wp:inline>
        </w:drawing>
      </w:r>
    </w:p>
    <w:p w14:paraId="1E051742" w14:textId="77777777" w:rsidR="00F540D9" w:rsidRDefault="00E66665">
      <w:pPr>
        <w:spacing w:before="40" w:after="160"/>
        <w:jc w:val="center"/>
      </w:pPr>
      <w:r>
        <w:rPr>
          <w:rFonts w:ascii="Calibri" w:hAnsi="Calibri"/>
          <w:b/>
          <w:i/>
          <w:color w:val="316B9E"/>
          <w:sz w:val="19"/>
        </w:rPr>
        <w:t>Figure 5: Median House Price by Property Condition Rating (1=Poor to 5=Excellent)</w:t>
      </w:r>
    </w:p>
    <w:p w14:paraId="445A06FC" w14:textId="77777777" w:rsidR="00F540D9" w:rsidRDefault="00E66665">
      <w:pPr>
        <w:spacing w:after="80"/>
      </w:pPr>
      <w:r>
        <w:rPr>
          <w:rFonts w:ascii="Calibri" w:hAnsi="Calibri"/>
          <w:color w:val="222222"/>
          <w:sz w:val="21"/>
        </w:rPr>
        <w:t>Observation &amp; Empirical Insight: A consistent upward trend is evident: properties rated Condition 1 exhibit a median price of approximately $260,000, whereas Condition 5 properties achieve a median price of nearly $550,000. Physical maintenance directly impacts buyer valuation and risk assessment.</w:t>
      </w:r>
    </w:p>
    <w:p w14:paraId="4CCABA60" w14:textId="77777777" w:rsidR="00F540D9" w:rsidRDefault="00E66665">
      <w:pPr>
        <w:pStyle w:val="Heading2"/>
        <w:spacing w:before="240" w:after="80"/>
      </w:pPr>
      <w:r>
        <w:rPr>
          <w:rFonts w:ascii="Calibri" w:hAnsi="Calibri"/>
          <w:color w:val="316B9E"/>
          <w:sz w:val="25"/>
        </w:rPr>
        <w:t>8.6 Valuation Impact of Waterfront Proximity</w:t>
      </w:r>
    </w:p>
    <w:p w14:paraId="185CE3FF" w14:textId="77777777" w:rsidR="00F540D9" w:rsidRDefault="00E66665">
      <w:pPr>
        <w:spacing w:after="80"/>
      </w:pPr>
      <w:r>
        <w:rPr>
          <w:rFonts w:ascii="Calibri" w:hAnsi="Calibri"/>
          <w:color w:val="222222"/>
          <w:sz w:val="21"/>
        </w:rPr>
        <w:t>Figure 6 compares price distributions between waterfront properties (waterfront = 1) and inland properties (waterfront = 0).</w:t>
      </w:r>
    </w:p>
    <w:p w14:paraId="3EA36F6D" w14:textId="77777777" w:rsidR="00F540D9" w:rsidRDefault="00E66665">
      <w:pPr>
        <w:keepNext/>
        <w:spacing w:before="160" w:after="40"/>
        <w:jc w:val="center"/>
      </w:pPr>
      <w:r>
        <w:rPr>
          <w:noProof/>
        </w:rPr>
        <w:lastRenderedPageBreak/>
        <w:drawing>
          <wp:inline distT="0" distB="0" distL="0" distR="0" wp14:anchorId="40459FB4" wp14:editId="4A0C891E">
            <wp:extent cx="4937760" cy="37974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ice_vs_waterfront.png"/>
                    <pic:cNvPicPr/>
                  </pic:nvPicPr>
                  <pic:blipFill>
                    <a:blip r:embed="rId13"/>
                    <a:stretch>
                      <a:fillRect/>
                    </a:stretch>
                  </pic:blipFill>
                  <pic:spPr>
                    <a:xfrm>
                      <a:off x="0" y="0"/>
                      <a:ext cx="4937760" cy="3797461"/>
                    </a:xfrm>
                    <a:prstGeom prst="rect">
                      <a:avLst/>
                    </a:prstGeom>
                  </pic:spPr>
                </pic:pic>
              </a:graphicData>
            </a:graphic>
          </wp:inline>
        </w:drawing>
      </w:r>
    </w:p>
    <w:p w14:paraId="1EF66E82" w14:textId="77777777" w:rsidR="00F540D9" w:rsidRDefault="00E66665">
      <w:pPr>
        <w:spacing w:before="40" w:after="160"/>
        <w:jc w:val="center"/>
      </w:pPr>
      <w:r>
        <w:rPr>
          <w:rFonts w:ascii="Calibri" w:hAnsi="Calibri"/>
          <w:b/>
          <w:i/>
          <w:color w:val="316B9E"/>
          <w:sz w:val="19"/>
        </w:rPr>
        <w:t>Figure 6: Box Plot Comparison of Waterfront vs. Non-Waterfront Property Prices</w:t>
      </w:r>
    </w:p>
    <w:p w14:paraId="6EFA36C2" w14:textId="77777777" w:rsidR="00F540D9" w:rsidRDefault="00E66665">
      <w:pPr>
        <w:spacing w:after="80"/>
      </w:pPr>
      <w:r>
        <w:rPr>
          <w:rFonts w:ascii="Calibri" w:hAnsi="Calibri"/>
          <w:color w:val="222222"/>
          <w:sz w:val="21"/>
        </w:rPr>
        <w:t>Observation &amp; Empirical Insight: Waterfront properties command an enormous market premium. The empirical average price for waterfront homes in the dataset is $1,451,621, compared to $545,462 for inland homes—representing a remarkable 166.1% premium. Waterfront proximity is the single most potent binary value multiplier in King County.</w:t>
      </w:r>
    </w:p>
    <w:p w14:paraId="10139FE6" w14:textId="77777777" w:rsidR="00F540D9" w:rsidRDefault="00E66665">
      <w:pPr>
        <w:pStyle w:val="Heading2"/>
        <w:spacing w:before="240" w:after="80"/>
      </w:pPr>
      <w:r>
        <w:rPr>
          <w:rFonts w:ascii="Calibri" w:hAnsi="Calibri"/>
          <w:color w:val="316B9E"/>
          <w:sz w:val="25"/>
        </w:rPr>
        <w:t>8.7 Price Distribution by Number of Floors</w:t>
      </w:r>
    </w:p>
    <w:p w14:paraId="5BE9F1ED" w14:textId="77777777" w:rsidR="00F540D9" w:rsidRDefault="00E66665">
      <w:pPr>
        <w:spacing w:after="80"/>
      </w:pPr>
      <w:r>
        <w:rPr>
          <w:rFonts w:ascii="Calibri" w:hAnsi="Calibri"/>
          <w:color w:val="222222"/>
          <w:sz w:val="21"/>
        </w:rPr>
        <w:t>Figure 7 illustrates median house prices across building floor levels (1.0, 1.5, 2.0, 2.5, 3.0, and 3.5 floors).</w:t>
      </w:r>
    </w:p>
    <w:p w14:paraId="38F2F3DB" w14:textId="77777777" w:rsidR="00F540D9" w:rsidRDefault="00E66665">
      <w:pPr>
        <w:keepNext/>
        <w:spacing w:before="160" w:after="40"/>
        <w:jc w:val="center"/>
      </w:pPr>
      <w:r>
        <w:rPr>
          <w:noProof/>
        </w:rPr>
        <w:lastRenderedPageBreak/>
        <w:drawing>
          <wp:inline distT="0" distB="0" distL="0" distR="0" wp14:anchorId="5DF51DBC" wp14:editId="1F82AD56">
            <wp:extent cx="4937760" cy="3425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ice_vs_floors.png"/>
                    <pic:cNvPicPr/>
                  </pic:nvPicPr>
                  <pic:blipFill>
                    <a:blip r:embed="rId14"/>
                    <a:stretch>
                      <a:fillRect/>
                    </a:stretch>
                  </pic:blipFill>
                  <pic:spPr>
                    <a:xfrm>
                      <a:off x="0" y="0"/>
                      <a:ext cx="4937760" cy="3425810"/>
                    </a:xfrm>
                    <a:prstGeom prst="rect">
                      <a:avLst/>
                    </a:prstGeom>
                  </pic:spPr>
                </pic:pic>
              </a:graphicData>
            </a:graphic>
          </wp:inline>
        </w:drawing>
      </w:r>
    </w:p>
    <w:p w14:paraId="5B81DB78" w14:textId="77777777" w:rsidR="00F540D9" w:rsidRDefault="00E66665">
      <w:pPr>
        <w:spacing w:before="40" w:after="160"/>
        <w:jc w:val="center"/>
      </w:pPr>
      <w:r>
        <w:rPr>
          <w:rFonts w:ascii="Calibri" w:hAnsi="Calibri"/>
          <w:b/>
          <w:i/>
          <w:color w:val="316B9E"/>
          <w:sz w:val="19"/>
        </w:rPr>
        <w:t>Figure 7: Median House Price by Number of Building Floors</w:t>
      </w:r>
    </w:p>
    <w:p w14:paraId="1FCD6C4D" w14:textId="77777777" w:rsidR="00F540D9" w:rsidRDefault="00E66665">
      <w:pPr>
        <w:spacing w:after="80"/>
      </w:pPr>
      <w:r>
        <w:rPr>
          <w:rFonts w:ascii="Calibri" w:hAnsi="Calibri"/>
          <w:color w:val="222222"/>
          <w:sz w:val="21"/>
        </w:rPr>
        <w:t>Observation &amp; Empirical Insight: Multi-story residences (especially 2.5-story and 3.0-story structures) exhibit higher median valuations (approaching $600,000 to $700,000) than traditional single-story ranch homes ($420,000), reflecting greater habitable square footage and vertical luxury architectural designs.</w:t>
      </w:r>
    </w:p>
    <w:p w14:paraId="26C09A6B" w14:textId="77777777" w:rsidR="00F540D9" w:rsidRDefault="00E66665">
      <w:pPr>
        <w:pStyle w:val="Heading2"/>
        <w:spacing w:before="240" w:after="80"/>
      </w:pPr>
      <w:r>
        <w:rPr>
          <w:rFonts w:ascii="Calibri" w:hAnsi="Calibri"/>
          <w:color w:val="316B9E"/>
          <w:sz w:val="25"/>
        </w:rPr>
        <w:t>8.8 Historical Price Trends Across Construction Years</w:t>
      </w:r>
    </w:p>
    <w:p w14:paraId="45F0C98C" w14:textId="77777777" w:rsidR="00F540D9" w:rsidRDefault="00E66665">
      <w:pPr>
        <w:spacing w:after="80"/>
      </w:pPr>
      <w:r>
        <w:rPr>
          <w:rFonts w:ascii="Calibri" w:hAnsi="Calibri"/>
          <w:color w:val="222222"/>
          <w:sz w:val="21"/>
        </w:rPr>
        <w:t>Figure 8 plots median property prices across the original construction year (yr_built), spanning 1900 to 2014.</w:t>
      </w:r>
    </w:p>
    <w:p w14:paraId="4170CF0F" w14:textId="77777777" w:rsidR="00F540D9" w:rsidRDefault="00E66665">
      <w:pPr>
        <w:keepNext/>
        <w:spacing w:before="160" w:after="40"/>
        <w:jc w:val="center"/>
      </w:pPr>
      <w:r>
        <w:rPr>
          <w:noProof/>
        </w:rPr>
        <w:drawing>
          <wp:inline distT="0" distB="0" distL="0" distR="0" wp14:anchorId="73406F44" wp14:editId="09F9784C">
            <wp:extent cx="4937760" cy="2301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ice_vs_yr_built.png"/>
                    <pic:cNvPicPr/>
                  </pic:nvPicPr>
                  <pic:blipFill>
                    <a:blip r:embed="rId15"/>
                    <a:stretch>
                      <a:fillRect/>
                    </a:stretch>
                  </pic:blipFill>
                  <pic:spPr>
                    <a:xfrm>
                      <a:off x="0" y="0"/>
                      <a:ext cx="4937760" cy="2301716"/>
                    </a:xfrm>
                    <a:prstGeom prst="rect">
                      <a:avLst/>
                    </a:prstGeom>
                  </pic:spPr>
                </pic:pic>
              </a:graphicData>
            </a:graphic>
          </wp:inline>
        </w:drawing>
      </w:r>
    </w:p>
    <w:p w14:paraId="1FC44C11" w14:textId="77777777" w:rsidR="00F540D9" w:rsidRDefault="00E66665">
      <w:pPr>
        <w:spacing w:before="40" w:after="160"/>
        <w:jc w:val="center"/>
      </w:pPr>
      <w:r>
        <w:rPr>
          <w:rFonts w:ascii="Calibri" w:hAnsi="Calibri"/>
          <w:b/>
          <w:i/>
          <w:color w:val="316B9E"/>
          <w:sz w:val="19"/>
        </w:rPr>
        <w:t>Figure 8: Median House Price Trajectory Across Year Built (1900–2014)</w:t>
      </w:r>
    </w:p>
    <w:p w14:paraId="48A6E4F1" w14:textId="77777777" w:rsidR="00F540D9" w:rsidRDefault="00E66665">
      <w:pPr>
        <w:spacing w:after="80"/>
      </w:pPr>
      <w:r>
        <w:rPr>
          <w:rFonts w:ascii="Calibri" w:hAnsi="Calibri"/>
          <w:color w:val="222222"/>
          <w:sz w:val="21"/>
        </w:rPr>
        <w:t xml:space="preserve">Observation &amp; Empirical Insight: The relationship between construction year and price is distinctively non-linear (U-shaped). Homes built prior to 1940 command premium prices due to historic craftsman character and prime inner-city locations (e.g., central Seattle). Prices dip for mid-century suburban tract homes built </w:t>
      </w:r>
      <w:r>
        <w:rPr>
          <w:rFonts w:ascii="Calibri" w:hAnsi="Calibri"/>
          <w:color w:val="222222"/>
          <w:sz w:val="21"/>
        </w:rPr>
        <w:lastRenderedPageBreak/>
        <w:t>between 1950 and 1980, before surging dramatically for modern constructions completed after 1995 that feature contemporary amenities and open floor plans.</w:t>
      </w:r>
    </w:p>
    <w:p w14:paraId="45A9D74E" w14:textId="77777777" w:rsidR="00F540D9" w:rsidRDefault="00E66665">
      <w:pPr>
        <w:pStyle w:val="Heading2"/>
        <w:spacing w:before="240" w:after="80"/>
      </w:pPr>
      <w:r>
        <w:rPr>
          <w:rFonts w:ascii="Calibri" w:hAnsi="Calibri"/>
          <w:color w:val="316B9E"/>
          <w:sz w:val="25"/>
        </w:rPr>
        <w:t>8.9 Correlation Heatmap of Numerical Features</w:t>
      </w:r>
    </w:p>
    <w:p w14:paraId="1FB59870" w14:textId="77777777" w:rsidR="00F540D9" w:rsidRDefault="00E66665">
      <w:pPr>
        <w:spacing w:after="80"/>
      </w:pPr>
      <w:r>
        <w:rPr>
          <w:rFonts w:ascii="Calibri" w:hAnsi="Calibri"/>
          <w:color w:val="222222"/>
          <w:sz w:val="21"/>
        </w:rPr>
        <w:t>Figure 9 depicts the masked Pearson correlation matrix across all numerical attributes in the cleaned dataset.</w:t>
      </w:r>
    </w:p>
    <w:p w14:paraId="14A5D702" w14:textId="77777777" w:rsidR="00F540D9" w:rsidRDefault="00E66665">
      <w:pPr>
        <w:keepNext/>
        <w:spacing w:before="160" w:after="40"/>
        <w:jc w:val="center"/>
      </w:pPr>
      <w:r>
        <w:rPr>
          <w:noProof/>
        </w:rPr>
        <w:drawing>
          <wp:inline distT="0" distB="0" distL="0" distR="0" wp14:anchorId="4288A100" wp14:editId="0E9548FB">
            <wp:extent cx="4937760" cy="41314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rrelation_heatmap.png"/>
                    <pic:cNvPicPr/>
                  </pic:nvPicPr>
                  <pic:blipFill>
                    <a:blip r:embed="rId16"/>
                    <a:stretch>
                      <a:fillRect/>
                    </a:stretch>
                  </pic:blipFill>
                  <pic:spPr>
                    <a:xfrm>
                      <a:off x="0" y="0"/>
                      <a:ext cx="4937760" cy="4131416"/>
                    </a:xfrm>
                    <a:prstGeom prst="rect">
                      <a:avLst/>
                    </a:prstGeom>
                  </pic:spPr>
                </pic:pic>
              </a:graphicData>
            </a:graphic>
          </wp:inline>
        </w:drawing>
      </w:r>
    </w:p>
    <w:p w14:paraId="393624CB" w14:textId="77777777" w:rsidR="00F540D9" w:rsidRDefault="00E66665">
      <w:pPr>
        <w:spacing w:before="40" w:after="160"/>
        <w:jc w:val="center"/>
      </w:pPr>
      <w:r>
        <w:rPr>
          <w:rFonts w:ascii="Calibri" w:hAnsi="Calibri"/>
          <w:b/>
          <w:i/>
          <w:color w:val="316B9E"/>
          <w:sz w:val="19"/>
        </w:rPr>
        <w:t>Figure 9: Masked Pearson Correlation Heatmap Across Numerical Features</w:t>
      </w:r>
    </w:p>
    <w:p w14:paraId="6D2E5B02" w14:textId="77777777" w:rsidR="00F540D9" w:rsidRDefault="00E66665">
      <w:pPr>
        <w:spacing w:after="80"/>
      </w:pPr>
      <w:r>
        <w:rPr>
          <w:rFonts w:ascii="Calibri" w:hAnsi="Calibri"/>
          <w:color w:val="222222"/>
          <w:sz w:val="21"/>
        </w:rPr>
        <w:t>Observation &amp; Empirical Insight: Interior living space metrics exhibit the strongest positive correlations with price: total_sqft (r = 0.66), sqft_living (r = 0.66), and sqft_above (r = 0.58). Bathrooms (r = 0.51), view (r = 0.33), and bedrooms (r = 0.33) also display notable positive correlations. In addition, high collinearity is observed between sqft_living and sqft_above (r = 0.88), reinforcing the importance of using regularized tree algorithms capable of handling collinear predictors.</w:t>
      </w:r>
    </w:p>
    <w:p w14:paraId="26663EB5" w14:textId="77777777" w:rsidR="00F540D9" w:rsidRDefault="00E66665">
      <w:pPr>
        <w:pStyle w:val="Heading2"/>
        <w:spacing w:before="240" w:after="80"/>
      </w:pPr>
      <w:r>
        <w:rPr>
          <w:rFonts w:ascii="Calibri" w:hAnsi="Calibri"/>
          <w:color w:val="316B9E"/>
          <w:sz w:val="25"/>
        </w:rPr>
        <w:t>8.10 Geographic Valuation: Top 20 Cities by Median Price</w:t>
      </w:r>
    </w:p>
    <w:p w14:paraId="3B807DA5" w14:textId="77777777" w:rsidR="00F540D9" w:rsidRDefault="00E66665">
      <w:pPr>
        <w:spacing w:after="80"/>
      </w:pPr>
      <w:r>
        <w:rPr>
          <w:rFonts w:ascii="Calibri" w:hAnsi="Calibri"/>
          <w:color w:val="222222"/>
          <w:sz w:val="21"/>
        </w:rPr>
        <w:t>Figure 10 ranks the top 20 municipalities in King County by median house price.</w:t>
      </w:r>
    </w:p>
    <w:p w14:paraId="4B60FF41" w14:textId="77777777" w:rsidR="00F540D9" w:rsidRDefault="00E66665">
      <w:pPr>
        <w:keepNext/>
        <w:spacing w:before="160" w:after="40"/>
        <w:jc w:val="center"/>
      </w:pPr>
      <w:r>
        <w:rPr>
          <w:noProof/>
        </w:rPr>
        <w:lastRenderedPageBreak/>
        <w:drawing>
          <wp:inline distT="0" distB="0" distL="0" distR="0" wp14:anchorId="101D7FB5" wp14:editId="56B8F0E9">
            <wp:extent cx="4937760" cy="26178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p_cities_by_price.png"/>
                    <pic:cNvPicPr/>
                  </pic:nvPicPr>
                  <pic:blipFill>
                    <a:blip r:embed="rId17"/>
                    <a:stretch>
                      <a:fillRect/>
                    </a:stretch>
                  </pic:blipFill>
                  <pic:spPr>
                    <a:xfrm>
                      <a:off x="0" y="0"/>
                      <a:ext cx="4937760" cy="2617878"/>
                    </a:xfrm>
                    <a:prstGeom prst="rect">
                      <a:avLst/>
                    </a:prstGeom>
                  </pic:spPr>
                </pic:pic>
              </a:graphicData>
            </a:graphic>
          </wp:inline>
        </w:drawing>
      </w:r>
    </w:p>
    <w:p w14:paraId="632D320F" w14:textId="77777777" w:rsidR="00F540D9" w:rsidRDefault="00E66665">
      <w:pPr>
        <w:spacing w:before="40" w:after="160"/>
        <w:jc w:val="center"/>
      </w:pPr>
      <w:r>
        <w:rPr>
          <w:rFonts w:ascii="Calibri" w:hAnsi="Calibri"/>
          <w:b/>
          <w:i/>
          <w:color w:val="316B9E"/>
          <w:sz w:val="19"/>
        </w:rPr>
        <w:t>Figure 10: Top 20 Municipalities in King County Ranked by Median House Price</w:t>
      </w:r>
    </w:p>
    <w:p w14:paraId="57E6544C" w14:textId="77777777" w:rsidR="00F540D9" w:rsidRDefault="00E66665">
      <w:pPr>
        <w:spacing w:after="80"/>
      </w:pPr>
      <w:r>
        <w:rPr>
          <w:rFonts w:ascii="Calibri" w:hAnsi="Calibri"/>
          <w:color w:val="222222"/>
          <w:sz w:val="21"/>
        </w:rPr>
        <w:t>Observation &amp; Empirical Insight: Location drives massive price divergence. Ultra-exclusive enclaves—Medina (median price exceeding $1.9M), Clyde Hill ($1.3M), Yarrow Point ($1.2M), and Mercer Island ($1.0M)—dwarf suburban and rural communities like Algona ($207,000) and Auburn ($245,000). This confirmed that municipal encoding is essential for predictive accuracy.</w:t>
      </w:r>
    </w:p>
    <w:p w14:paraId="3A3CC233" w14:textId="77777777" w:rsidR="00F540D9" w:rsidRDefault="00E66665">
      <w:r>
        <w:br w:type="page"/>
      </w:r>
    </w:p>
    <w:p w14:paraId="47F2E928" w14:textId="77777777" w:rsidR="00F540D9" w:rsidRDefault="00E66665">
      <w:pPr>
        <w:pStyle w:val="Heading1"/>
        <w:spacing w:before="320" w:after="120"/>
      </w:pPr>
      <w:r>
        <w:rPr>
          <w:rFonts w:ascii="Calibri" w:hAnsi="Calibri"/>
          <w:color w:val="1B365D"/>
          <w:sz w:val="30"/>
        </w:rPr>
        <w:lastRenderedPageBreak/>
        <w:t>9. Feature Engineering</w:t>
      </w:r>
    </w:p>
    <w:p w14:paraId="4CE77A13" w14:textId="77777777" w:rsidR="00F540D9" w:rsidRDefault="00E66665">
      <w:pPr>
        <w:spacing w:after="80"/>
      </w:pPr>
      <w:r>
        <w:rPr>
          <w:rFonts w:ascii="Calibri" w:hAnsi="Calibri"/>
          <w:color w:val="222222"/>
          <w:sz w:val="21"/>
        </w:rPr>
        <w:t>Feature engineering represents the critical process of transforming raw domain variables into informative mathematical representations that maximize the predictive capacity of regression algorithms. Within src/data_cleaning.py, 10 domain features were derived, bringing the total modeled predictor feature set to 22 columns.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016"/>
        <w:gridCol w:w="3168"/>
        <w:gridCol w:w="4176"/>
      </w:tblGrid>
      <w:tr w:rsidR="00F540D9" w14:paraId="2C7DDE06" w14:textId="77777777">
        <w:trPr>
          <w:jc w:val="center"/>
        </w:trPr>
        <w:tc>
          <w:tcPr>
            <w:tcW w:w="2016" w:type="dxa"/>
            <w:shd w:val="clear" w:color="auto" w:fill="1B365D"/>
            <w:tcMar>
              <w:top w:w="140" w:type="dxa"/>
              <w:left w:w="160" w:type="dxa"/>
              <w:bottom w:w="140" w:type="dxa"/>
              <w:right w:w="160" w:type="dxa"/>
            </w:tcMar>
          </w:tcPr>
          <w:p w14:paraId="6742FCDF" w14:textId="77777777" w:rsidR="00F540D9" w:rsidRDefault="00E66665">
            <w:pPr>
              <w:spacing w:after="0"/>
            </w:pPr>
            <w:r>
              <w:rPr>
                <w:rFonts w:ascii="Calibri" w:hAnsi="Calibri"/>
                <w:b/>
                <w:color w:val="FFFFFF"/>
                <w:sz w:val="19"/>
              </w:rPr>
              <w:t>Engineered Feature</w:t>
            </w:r>
          </w:p>
        </w:tc>
        <w:tc>
          <w:tcPr>
            <w:tcW w:w="3168" w:type="dxa"/>
            <w:shd w:val="clear" w:color="auto" w:fill="1B365D"/>
            <w:tcMar>
              <w:top w:w="140" w:type="dxa"/>
              <w:left w:w="160" w:type="dxa"/>
              <w:bottom w:w="140" w:type="dxa"/>
              <w:right w:w="160" w:type="dxa"/>
            </w:tcMar>
          </w:tcPr>
          <w:p w14:paraId="0FEBEC47" w14:textId="77777777" w:rsidR="00F540D9" w:rsidRDefault="00E66665">
            <w:pPr>
              <w:spacing w:after="0"/>
            </w:pPr>
            <w:r>
              <w:rPr>
                <w:rFonts w:ascii="Calibri" w:hAnsi="Calibri"/>
                <w:b/>
                <w:color w:val="FFFFFF"/>
                <w:sz w:val="19"/>
              </w:rPr>
              <w:t>Mathematical Logic</w:t>
            </w:r>
          </w:p>
        </w:tc>
        <w:tc>
          <w:tcPr>
            <w:tcW w:w="4176" w:type="dxa"/>
            <w:shd w:val="clear" w:color="auto" w:fill="1B365D"/>
            <w:tcMar>
              <w:top w:w="140" w:type="dxa"/>
              <w:left w:w="160" w:type="dxa"/>
              <w:bottom w:w="140" w:type="dxa"/>
              <w:right w:w="160" w:type="dxa"/>
            </w:tcMar>
          </w:tcPr>
          <w:p w14:paraId="68D41D88" w14:textId="77777777" w:rsidR="00F540D9" w:rsidRDefault="00E66665">
            <w:pPr>
              <w:spacing w:after="0"/>
            </w:pPr>
            <w:r>
              <w:rPr>
                <w:rFonts w:ascii="Calibri" w:hAnsi="Calibri"/>
                <w:b/>
                <w:color w:val="FFFFFF"/>
                <w:sz w:val="19"/>
              </w:rPr>
              <w:t>Domain &amp; Predictive Rationale</w:t>
            </w:r>
          </w:p>
        </w:tc>
      </w:tr>
      <w:tr w:rsidR="00F540D9" w14:paraId="047B2604" w14:textId="77777777">
        <w:trPr>
          <w:jc w:val="center"/>
        </w:trPr>
        <w:tc>
          <w:tcPr>
            <w:tcW w:w="2016" w:type="dxa"/>
            <w:shd w:val="clear" w:color="auto" w:fill="FFFFFF"/>
            <w:tcMar>
              <w:top w:w="100" w:type="dxa"/>
              <w:left w:w="160" w:type="dxa"/>
              <w:bottom w:w="100" w:type="dxa"/>
              <w:right w:w="160" w:type="dxa"/>
            </w:tcMar>
          </w:tcPr>
          <w:p w14:paraId="73BB4A11" w14:textId="77777777" w:rsidR="00F540D9" w:rsidRDefault="00E66665">
            <w:pPr>
              <w:spacing w:after="0" w:line="264" w:lineRule="auto"/>
            </w:pPr>
            <w:r>
              <w:rPr>
                <w:rFonts w:ascii="Calibri" w:hAnsi="Calibri"/>
                <w:color w:val="222222"/>
                <w:sz w:val="19"/>
              </w:rPr>
              <w:t>house_age</w:t>
            </w:r>
          </w:p>
        </w:tc>
        <w:tc>
          <w:tcPr>
            <w:tcW w:w="3168" w:type="dxa"/>
            <w:shd w:val="clear" w:color="auto" w:fill="FFFFFF"/>
            <w:tcMar>
              <w:top w:w="100" w:type="dxa"/>
              <w:left w:w="160" w:type="dxa"/>
              <w:bottom w:w="100" w:type="dxa"/>
              <w:right w:w="160" w:type="dxa"/>
            </w:tcMar>
          </w:tcPr>
          <w:p w14:paraId="73156FB9" w14:textId="77777777" w:rsidR="00F540D9" w:rsidRDefault="00E66665">
            <w:pPr>
              <w:spacing w:after="0" w:line="264" w:lineRule="auto"/>
            </w:pPr>
            <w:r>
              <w:rPr>
                <w:rFonts w:ascii="Calibri" w:hAnsi="Calibri"/>
                <w:color w:val="222222"/>
                <w:sz w:val="19"/>
              </w:rPr>
              <w:t>sale_year - yr_built (clipped &gt;= 0)</w:t>
            </w:r>
          </w:p>
        </w:tc>
        <w:tc>
          <w:tcPr>
            <w:tcW w:w="4176" w:type="dxa"/>
            <w:shd w:val="clear" w:color="auto" w:fill="FFFFFF"/>
            <w:tcMar>
              <w:top w:w="100" w:type="dxa"/>
              <w:left w:w="160" w:type="dxa"/>
              <w:bottom w:w="100" w:type="dxa"/>
              <w:right w:w="160" w:type="dxa"/>
            </w:tcMar>
          </w:tcPr>
          <w:p w14:paraId="186C0EA9" w14:textId="77777777" w:rsidR="00F540D9" w:rsidRDefault="00E66665">
            <w:pPr>
              <w:spacing w:after="0" w:line="264" w:lineRule="auto"/>
            </w:pPr>
            <w:r>
              <w:rPr>
                <w:rFonts w:ascii="Calibri" w:hAnsi="Calibri"/>
                <w:color w:val="222222"/>
                <w:sz w:val="19"/>
              </w:rPr>
              <w:t>Measures chronological building age at the time of sale. Isolates physical depreciation and vintage character far more effectively than an absolute calendar year.</w:t>
            </w:r>
          </w:p>
        </w:tc>
      </w:tr>
      <w:tr w:rsidR="00F540D9" w14:paraId="6D7B3CC5" w14:textId="77777777">
        <w:trPr>
          <w:jc w:val="center"/>
        </w:trPr>
        <w:tc>
          <w:tcPr>
            <w:tcW w:w="2016" w:type="dxa"/>
            <w:shd w:val="clear" w:color="auto" w:fill="F4F7FA"/>
            <w:tcMar>
              <w:top w:w="100" w:type="dxa"/>
              <w:left w:w="160" w:type="dxa"/>
              <w:bottom w:w="100" w:type="dxa"/>
              <w:right w:w="160" w:type="dxa"/>
            </w:tcMar>
          </w:tcPr>
          <w:p w14:paraId="036E18E9" w14:textId="77777777" w:rsidR="00F540D9" w:rsidRDefault="00E66665">
            <w:pPr>
              <w:spacing w:after="0" w:line="264" w:lineRule="auto"/>
            </w:pPr>
            <w:r>
              <w:rPr>
                <w:rFonts w:ascii="Calibri" w:hAnsi="Calibri"/>
                <w:color w:val="222222"/>
                <w:sz w:val="19"/>
              </w:rPr>
              <w:t>was_renovated</w:t>
            </w:r>
          </w:p>
        </w:tc>
        <w:tc>
          <w:tcPr>
            <w:tcW w:w="3168" w:type="dxa"/>
            <w:shd w:val="clear" w:color="auto" w:fill="F4F7FA"/>
            <w:tcMar>
              <w:top w:w="100" w:type="dxa"/>
              <w:left w:w="160" w:type="dxa"/>
              <w:bottom w:w="100" w:type="dxa"/>
              <w:right w:w="160" w:type="dxa"/>
            </w:tcMar>
          </w:tcPr>
          <w:p w14:paraId="31BE51A0" w14:textId="77777777" w:rsidR="00F540D9" w:rsidRDefault="00E66665">
            <w:pPr>
              <w:spacing w:after="0" w:line="264" w:lineRule="auto"/>
            </w:pPr>
            <w:r>
              <w:rPr>
                <w:rFonts w:ascii="Calibri" w:hAnsi="Calibri"/>
                <w:color w:val="222222"/>
                <w:sz w:val="19"/>
              </w:rPr>
              <w:t>1 if yr_renovated &gt; 0 else 0</w:t>
            </w:r>
          </w:p>
        </w:tc>
        <w:tc>
          <w:tcPr>
            <w:tcW w:w="4176" w:type="dxa"/>
            <w:shd w:val="clear" w:color="auto" w:fill="F4F7FA"/>
            <w:tcMar>
              <w:top w:w="100" w:type="dxa"/>
              <w:left w:w="160" w:type="dxa"/>
              <w:bottom w:w="100" w:type="dxa"/>
              <w:right w:w="160" w:type="dxa"/>
            </w:tcMar>
          </w:tcPr>
          <w:p w14:paraId="6D4E3CB1" w14:textId="77777777" w:rsidR="00F540D9" w:rsidRDefault="00E66665">
            <w:pPr>
              <w:spacing w:after="0" w:line="264" w:lineRule="auto"/>
            </w:pPr>
            <w:r>
              <w:rPr>
                <w:rFonts w:ascii="Calibri" w:hAnsi="Calibri"/>
                <w:color w:val="222222"/>
                <w:sz w:val="19"/>
              </w:rPr>
              <w:t>Binary indicator cleanly isolating modern updated homes from unrenovated original structures.</w:t>
            </w:r>
          </w:p>
        </w:tc>
      </w:tr>
      <w:tr w:rsidR="00F540D9" w14:paraId="3833521A" w14:textId="77777777">
        <w:trPr>
          <w:jc w:val="center"/>
        </w:trPr>
        <w:tc>
          <w:tcPr>
            <w:tcW w:w="2016" w:type="dxa"/>
            <w:shd w:val="clear" w:color="auto" w:fill="FFFFFF"/>
            <w:tcMar>
              <w:top w:w="100" w:type="dxa"/>
              <w:left w:w="160" w:type="dxa"/>
              <w:bottom w:w="100" w:type="dxa"/>
              <w:right w:w="160" w:type="dxa"/>
            </w:tcMar>
          </w:tcPr>
          <w:p w14:paraId="2BD7561E" w14:textId="77777777" w:rsidR="00F540D9" w:rsidRDefault="00E66665">
            <w:pPr>
              <w:spacing w:after="0" w:line="264" w:lineRule="auto"/>
            </w:pPr>
            <w:r>
              <w:rPr>
                <w:rFonts w:ascii="Calibri" w:hAnsi="Calibri"/>
                <w:color w:val="222222"/>
                <w:sz w:val="19"/>
              </w:rPr>
              <w:t>renovation_age</w:t>
            </w:r>
          </w:p>
        </w:tc>
        <w:tc>
          <w:tcPr>
            <w:tcW w:w="3168" w:type="dxa"/>
            <w:shd w:val="clear" w:color="auto" w:fill="FFFFFF"/>
            <w:tcMar>
              <w:top w:w="100" w:type="dxa"/>
              <w:left w:w="160" w:type="dxa"/>
              <w:bottom w:w="100" w:type="dxa"/>
              <w:right w:w="160" w:type="dxa"/>
            </w:tcMar>
          </w:tcPr>
          <w:p w14:paraId="7F0F7CCF" w14:textId="77777777" w:rsidR="00F540D9" w:rsidRDefault="00E66665">
            <w:pPr>
              <w:spacing w:after="0" w:line="264" w:lineRule="auto"/>
            </w:pPr>
            <w:r>
              <w:rPr>
                <w:rFonts w:ascii="Calibri" w:hAnsi="Calibri"/>
                <w:color w:val="222222"/>
                <w:sz w:val="19"/>
              </w:rPr>
              <w:t>(sale_year - yr_renovated) if yr_renovated &gt; 0 else 0</w:t>
            </w:r>
          </w:p>
        </w:tc>
        <w:tc>
          <w:tcPr>
            <w:tcW w:w="4176" w:type="dxa"/>
            <w:shd w:val="clear" w:color="auto" w:fill="FFFFFF"/>
            <w:tcMar>
              <w:top w:w="100" w:type="dxa"/>
              <w:left w:w="160" w:type="dxa"/>
              <w:bottom w:w="100" w:type="dxa"/>
              <w:right w:w="160" w:type="dxa"/>
            </w:tcMar>
          </w:tcPr>
          <w:p w14:paraId="10340F15" w14:textId="77777777" w:rsidR="00F540D9" w:rsidRDefault="00E66665">
            <w:pPr>
              <w:spacing w:after="0" w:line="264" w:lineRule="auto"/>
            </w:pPr>
            <w:r>
              <w:rPr>
                <w:rFonts w:ascii="Calibri" w:hAnsi="Calibri"/>
                <w:color w:val="222222"/>
                <w:sz w:val="19"/>
              </w:rPr>
              <w:t>Quantifies the recency of modernization. Distinguishes a home renovated 2 years prior from one renovated 30 years prior.</w:t>
            </w:r>
          </w:p>
        </w:tc>
      </w:tr>
      <w:tr w:rsidR="00F540D9" w14:paraId="50F79B42" w14:textId="77777777">
        <w:trPr>
          <w:jc w:val="center"/>
        </w:trPr>
        <w:tc>
          <w:tcPr>
            <w:tcW w:w="2016" w:type="dxa"/>
            <w:shd w:val="clear" w:color="auto" w:fill="F4F7FA"/>
            <w:tcMar>
              <w:top w:w="100" w:type="dxa"/>
              <w:left w:w="160" w:type="dxa"/>
              <w:bottom w:w="100" w:type="dxa"/>
              <w:right w:w="160" w:type="dxa"/>
            </w:tcMar>
          </w:tcPr>
          <w:p w14:paraId="23E16F23" w14:textId="77777777" w:rsidR="00F540D9" w:rsidRDefault="00E66665">
            <w:pPr>
              <w:spacing w:after="0" w:line="264" w:lineRule="auto"/>
            </w:pPr>
            <w:r>
              <w:rPr>
                <w:rFonts w:ascii="Calibri" w:hAnsi="Calibri"/>
                <w:color w:val="222222"/>
                <w:sz w:val="19"/>
              </w:rPr>
              <w:t>total_sqft</w:t>
            </w:r>
          </w:p>
        </w:tc>
        <w:tc>
          <w:tcPr>
            <w:tcW w:w="3168" w:type="dxa"/>
            <w:shd w:val="clear" w:color="auto" w:fill="F4F7FA"/>
            <w:tcMar>
              <w:top w:w="100" w:type="dxa"/>
              <w:left w:w="160" w:type="dxa"/>
              <w:bottom w:w="100" w:type="dxa"/>
              <w:right w:w="160" w:type="dxa"/>
            </w:tcMar>
          </w:tcPr>
          <w:p w14:paraId="1A715454" w14:textId="77777777" w:rsidR="00F540D9" w:rsidRDefault="00E66665">
            <w:pPr>
              <w:spacing w:after="0" w:line="264" w:lineRule="auto"/>
            </w:pPr>
            <w:r>
              <w:rPr>
                <w:rFonts w:ascii="Calibri" w:hAnsi="Calibri"/>
                <w:color w:val="222222"/>
                <w:sz w:val="19"/>
              </w:rPr>
              <w:t>sqft_above + sqft_basement</w:t>
            </w:r>
          </w:p>
        </w:tc>
        <w:tc>
          <w:tcPr>
            <w:tcW w:w="4176" w:type="dxa"/>
            <w:shd w:val="clear" w:color="auto" w:fill="F4F7FA"/>
            <w:tcMar>
              <w:top w:w="100" w:type="dxa"/>
              <w:left w:w="160" w:type="dxa"/>
              <w:bottom w:w="100" w:type="dxa"/>
              <w:right w:w="160" w:type="dxa"/>
            </w:tcMar>
          </w:tcPr>
          <w:p w14:paraId="08BCE05A" w14:textId="77777777" w:rsidR="00F540D9" w:rsidRDefault="00E66665">
            <w:pPr>
              <w:spacing w:after="0" w:line="264" w:lineRule="auto"/>
            </w:pPr>
            <w:r>
              <w:rPr>
                <w:rFonts w:ascii="Calibri" w:hAnsi="Calibri"/>
                <w:color w:val="222222"/>
                <w:sz w:val="19"/>
              </w:rPr>
              <w:t>Aggregates total enclosed interior living area across all vertical planes, combining subterranean and above-grade space into a unified volumetric metric.</w:t>
            </w:r>
          </w:p>
        </w:tc>
      </w:tr>
      <w:tr w:rsidR="00F540D9" w14:paraId="65EF393B" w14:textId="77777777">
        <w:trPr>
          <w:jc w:val="center"/>
        </w:trPr>
        <w:tc>
          <w:tcPr>
            <w:tcW w:w="2016" w:type="dxa"/>
            <w:shd w:val="clear" w:color="auto" w:fill="FFFFFF"/>
            <w:tcMar>
              <w:top w:w="100" w:type="dxa"/>
              <w:left w:w="160" w:type="dxa"/>
              <w:bottom w:w="100" w:type="dxa"/>
              <w:right w:w="160" w:type="dxa"/>
            </w:tcMar>
          </w:tcPr>
          <w:p w14:paraId="460C2684" w14:textId="77777777" w:rsidR="00F540D9" w:rsidRDefault="00E66665">
            <w:pPr>
              <w:spacing w:after="0" w:line="264" w:lineRule="auto"/>
            </w:pPr>
            <w:r>
              <w:rPr>
                <w:rFonts w:ascii="Calibri" w:hAnsi="Calibri"/>
                <w:color w:val="222222"/>
                <w:sz w:val="19"/>
              </w:rPr>
              <w:t>living_to_lot</w:t>
            </w:r>
          </w:p>
        </w:tc>
        <w:tc>
          <w:tcPr>
            <w:tcW w:w="3168" w:type="dxa"/>
            <w:shd w:val="clear" w:color="auto" w:fill="FFFFFF"/>
            <w:tcMar>
              <w:top w:w="100" w:type="dxa"/>
              <w:left w:w="160" w:type="dxa"/>
              <w:bottom w:w="100" w:type="dxa"/>
              <w:right w:w="160" w:type="dxa"/>
            </w:tcMar>
          </w:tcPr>
          <w:p w14:paraId="5B2E733D" w14:textId="77777777" w:rsidR="00F540D9" w:rsidRDefault="00E66665">
            <w:pPr>
              <w:spacing w:after="0" w:line="264" w:lineRule="auto"/>
            </w:pPr>
            <w:r>
              <w:rPr>
                <w:rFonts w:ascii="Calibri" w:hAnsi="Calibri"/>
                <w:color w:val="222222"/>
                <w:sz w:val="19"/>
              </w:rPr>
              <w:t>sqft_living / (sqft_lot + 1)</w:t>
            </w:r>
          </w:p>
        </w:tc>
        <w:tc>
          <w:tcPr>
            <w:tcW w:w="4176" w:type="dxa"/>
            <w:shd w:val="clear" w:color="auto" w:fill="FFFFFF"/>
            <w:tcMar>
              <w:top w:w="100" w:type="dxa"/>
              <w:left w:w="160" w:type="dxa"/>
              <w:bottom w:w="100" w:type="dxa"/>
              <w:right w:w="160" w:type="dxa"/>
            </w:tcMar>
          </w:tcPr>
          <w:p w14:paraId="2007CA79" w14:textId="77777777" w:rsidR="00F540D9" w:rsidRDefault="00E66665">
            <w:pPr>
              <w:spacing w:after="0" w:line="264" w:lineRule="auto"/>
            </w:pPr>
            <w:r>
              <w:rPr>
                <w:rFonts w:ascii="Calibri" w:hAnsi="Calibri"/>
                <w:color w:val="222222"/>
                <w:sz w:val="19"/>
              </w:rPr>
              <w:t>Structural footprint density ratio. Differentiates compact urban dwellings occupying high proportions of their lot from expansive suburban properties with vast yard space.</w:t>
            </w:r>
          </w:p>
        </w:tc>
      </w:tr>
      <w:tr w:rsidR="00F540D9" w14:paraId="44626A2D" w14:textId="77777777">
        <w:trPr>
          <w:jc w:val="center"/>
        </w:trPr>
        <w:tc>
          <w:tcPr>
            <w:tcW w:w="2016" w:type="dxa"/>
            <w:shd w:val="clear" w:color="auto" w:fill="F4F7FA"/>
            <w:tcMar>
              <w:top w:w="100" w:type="dxa"/>
              <w:left w:w="160" w:type="dxa"/>
              <w:bottom w:w="100" w:type="dxa"/>
              <w:right w:w="160" w:type="dxa"/>
            </w:tcMar>
          </w:tcPr>
          <w:p w14:paraId="25736BE5" w14:textId="77777777" w:rsidR="00F540D9" w:rsidRDefault="00E66665">
            <w:pPr>
              <w:spacing w:after="0" w:line="264" w:lineRule="auto"/>
            </w:pPr>
            <w:r>
              <w:rPr>
                <w:rFonts w:ascii="Calibri" w:hAnsi="Calibri"/>
                <w:color w:val="222222"/>
                <w:sz w:val="19"/>
              </w:rPr>
              <w:t>has_basement</w:t>
            </w:r>
          </w:p>
        </w:tc>
        <w:tc>
          <w:tcPr>
            <w:tcW w:w="3168" w:type="dxa"/>
            <w:shd w:val="clear" w:color="auto" w:fill="F4F7FA"/>
            <w:tcMar>
              <w:top w:w="100" w:type="dxa"/>
              <w:left w:w="160" w:type="dxa"/>
              <w:bottom w:w="100" w:type="dxa"/>
              <w:right w:w="160" w:type="dxa"/>
            </w:tcMar>
          </w:tcPr>
          <w:p w14:paraId="57FEF367" w14:textId="77777777" w:rsidR="00F540D9" w:rsidRDefault="00E66665">
            <w:pPr>
              <w:spacing w:after="0" w:line="264" w:lineRule="auto"/>
            </w:pPr>
            <w:r>
              <w:rPr>
                <w:rFonts w:ascii="Calibri" w:hAnsi="Calibri"/>
                <w:color w:val="222222"/>
                <w:sz w:val="19"/>
              </w:rPr>
              <w:t>1 if sqft_basement &gt; 0 else 0</w:t>
            </w:r>
          </w:p>
        </w:tc>
        <w:tc>
          <w:tcPr>
            <w:tcW w:w="4176" w:type="dxa"/>
            <w:shd w:val="clear" w:color="auto" w:fill="F4F7FA"/>
            <w:tcMar>
              <w:top w:w="100" w:type="dxa"/>
              <w:left w:w="160" w:type="dxa"/>
              <w:bottom w:w="100" w:type="dxa"/>
              <w:right w:w="160" w:type="dxa"/>
            </w:tcMar>
          </w:tcPr>
          <w:p w14:paraId="6ACC8DA2" w14:textId="77777777" w:rsidR="00F540D9" w:rsidRDefault="00E66665">
            <w:pPr>
              <w:spacing w:after="0" w:line="264" w:lineRule="auto"/>
            </w:pPr>
            <w:r>
              <w:rPr>
                <w:rFonts w:ascii="Calibri" w:hAnsi="Calibri"/>
                <w:color w:val="222222"/>
                <w:sz w:val="19"/>
              </w:rPr>
              <w:t>Binary architectural flag distinguishing properties with subterranean living space from slab/crawlspace foundations.</w:t>
            </w:r>
          </w:p>
        </w:tc>
      </w:tr>
      <w:tr w:rsidR="00F540D9" w14:paraId="62DB2495" w14:textId="77777777">
        <w:trPr>
          <w:jc w:val="center"/>
        </w:trPr>
        <w:tc>
          <w:tcPr>
            <w:tcW w:w="2016" w:type="dxa"/>
            <w:shd w:val="clear" w:color="auto" w:fill="FFFFFF"/>
            <w:tcMar>
              <w:top w:w="100" w:type="dxa"/>
              <w:left w:w="160" w:type="dxa"/>
              <w:bottom w:w="100" w:type="dxa"/>
              <w:right w:w="160" w:type="dxa"/>
            </w:tcMar>
          </w:tcPr>
          <w:p w14:paraId="0E901099" w14:textId="77777777" w:rsidR="00F540D9" w:rsidRDefault="00E66665">
            <w:pPr>
              <w:spacing w:after="0" w:line="264" w:lineRule="auto"/>
            </w:pPr>
            <w:r>
              <w:rPr>
                <w:rFonts w:ascii="Calibri" w:hAnsi="Calibri"/>
                <w:color w:val="222222"/>
                <w:sz w:val="19"/>
              </w:rPr>
              <w:t>sale_year</w:t>
            </w:r>
          </w:p>
        </w:tc>
        <w:tc>
          <w:tcPr>
            <w:tcW w:w="3168" w:type="dxa"/>
            <w:shd w:val="clear" w:color="auto" w:fill="FFFFFF"/>
            <w:tcMar>
              <w:top w:w="100" w:type="dxa"/>
              <w:left w:w="160" w:type="dxa"/>
              <w:bottom w:w="100" w:type="dxa"/>
              <w:right w:w="160" w:type="dxa"/>
            </w:tcMar>
          </w:tcPr>
          <w:p w14:paraId="47D985AA" w14:textId="77777777" w:rsidR="00F540D9" w:rsidRDefault="00E66665">
            <w:pPr>
              <w:spacing w:after="0" w:line="264" w:lineRule="auto"/>
            </w:pPr>
            <w:r>
              <w:rPr>
                <w:rFonts w:ascii="Calibri" w:hAnsi="Calibri"/>
                <w:color w:val="222222"/>
                <w:sz w:val="19"/>
              </w:rPr>
              <w:t>date.dt.year</w:t>
            </w:r>
          </w:p>
        </w:tc>
        <w:tc>
          <w:tcPr>
            <w:tcW w:w="4176" w:type="dxa"/>
            <w:shd w:val="clear" w:color="auto" w:fill="FFFFFF"/>
            <w:tcMar>
              <w:top w:w="100" w:type="dxa"/>
              <w:left w:w="160" w:type="dxa"/>
              <w:bottom w:w="100" w:type="dxa"/>
              <w:right w:w="160" w:type="dxa"/>
            </w:tcMar>
          </w:tcPr>
          <w:p w14:paraId="7EE99A8E" w14:textId="77777777" w:rsidR="00F540D9" w:rsidRDefault="00E66665">
            <w:pPr>
              <w:spacing w:after="0" w:line="264" w:lineRule="auto"/>
            </w:pPr>
            <w:r>
              <w:rPr>
                <w:rFonts w:ascii="Calibri" w:hAnsi="Calibri"/>
                <w:color w:val="222222"/>
                <w:sz w:val="19"/>
              </w:rPr>
              <w:t>Captures macroeconomic and annual real estate market cycles.</w:t>
            </w:r>
          </w:p>
        </w:tc>
      </w:tr>
      <w:tr w:rsidR="00F540D9" w14:paraId="4400AD43" w14:textId="77777777">
        <w:trPr>
          <w:jc w:val="center"/>
        </w:trPr>
        <w:tc>
          <w:tcPr>
            <w:tcW w:w="2016" w:type="dxa"/>
            <w:shd w:val="clear" w:color="auto" w:fill="F4F7FA"/>
            <w:tcMar>
              <w:top w:w="100" w:type="dxa"/>
              <w:left w:w="160" w:type="dxa"/>
              <w:bottom w:w="100" w:type="dxa"/>
              <w:right w:w="160" w:type="dxa"/>
            </w:tcMar>
          </w:tcPr>
          <w:p w14:paraId="0C1750A8" w14:textId="77777777" w:rsidR="00F540D9" w:rsidRDefault="00E66665">
            <w:pPr>
              <w:spacing w:after="0" w:line="264" w:lineRule="auto"/>
            </w:pPr>
            <w:r>
              <w:rPr>
                <w:rFonts w:ascii="Calibri" w:hAnsi="Calibri"/>
                <w:color w:val="222222"/>
                <w:sz w:val="19"/>
              </w:rPr>
              <w:t>sale_month</w:t>
            </w:r>
          </w:p>
        </w:tc>
        <w:tc>
          <w:tcPr>
            <w:tcW w:w="3168" w:type="dxa"/>
            <w:shd w:val="clear" w:color="auto" w:fill="F4F7FA"/>
            <w:tcMar>
              <w:top w:w="100" w:type="dxa"/>
              <w:left w:w="160" w:type="dxa"/>
              <w:bottom w:w="100" w:type="dxa"/>
              <w:right w:w="160" w:type="dxa"/>
            </w:tcMar>
          </w:tcPr>
          <w:p w14:paraId="757DFF6A" w14:textId="77777777" w:rsidR="00F540D9" w:rsidRDefault="00E66665">
            <w:pPr>
              <w:spacing w:after="0" w:line="264" w:lineRule="auto"/>
            </w:pPr>
            <w:r>
              <w:rPr>
                <w:rFonts w:ascii="Calibri" w:hAnsi="Calibri"/>
                <w:color w:val="222222"/>
                <w:sz w:val="19"/>
              </w:rPr>
              <w:t>date.dt.month</w:t>
            </w:r>
          </w:p>
        </w:tc>
        <w:tc>
          <w:tcPr>
            <w:tcW w:w="4176" w:type="dxa"/>
            <w:shd w:val="clear" w:color="auto" w:fill="F4F7FA"/>
            <w:tcMar>
              <w:top w:w="100" w:type="dxa"/>
              <w:left w:w="160" w:type="dxa"/>
              <w:bottom w:w="100" w:type="dxa"/>
              <w:right w:w="160" w:type="dxa"/>
            </w:tcMar>
          </w:tcPr>
          <w:p w14:paraId="7DBC8329" w14:textId="77777777" w:rsidR="00F540D9" w:rsidRDefault="00E66665">
            <w:pPr>
              <w:spacing w:after="0" w:line="264" w:lineRule="auto"/>
            </w:pPr>
            <w:r>
              <w:rPr>
                <w:rFonts w:ascii="Calibri" w:hAnsi="Calibri"/>
                <w:color w:val="222222"/>
                <w:sz w:val="19"/>
              </w:rPr>
              <w:t>Captures seasonal transaction dynamics (e.g., peak spring/summer buying periods).</w:t>
            </w:r>
          </w:p>
        </w:tc>
      </w:tr>
      <w:tr w:rsidR="00F540D9" w14:paraId="3B21AB40" w14:textId="77777777">
        <w:trPr>
          <w:jc w:val="center"/>
        </w:trPr>
        <w:tc>
          <w:tcPr>
            <w:tcW w:w="2016" w:type="dxa"/>
            <w:shd w:val="clear" w:color="auto" w:fill="FFFFFF"/>
            <w:tcMar>
              <w:top w:w="100" w:type="dxa"/>
              <w:left w:w="160" w:type="dxa"/>
              <w:bottom w:w="100" w:type="dxa"/>
              <w:right w:w="160" w:type="dxa"/>
            </w:tcMar>
          </w:tcPr>
          <w:p w14:paraId="6903B66F" w14:textId="77777777" w:rsidR="00F540D9" w:rsidRDefault="00E66665">
            <w:pPr>
              <w:spacing w:after="0" w:line="264" w:lineRule="auto"/>
            </w:pPr>
            <w:r>
              <w:rPr>
                <w:rFonts w:ascii="Calibri" w:hAnsi="Calibri"/>
                <w:color w:val="222222"/>
                <w:sz w:val="19"/>
              </w:rPr>
              <w:t>zip_code</w:t>
            </w:r>
          </w:p>
        </w:tc>
        <w:tc>
          <w:tcPr>
            <w:tcW w:w="3168" w:type="dxa"/>
            <w:shd w:val="clear" w:color="auto" w:fill="FFFFFF"/>
            <w:tcMar>
              <w:top w:w="100" w:type="dxa"/>
              <w:left w:w="160" w:type="dxa"/>
              <w:bottom w:w="100" w:type="dxa"/>
              <w:right w:w="160" w:type="dxa"/>
            </w:tcMar>
          </w:tcPr>
          <w:p w14:paraId="4E7AAB06" w14:textId="77777777" w:rsidR="00F540D9" w:rsidRDefault="00E66665">
            <w:pPr>
              <w:spacing w:after="0" w:line="264" w:lineRule="auto"/>
            </w:pPr>
            <w:r>
              <w:rPr>
                <w:rFonts w:ascii="Calibri" w:hAnsi="Calibri"/>
                <w:color w:val="222222"/>
                <w:sz w:val="19"/>
              </w:rPr>
              <w:t>Regex r'(\d+)' from statezip</w:t>
            </w:r>
          </w:p>
        </w:tc>
        <w:tc>
          <w:tcPr>
            <w:tcW w:w="4176" w:type="dxa"/>
            <w:shd w:val="clear" w:color="auto" w:fill="FFFFFF"/>
            <w:tcMar>
              <w:top w:w="100" w:type="dxa"/>
              <w:left w:w="160" w:type="dxa"/>
              <w:bottom w:w="100" w:type="dxa"/>
              <w:right w:w="160" w:type="dxa"/>
            </w:tcMar>
          </w:tcPr>
          <w:p w14:paraId="52FFD1D5" w14:textId="77777777" w:rsidR="00F540D9" w:rsidRDefault="00E66665">
            <w:pPr>
              <w:spacing w:after="0" w:line="264" w:lineRule="auto"/>
            </w:pPr>
            <w:r>
              <w:rPr>
                <w:rFonts w:ascii="Calibri" w:hAnsi="Calibri"/>
                <w:color w:val="222222"/>
                <w:sz w:val="19"/>
              </w:rPr>
              <w:t>Continuous 5-digit numerical postal code providing localized micro-neighborhood geographic clustering.</w:t>
            </w:r>
          </w:p>
        </w:tc>
      </w:tr>
      <w:tr w:rsidR="00F540D9" w14:paraId="301D191A" w14:textId="77777777">
        <w:trPr>
          <w:jc w:val="center"/>
        </w:trPr>
        <w:tc>
          <w:tcPr>
            <w:tcW w:w="2016" w:type="dxa"/>
            <w:shd w:val="clear" w:color="auto" w:fill="F4F7FA"/>
            <w:tcMar>
              <w:top w:w="100" w:type="dxa"/>
              <w:left w:w="160" w:type="dxa"/>
              <w:bottom w:w="100" w:type="dxa"/>
              <w:right w:w="160" w:type="dxa"/>
            </w:tcMar>
          </w:tcPr>
          <w:p w14:paraId="15B38C0C" w14:textId="77777777" w:rsidR="00F540D9" w:rsidRDefault="00E66665">
            <w:pPr>
              <w:spacing w:after="0" w:line="264" w:lineRule="auto"/>
            </w:pPr>
            <w:r>
              <w:rPr>
                <w:rFonts w:ascii="Calibri" w:hAnsi="Calibri"/>
                <w:color w:val="222222"/>
                <w:sz w:val="19"/>
              </w:rPr>
              <w:t>city_encoded</w:t>
            </w:r>
          </w:p>
        </w:tc>
        <w:tc>
          <w:tcPr>
            <w:tcW w:w="3168" w:type="dxa"/>
            <w:shd w:val="clear" w:color="auto" w:fill="F4F7FA"/>
            <w:tcMar>
              <w:top w:w="100" w:type="dxa"/>
              <w:left w:w="160" w:type="dxa"/>
              <w:bottom w:w="100" w:type="dxa"/>
              <w:right w:w="160" w:type="dxa"/>
            </w:tcMar>
          </w:tcPr>
          <w:p w14:paraId="24105B03" w14:textId="77777777" w:rsidR="00F540D9" w:rsidRDefault="00E66665">
            <w:pPr>
              <w:spacing w:after="0" w:line="264" w:lineRule="auto"/>
            </w:pPr>
            <w:r>
              <w:rPr>
                <w:rFonts w:ascii="Calibri" w:hAnsi="Calibri"/>
                <w:color w:val="222222"/>
                <w:sz w:val="19"/>
              </w:rPr>
              <w:t>LabelEncoder().fit_transform(city)</w:t>
            </w:r>
          </w:p>
        </w:tc>
        <w:tc>
          <w:tcPr>
            <w:tcW w:w="4176" w:type="dxa"/>
            <w:shd w:val="clear" w:color="auto" w:fill="F4F7FA"/>
            <w:tcMar>
              <w:top w:w="100" w:type="dxa"/>
              <w:left w:w="160" w:type="dxa"/>
              <w:bottom w:w="100" w:type="dxa"/>
              <w:right w:w="160" w:type="dxa"/>
            </w:tcMar>
          </w:tcPr>
          <w:p w14:paraId="228053D7" w14:textId="77777777" w:rsidR="00F540D9" w:rsidRDefault="00E66665">
            <w:pPr>
              <w:spacing w:after="0" w:line="264" w:lineRule="auto"/>
            </w:pPr>
            <w:r>
              <w:rPr>
                <w:rFonts w:ascii="Calibri" w:hAnsi="Calibri"/>
                <w:color w:val="222222"/>
                <w:sz w:val="19"/>
              </w:rPr>
              <w:t>Transforms 44 discrete municipal designations into numerical categories suitable for decision tree splits.</w:t>
            </w:r>
          </w:p>
        </w:tc>
      </w:tr>
    </w:tbl>
    <w:p w14:paraId="6758C48C" w14:textId="77777777" w:rsidR="00F540D9" w:rsidRDefault="00E66665">
      <w:pPr>
        <w:spacing w:after="80"/>
      </w:pPr>
      <w:r>
        <w:rPr>
          <w:rFonts w:ascii="Calibri" w:hAnsi="Calibri"/>
          <w:color w:val="222222"/>
          <w:sz w:val="21"/>
        </w:rPr>
        <w:t xml:space="preserve">Total Predictor Feature List (22 Features): As stored in models/feature_columns.json, the complete vector passed to all machine learning models comprises: bedrooms, bathrooms, sqft_living, sqft_lot, floors, </w:t>
      </w:r>
      <w:r>
        <w:rPr>
          <w:rFonts w:ascii="Calibri" w:hAnsi="Calibri"/>
          <w:color w:val="222222"/>
          <w:sz w:val="21"/>
        </w:rPr>
        <w:lastRenderedPageBreak/>
        <w:t>waterfront, view, condition, sqft_above, sqft_basement, yr_built, yr_renovated, sale_year, sale_month, zip_code, city_encoded, house_age, was_renovated, renovation_age, total_sqft, living_to_lot, and has_basement.</w:t>
      </w:r>
    </w:p>
    <w:p w14:paraId="53792159" w14:textId="77777777" w:rsidR="00F540D9" w:rsidRDefault="00E66665">
      <w:r>
        <w:br w:type="page"/>
      </w:r>
    </w:p>
    <w:p w14:paraId="69014226" w14:textId="77777777" w:rsidR="00F540D9" w:rsidRDefault="00E66665">
      <w:pPr>
        <w:pStyle w:val="Heading1"/>
        <w:spacing w:before="320" w:after="120"/>
      </w:pPr>
      <w:r>
        <w:rPr>
          <w:rFonts w:ascii="Calibri" w:hAnsi="Calibri"/>
          <w:color w:val="1B365D"/>
          <w:sz w:val="30"/>
        </w:rPr>
        <w:lastRenderedPageBreak/>
        <w:t>10. Machine Learning Models</w:t>
      </w:r>
    </w:p>
    <w:p w14:paraId="70539E71" w14:textId="77777777" w:rsidR="00F540D9" w:rsidRDefault="00E66665">
      <w:pPr>
        <w:spacing w:after="80"/>
      </w:pPr>
      <w:r>
        <w:rPr>
          <w:rFonts w:ascii="Calibri" w:hAnsi="Calibri"/>
          <w:color w:val="222222"/>
          <w:sz w:val="21"/>
        </w:rPr>
        <w:t>Four distinct machine learning regression architectures were implemented and comparatively evaluated in src/model_training.py. Each architecture represents a different algorithmic paradigm, ranging from classical parametric baselines to advanced regularized boosting ensembles.</w:t>
      </w:r>
    </w:p>
    <w:p w14:paraId="52F251CE" w14:textId="77777777" w:rsidR="00F540D9" w:rsidRDefault="00E66665">
      <w:pPr>
        <w:pStyle w:val="Heading2"/>
        <w:spacing w:before="240" w:after="80"/>
      </w:pPr>
      <w:r>
        <w:rPr>
          <w:rFonts w:ascii="Calibri" w:hAnsi="Calibri"/>
          <w:color w:val="316B9E"/>
          <w:sz w:val="25"/>
        </w:rPr>
        <w:t>10.1 Linear Regression (Ordinary Least Squares Baseline)</w:t>
      </w:r>
    </w:p>
    <w:p w14:paraId="3539364F" w14:textId="77777777" w:rsidR="00F540D9" w:rsidRDefault="00E66665">
      <w:pPr>
        <w:spacing w:after="80"/>
      </w:pPr>
      <w:r>
        <w:rPr>
          <w:rFonts w:ascii="Calibri" w:hAnsi="Calibri"/>
          <w:color w:val="222222"/>
          <w:sz w:val="21"/>
        </w:rPr>
        <w:t>Linear Regression serves as the foundational baseline model. It models the target price as a linear combination of input predictors: y = beta_0 + sum(beta_j * x_j) + epsilon. Parameters are estimated by minimizing the sum of squared residuals: argmin ||y - X beta||^2.</w:t>
      </w:r>
    </w:p>
    <w:p w14:paraId="6EE552CE" w14:textId="77777777" w:rsidR="00F540D9" w:rsidRDefault="00E66665">
      <w:pPr>
        <w:spacing w:after="80"/>
      </w:pPr>
      <w:r>
        <w:rPr>
          <w:rFonts w:ascii="Calibri" w:hAnsi="Calibri"/>
          <w:color w:val="222222"/>
          <w:sz w:val="21"/>
        </w:rPr>
        <w:t>Pipeline Configuration: Pipeline([('scaler', StandardScaler()), ('model', LinearRegression())]). While highly interpretable, Linear Regression assumes strict linearity, homoscedasticity, and independence among errors, leaving it vulnerable to multicollinearity and non-linear interactions.</w:t>
      </w:r>
    </w:p>
    <w:p w14:paraId="6EA6AE6E" w14:textId="77777777" w:rsidR="00F540D9" w:rsidRDefault="00E66665">
      <w:pPr>
        <w:pStyle w:val="Heading2"/>
        <w:spacing w:before="240" w:after="80"/>
      </w:pPr>
      <w:r>
        <w:rPr>
          <w:rFonts w:ascii="Calibri" w:hAnsi="Calibri"/>
          <w:color w:val="316B9E"/>
          <w:sz w:val="25"/>
        </w:rPr>
        <w:t>10.2 Random Forest Regressor (Bagging Ensemble)</w:t>
      </w:r>
    </w:p>
    <w:p w14:paraId="0B7EAD12" w14:textId="77777777" w:rsidR="00F540D9" w:rsidRDefault="00E66665">
      <w:pPr>
        <w:spacing w:after="80"/>
      </w:pPr>
      <w:r>
        <w:rPr>
          <w:rFonts w:ascii="Calibri" w:hAnsi="Calibri"/>
          <w:color w:val="222222"/>
          <w:sz w:val="21"/>
        </w:rPr>
        <w:t>Random Forest is an ensemble learning method based on bootstrap aggregation (bagging). It constructs 200 de-correlated regression decision trees in parallel. Each tree is trained on an independently drawn bootstrap sample of the training data, and at each split, only a random subset of features is considered.</w:t>
      </w:r>
    </w:p>
    <w:p w14:paraId="15C24FCD" w14:textId="77777777" w:rsidR="00F540D9" w:rsidRDefault="00E66665">
      <w:pPr>
        <w:spacing w:after="80"/>
      </w:pPr>
      <w:r>
        <w:rPr>
          <w:rFonts w:ascii="Calibri" w:hAnsi="Calibri"/>
          <w:color w:val="222222"/>
          <w:sz w:val="21"/>
        </w:rPr>
        <w:t>Pipeline Configuration: Pipeline([('scaler', StandardScaler()), ('model', RandomForestRegressor(n_estimators=200, max_depth=20, min_samples_leaf=2, random_state=42, n_jobs=-1))]). By averaging the predictions of 200 deep trees, Random Forest significantly reduces variance without increasing bias, making it robust against outliers and noisy predictors.</w:t>
      </w:r>
    </w:p>
    <w:p w14:paraId="5A7C3128" w14:textId="77777777" w:rsidR="00F540D9" w:rsidRDefault="00E66665">
      <w:pPr>
        <w:pStyle w:val="Heading2"/>
        <w:spacing w:before="240" w:after="80"/>
      </w:pPr>
      <w:r>
        <w:rPr>
          <w:rFonts w:ascii="Calibri" w:hAnsi="Calibri"/>
          <w:color w:val="316B9E"/>
          <w:sz w:val="25"/>
        </w:rPr>
        <w:t>10.3 Gradient Boosting Regressor (Stage-Wise Boosting)</w:t>
      </w:r>
    </w:p>
    <w:p w14:paraId="6976A285" w14:textId="77777777" w:rsidR="00F540D9" w:rsidRDefault="00E66665">
      <w:pPr>
        <w:spacing w:after="80"/>
      </w:pPr>
      <w:r>
        <w:rPr>
          <w:rFonts w:ascii="Calibri" w:hAnsi="Calibri"/>
          <w:color w:val="222222"/>
          <w:sz w:val="21"/>
        </w:rPr>
        <w:t>Gradient Boosting builds an ensemble of shallow decision trees sequentially in a stage-wise fashion. Rather than training trees independently, each new tree is fitted to the negative gradient (pseudo-residuals) of the loss function associated with the whole preceding ensemble.</w:t>
      </w:r>
    </w:p>
    <w:p w14:paraId="0745C41A" w14:textId="77777777" w:rsidR="00F540D9" w:rsidRDefault="00E66665">
      <w:pPr>
        <w:spacing w:after="80"/>
      </w:pPr>
      <w:r>
        <w:rPr>
          <w:rFonts w:ascii="Calibri" w:hAnsi="Calibri"/>
          <w:color w:val="222222"/>
          <w:sz w:val="21"/>
        </w:rPr>
        <w:t>Pipeline Configuration: Pipeline([('scaler', StandardScaler()), ('model', GradientBoostingRegressor(n_estimators=300, learning_rate=0.08, max_depth=5, subsample=0.8, random_state=42))]). By combining a moderate learning rate (0.08) with row subsampling (0.8), Gradient Boosting progressively minimizes squared error loss while controlling variance.</w:t>
      </w:r>
    </w:p>
    <w:p w14:paraId="1A80CF9F" w14:textId="77777777" w:rsidR="00F540D9" w:rsidRDefault="00E66665">
      <w:pPr>
        <w:pStyle w:val="Heading2"/>
        <w:spacing w:before="240" w:after="80"/>
      </w:pPr>
      <w:r>
        <w:rPr>
          <w:rFonts w:ascii="Calibri" w:hAnsi="Calibri"/>
          <w:color w:val="316B9E"/>
          <w:sz w:val="25"/>
        </w:rPr>
        <w:t>10.4 XGBoost Regressor (Regularized Gradient Boosting)</w:t>
      </w:r>
    </w:p>
    <w:p w14:paraId="5AA9C6C0" w14:textId="77777777" w:rsidR="00F540D9" w:rsidRDefault="00E66665">
      <w:pPr>
        <w:spacing w:after="80"/>
      </w:pPr>
      <w:r>
        <w:rPr>
          <w:rFonts w:ascii="Calibri" w:hAnsi="Calibri"/>
          <w:color w:val="222222"/>
          <w:sz w:val="21"/>
        </w:rPr>
        <w:t>XGBoost (eXtreme Gradient Boosting) is an optimized distributed gradient boosting library engineered for high efficiency and generalization. It improves upon traditional gradient boosting by utilizing a second-order Taylor expansion of the loss function, incorporating explicit L1 and L2 tree-complexity regularization, and employing column subsampling at the tree and split levels.</w:t>
      </w:r>
    </w:p>
    <w:p w14:paraId="3E3A923C" w14:textId="77777777" w:rsidR="00F540D9" w:rsidRDefault="00E66665">
      <w:pPr>
        <w:spacing w:after="80"/>
      </w:pPr>
      <w:r>
        <w:rPr>
          <w:rFonts w:ascii="Calibri" w:hAnsi="Calibri"/>
          <w:color w:val="222222"/>
          <w:sz w:val="21"/>
        </w:rPr>
        <w:t>Pipeline Configuration: Pipeline([('scaler', StandardScaler()), ('model', XGBRegressor(n_estimators=400, learning_rate=0.07, max_depth=6, subsample=0.8, colsample_bytree=0.8, random_state=42, verbosity=0, eval_metric='rmse'))]). XGBoost's built-in regularization and column subsampling make it exceptionally resilient against overfitting on structured real estate tables.</w:t>
      </w:r>
    </w:p>
    <w:p w14:paraId="6808E382" w14:textId="77777777" w:rsidR="00F540D9" w:rsidRDefault="00E66665">
      <w:pPr>
        <w:pStyle w:val="Heading1"/>
        <w:spacing w:before="320" w:after="120"/>
      </w:pPr>
      <w:r>
        <w:rPr>
          <w:rFonts w:ascii="Calibri" w:hAnsi="Calibri"/>
          <w:color w:val="1B365D"/>
          <w:sz w:val="30"/>
        </w:rPr>
        <w:lastRenderedPageBreak/>
        <w:t>11. Model Training and Evaluation</w:t>
      </w:r>
    </w:p>
    <w:p w14:paraId="380CD8A8" w14:textId="77777777" w:rsidR="00F540D9" w:rsidRDefault="00E66665">
      <w:pPr>
        <w:spacing w:after="80"/>
      </w:pPr>
      <w:r>
        <w:rPr>
          <w:rFonts w:ascii="Calibri" w:hAnsi="Calibri"/>
          <w:color w:val="222222"/>
          <w:sz w:val="21"/>
        </w:rPr>
        <w:t>Model training and evaluation are conducted in src/model_training.py through the function train_models(). The methodology enforces strict scientific protocols to guarantee that reported performance metrics reflect true generalization performance.</w:t>
      </w:r>
    </w:p>
    <w:p w14:paraId="5FE0641F" w14:textId="77777777" w:rsidR="00F540D9" w:rsidRDefault="00E66665">
      <w:pPr>
        <w:pStyle w:val="Heading2"/>
        <w:spacing w:before="240" w:after="80"/>
      </w:pPr>
      <w:r>
        <w:rPr>
          <w:rFonts w:ascii="Calibri" w:hAnsi="Calibri"/>
          <w:color w:val="316B9E"/>
          <w:sz w:val="25"/>
        </w:rPr>
        <w:t>11.1 Train/Test Partitioning &amp; Leakage Prevention Protocol</w:t>
      </w:r>
    </w:p>
    <w:p w14:paraId="3E6DD0DA" w14:textId="77777777" w:rsidR="00F540D9" w:rsidRDefault="00E66665">
      <w:pPr>
        <w:spacing w:after="80"/>
      </w:pPr>
      <w:r>
        <w:rPr>
          <w:rFonts w:ascii="Calibri" w:hAnsi="Calibri"/>
          <w:color w:val="222222"/>
          <w:sz w:val="21"/>
        </w:rPr>
        <w:t>The cleaned dataset (4,600 samples) is partitioned using an 80/20 train/test split via train_test_split(X, y, test_size=0.2, random_state=42):</w:t>
      </w:r>
    </w:p>
    <w:p w14:paraId="15F22200" w14:textId="77777777" w:rsidR="00F540D9" w:rsidRDefault="00E66665">
      <w:pPr>
        <w:pStyle w:val="ListBullet"/>
        <w:spacing w:after="80"/>
      </w:pPr>
      <w:r>
        <w:rPr>
          <w:rFonts w:ascii="Calibri" w:hAnsi="Calibri"/>
          <w:color w:val="222222"/>
          <w:sz w:val="21"/>
        </w:rPr>
        <w:t>Training Partition: 3,680 records (80% of data), utilized exclusively for model parameter estimation.</w:t>
      </w:r>
    </w:p>
    <w:p w14:paraId="050F1592" w14:textId="77777777" w:rsidR="00F540D9" w:rsidRDefault="00E66665">
      <w:pPr>
        <w:pStyle w:val="ListBullet"/>
        <w:spacing w:after="80"/>
      </w:pPr>
      <w:r>
        <w:rPr>
          <w:rFonts w:ascii="Calibri" w:hAnsi="Calibri"/>
          <w:color w:val="222222"/>
          <w:sz w:val="21"/>
        </w:rPr>
        <w:t>Testing Hold-Out Partition: 920 records (20% of data), strictly isolated and never seen by models during training.</w:t>
      </w:r>
    </w:p>
    <w:p w14:paraId="2EBB4507" w14:textId="77777777" w:rsidR="00F540D9" w:rsidRDefault="00E66665">
      <w:pPr>
        <w:pStyle w:val="ListBullet"/>
        <w:spacing w:after="80"/>
      </w:pPr>
      <w:r>
        <w:rPr>
          <w:rFonts w:ascii="Calibri" w:hAnsi="Calibri"/>
          <w:color w:val="222222"/>
          <w:sz w:val="21"/>
        </w:rPr>
        <w:t>Zero Data Leakage: Feature standardization (StandardScaler) is embedded directly inside each Scikit-learn Pipeline. Statistical scaling parameters (mean mu and standard deviation sigma) are fitted solely on X_train. The test set X_test is scaled using only the training-derived statistics, preventing optimistic evaluation leakage.</w:t>
      </w:r>
    </w:p>
    <w:p w14:paraId="6153DFDA" w14:textId="77777777" w:rsidR="00F540D9" w:rsidRDefault="00E66665">
      <w:pPr>
        <w:pStyle w:val="Heading2"/>
        <w:spacing w:before="240" w:after="80"/>
      </w:pPr>
      <w:r>
        <w:rPr>
          <w:rFonts w:ascii="Calibri" w:hAnsi="Calibri"/>
          <w:color w:val="316B9E"/>
          <w:sz w:val="25"/>
        </w:rPr>
        <w:t>11.2 Mathematical Evaluation Metrics</w:t>
      </w:r>
    </w:p>
    <w:p w14:paraId="69BFA4E1" w14:textId="77777777" w:rsidR="00F540D9" w:rsidRDefault="00E66665">
      <w:pPr>
        <w:spacing w:after="80"/>
      </w:pPr>
      <w:r>
        <w:rPr>
          <w:rFonts w:ascii="Calibri" w:hAnsi="Calibri"/>
          <w:color w:val="222222"/>
          <w:sz w:val="21"/>
        </w:rPr>
        <w:t>The models are evaluated across three primary regression metrics:</w:t>
      </w:r>
    </w:p>
    <w:p w14:paraId="78254126" w14:textId="77777777" w:rsidR="00F540D9" w:rsidRDefault="00E66665">
      <w:pPr>
        <w:pStyle w:val="ListBullet"/>
        <w:spacing w:after="80"/>
      </w:pPr>
      <w:r>
        <w:rPr>
          <w:rFonts w:ascii="Calibri" w:hAnsi="Calibri"/>
          <w:color w:val="222222"/>
          <w:sz w:val="21"/>
        </w:rPr>
        <w:t>Mean Absolute Error (MAE): Measures the average absolute magnitude of dollar prediction errors: MAE = (1/n) sum |y_i - y_hat_i|.</w:t>
      </w:r>
    </w:p>
    <w:p w14:paraId="484140D8" w14:textId="77777777" w:rsidR="00F540D9" w:rsidRDefault="00E66665">
      <w:pPr>
        <w:pStyle w:val="ListBullet"/>
        <w:spacing w:after="80"/>
      </w:pPr>
      <w:r>
        <w:rPr>
          <w:rFonts w:ascii="Calibri" w:hAnsi="Calibri"/>
          <w:color w:val="222222"/>
          <w:sz w:val="21"/>
        </w:rPr>
        <w:t>Root Mean Squared Error (RMSE): Measures the standard deviation of prediction residuals, penalizing large outlier errors heavily due to squaring: RMSE = sqrt((1/n) sum (y_i - y_hat_i)^2).</w:t>
      </w:r>
    </w:p>
    <w:p w14:paraId="0A6189FF" w14:textId="77777777" w:rsidR="00F540D9" w:rsidRDefault="00E66665">
      <w:pPr>
        <w:pStyle w:val="ListBullet"/>
        <w:spacing w:after="80"/>
      </w:pPr>
      <w:r>
        <w:rPr>
          <w:rFonts w:ascii="Calibri" w:hAnsi="Calibri"/>
          <w:color w:val="222222"/>
          <w:sz w:val="21"/>
        </w:rPr>
        <w:t>Coefficient of Determination (R²): Quantifies the proportion of variance in house prices explained by the model: R² = 1 - (sum (y_i - y_hat_i)^2 / sum (y_i - y_bar)^2).</w:t>
      </w:r>
    </w:p>
    <w:p w14:paraId="5AF7A1D9" w14:textId="77777777" w:rsidR="00F540D9" w:rsidRDefault="00E66665">
      <w:pPr>
        <w:pStyle w:val="Heading2"/>
        <w:spacing w:before="240" w:after="80"/>
      </w:pPr>
      <w:r>
        <w:rPr>
          <w:rFonts w:ascii="Calibri" w:hAnsi="Calibri"/>
          <w:color w:val="316B9E"/>
          <w:sz w:val="25"/>
        </w:rPr>
        <w:t>11.3 Empirical Model Comparison Results</w:t>
      </w:r>
    </w:p>
    <w:p w14:paraId="6908F418" w14:textId="77777777" w:rsidR="00F540D9" w:rsidRDefault="00E66665">
      <w:pPr>
        <w:spacing w:after="80"/>
      </w:pPr>
      <w:r>
        <w:rPr>
          <w:rFonts w:ascii="Calibri" w:hAnsi="Calibri"/>
          <w:color w:val="222222"/>
          <w:sz w:val="21"/>
        </w:rPr>
        <w:t>The table below reports the actual, un-fabricated evaluation metrics computed on the 920 hold-out test samples, as permanently archived in models/eval_results.json: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1440"/>
        <w:gridCol w:w="1872"/>
        <w:gridCol w:w="1440"/>
        <w:gridCol w:w="1008"/>
        <w:gridCol w:w="1008"/>
      </w:tblGrid>
      <w:tr w:rsidR="00F540D9" w14:paraId="2B6A7B73" w14:textId="77777777">
        <w:trPr>
          <w:jc w:val="center"/>
        </w:trPr>
        <w:tc>
          <w:tcPr>
            <w:tcW w:w="2592" w:type="dxa"/>
            <w:shd w:val="clear" w:color="auto" w:fill="1B365D"/>
            <w:tcMar>
              <w:top w:w="140" w:type="dxa"/>
              <w:left w:w="160" w:type="dxa"/>
              <w:bottom w:w="140" w:type="dxa"/>
              <w:right w:w="160" w:type="dxa"/>
            </w:tcMar>
          </w:tcPr>
          <w:p w14:paraId="17893D00" w14:textId="77777777" w:rsidR="00F540D9" w:rsidRDefault="00E66665">
            <w:pPr>
              <w:spacing w:after="0"/>
            </w:pPr>
            <w:r>
              <w:rPr>
                <w:rFonts w:ascii="Calibri" w:hAnsi="Calibri"/>
                <w:b/>
                <w:color w:val="FFFFFF"/>
                <w:sz w:val="19"/>
              </w:rPr>
              <w:t>Model Architecture</w:t>
            </w:r>
          </w:p>
        </w:tc>
        <w:tc>
          <w:tcPr>
            <w:tcW w:w="1440" w:type="dxa"/>
            <w:shd w:val="clear" w:color="auto" w:fill="1B365D"/>
            <w:tcMar>
              <w:top w:w="140" w:type="dxa"/>
              <w:left w:w="160" w:type="dxa"/>
              <w:bottom w:w="140" w:type="dxa"/>
              <w:right w:w="160" w:type="dxa"/>
            </w:tcMar>
          </w:tcPr>
          <w:p w14:paraId="06F5DB48" w14:textId="77777777" w:rsidR="00F540D9" w:rsidRDefault="00E66665">
            <w:pPr>
              <w:spacing w:after="0"/>
              <w:jc w:val="right"/>
            </w:pPr>
            <w:r>
              <w:rPr>
                <w:rFonts w:ascii="Calibri" w:hAnsi="Calibri"/>
                <w:b/>
                <w:color w:val="FFFFFF"/>
                <w:sz w:val="19"/>
              </w:rPr>
              <w:t>MAE (USD)</w:t>
            </w:r>
          </w:p>
        </w:tc>
        <w:tc>
          <w:tcPr>
            <w:tcW w:w="1872" w:type="dxa"/>
            <w:shd w:val="clear" w:color="auto" w:fill="1B365D"/>
            <w:tcMar>
              <w:top w:w="140" w:type="dxa"/>
              <w:left w:w="160" w:type="dxa"/>
              <w:bottom w:w="140" w:type="dxa"/>
              <w:right w:w="160" w:type="dxa"/>
            </w:tcMar>
          </w:tcPr>
          <w:p w14:paraId="20EA0810" w14:textId="77777777" w:rsidR="00F540D9" w:rsidRDefault="00E66665">
            <w:pPr>
              <w:spacing w:after="0"/>
              <w:jc w:val="right"/>
            </w:pPr>
            <w:r>
              <w:rPr>
                <w:rFonts w:ascii="Calibri" w:hAnsi="Calibri"/>
                <w:b/>
                <w:color w:val="FFFFFF"/>
                <w:sz w:val="19"/>
              </w:rPr>
              <w:t>MSE (USD²)</w:t>
            </w:r>
          </w:p>
        </w:tc>
        <w:tc>
          <w:tcPr>
            <w:tcW w:w="1440" w:type="dxa"/>
            <w:shd w:val="clear" w:color="auto" w:fill="1B365D"/>
            <w:tcMar>
              <w:top w:w="140" w:type="dxa"/>
              <w:left w:w="160" w:type="dxa"/>
              <w:bottom w:w="140" w:type="dxa"/>
              <w:right w:w="160" w:type="dxa"/>
            </w:tcMar>
          </w:tcPr>
          <w:p w14:paraId="4D441C69" w14:textId="77777777" w:rsidR="00F540D9" w:rsidRDefault="00E66665">
            <w:pPr>
              <w:spacing w:after="0"/>
              <w:jc w:val="right"/>
            </w:pPr>
            <w:r>
              <w:rPr>
                <w:rFonts w:ascii="Calibri" w:hAnsi="Calibri"/>
                <w:b/>
                <w:color w:val="FFFFFF"/>
                <w:sz w:val="19"/>
              </w:rPr>
              <w:t>RMSE (USD)</w:t>
            </w:r>
          </w:p>
        </w:tc>
        <w:tc>
          <w:tcPr>
            <w:tcW w:w="1008" w:type="dxa"/>
            <w:shd w:val="clear" w:color="auto" w:fill="1B365D"/>
            <w:tcMar>
              <w:top w:w="140" w:type="dxa"/>
              <w:left w:w="160" w:type="dxa"/>
              <w:bottom w:w="140" w:type="dxa"/>
              <w:right w:w="160" w:type="dxa"/>
            </w:tcMar>
          </w:tcPr>
          <w:p w14:paraId="4902D6BD" w14:textId="77777777" w:rsidR="00F540D9" w:rsidRDefault="00E66665">
            <w:pPr>
              <w:spacing w:after="0"/>
              <w:jc w:val="right"/>
            </w:pPr>
            <w:r>
              <w:rPr>
                <w:rFonts w:ascii="Calibri" w:hAnsi="Calibri"/>
                <w:b/>
                <w:color w:val="FFFFFF"/>
                <w:sz w:val="19"/>
              </w:rPr>
              <w:t>R² Score</w:t>
            </w:r>
          </w:p>
        </w:tc>
        <w:tc>
          <w:tcPr>
            <w:tcW w:w="1008" w:type="dxa"/>
            <w:shd w:val="clear" w:color="auto" w:fill="1B365D"/>
            <w:tcMar>
              <w:top w:w="140" w:type="dxa"/>
              <w:left w:w="160" w:type="dxa"/>
              <w:bottom w:w="140" w:type="dxa"/>
              <w:right w:w="160" w:type="dxa"/>
            </w:tcMar>
          </w:tcPr>
          <w:p w14:paraId="0CF4EE66" w14:textId="77777777" w:rsidR="00F540D9" w:rsidRDefault="00E66665">
            <w:pPr>
              <w:spacing w:after="0"/>
              <w:jc w:val="center"/>
            </w:pPr>
            <w:r>
              <w:rPr>
                <w:rFonts w:ascii="Calibri" w:hAnsi="Calibri"/>
                <w:b/>
                <w:color w:val="FFFFFF"/>
                <w:sz w:val="19"/>
              </w:rPr>
              <w:t>Rank</w:t>
            </w:r>
          </w:p>
        </w:tc>
      </w:tr>
      <w:tr w:rsidR="00F540D9" w14:paraId="334CEC6A" w14:textId="77777777">
        <w:trPr>
          <w:jc w:val="center"/>
        </w:trPr>
        <w:tc>
          <w:tcPr>
            <w:tcW w:w="2592" w:type="dxa"/>
            <w:shd w:val="clear" w:color="auto" w:fill="FFFFFF"/>
            <w:tcMar>
              <w:top w:w="100" w:type="dxa"/>
              <w:left w:w="160" w:type="dxa"/>
              <w:bottom w:w="100" w:type="dxa"/>
              <w:right w:w="160" w:type="dxa"/>
            </w:tcMar>
          </w:tcPr>
          <w:p w14:paraId="2F0EADB1" w14:textId="77777777" w:rsidR="00F540D9" w:rsidRDefault="00E66665">
            <w:pPr>
              <w:spacing w:after="0" w:line="264" w:lineRule="auto"/>
            </w:pPr>
            <w:r>
              <w:rPr>
                <w:rFonts w:ascii="Calibri" w:hAnsi="Calibri"/>
                <w:color w:val="222222"/>
                <w:sz w:val="19"/>
              </w:rPr>
              <w:t>XGBoost Regressor</w:t>
            </w:r>
          </w:p>
        </w:tc>
        <w:tc>
          <w:tcPr>
            <w:tcW w:w="1440" w:type="dxa"/>
            <w:shd w:val="clear" w:color="auto" w:fill="FFFFFF"/>
            <w:tcMar>
              <w:top w:w="100" w:type="dxa"/>
              <w:left w:w="160" w:type="dxa"/>
              <w:bottom w:w="100" w:type="dxa"/>
              <w:right w:w="160" w:type="dxa"/>
            </w:tcMar>
          </w:tcPr>
          <w:p w14:paraId="612A1AA4" w14:textId="77777777" w:rsidR="00F540D9" w:rsidRDefault="00E66665">
            <w:pPr>
              <w:spacing w:after="0" w:line="264" w:lineRule="auto"/>
              <w:jc w:val="right"/>
            </w:pPr>
            <w:r>
              <w:rPr>
                <w:rFonts w:ascii="Calibri" w:hAnsi="Calibri"/>
                <w:color w:val="222222"/>
                <w:sz w:val="19"/>
              </w:rPr>
              <w:t>$105,382.57</w:t>
            </w:r>
          </w:p>
        </w:tc>
        <w:tc>
          <w:tcPr>
            <w:tcW w:w="1872" w:type="dxa"/>
            <w:shd w:val="clear" w:color="auto" w:fill="FFFFFF"/>
            <w:tcMar>
              <w:top w:w="100" w:type="dxa"/>
              <w:left w:w="160" w:type="dxa"/>
              <w:bottom w:w="100" w:type="dxa"/>
              <w:right w:w="160" w:type="dxa"/>
            </w:tcMar>
          </w:tcPr>
          <w:p w14:paraId="274D0063" w14:textId="77777777" w:rsidR="00F540D9" w:rsidRDefault="00E66665">
            <w:pPr>
              <w:spacing w:after="0" w:line="264" w:lineRule="auto"/>
              <w:jc w:val="right"/>
            </w:pPr>
            <w:r>
              <w:rPr>
                <w:rFonts w:ascii="Calibri" w:hAnsi="Calibri"/>
                <w:color w:val="222222"/>
                <w:sz w:val="19"/>
              </w:rPr>
              <w:t>40,828,397,216.46</w:t>
            </w:r>
          </w:p>
        </w:tc>
        <w:tc>
          <w:tcPr>
            <w:tcW w:w="1440" w:type="dxa"/>
            <w:shd w:val="clear" w:color="auto" w:fill="FFFFFF"/>
            <w:tcMar>
              <w:top w:w="100" w:type="dxa"/>
              <w:left w:w="160" w:type="dxa"/>
              <w:bottom w:w="100" w:type="dxa"/>
              <w:right w:w="160" w:type="dxa"/>
            </w:tcMar>
          </w:tcPr>
          <w:p w14:paraId="5014A4A4" w14:textId="77777777" w:rsidR="00F540D9" w:rsidRDefault="00E66665">
            <w:pPr>
              <w:spacing w:after="0" w:line="264" w:lineRule="auto"/>
              <w:jc w:val="right"/>
            </w:pPr>
            <w:r>
              <w:rPr>
                <w:rFonts w:ascii="Calibri" w:hAnsi="Calibri"/>
                <w:color w:val="222222"/>
                <w:sz w:val="19"/>
              </w:rPr>
              <w:t>$202,060.38</w:t>
            </w:r>
          </w:p>
        </w:tc>
        <w:tc>
          <w:tcPr>
            <w:tcW w:w="1008" w:type="dxa"/>
            <w:shd w:val="clear" w:color="auto" w:fill="FFFFFF"/>
            <w:tcMar>
              <w:top w:w="100" w:type="dxa"/>
              <w:left w:w="160" w:type="dxa"/>
              <w:bottom w:w="100" w:type="dxa"/>
              <w:right w:w="160" w:type="dxa"/>
            </w:tcMar>
          </w:tcPr>
          <w:p w14:paraId="42FCF6C7" w14:textId="77777777" w:rsidR="00F540D9" w:rsidRDefault="00E66665">
            <w:pPr>
              <w:spacing w:after="0" w:line="264" w:lineRule="auto"/>
              <w:jc w:val="right"/>
            </w:pPr>
            <w:r>
              <w:rPr>
                <w:rFonts w:ascii="Calibri" w:hAnsi="Calibri"/>
                <w:color w:val="222222"/>
                <w:sz w:val="19"/>
              </w:rPr>
              <w:t>0.6213</w:t>
            </w:r>
          </w:p>
        </w:tc>
        <w:tc>
          <w:tcPr>
            <w:tcW w:w="1008" w:type="dxa"/>
            <w:shd w:val="clear" w:color="auto" w:fill="FFFFFF"/>
            <w:tcMar>
              <w:top w:w="100" w:type="dxa"/>
              <w:left w:w="160" w:type="dxa"/>
              <w:bottom w:w="100" w:type="dxa"/>
              <w:right w:w="160" w:type="dxa"/>
            </w:tcMar>
          </w:tcPr>
          <w:p w14:paraId="7D9409E7" w14:textId="77777777" w:rsidR="00F540D9" w:rsidRDefault="00E66665">
            <w:pPr>
              <w:spacing w:after="0" w:line="264" w:lineRule="auto"/>
              <w:jc w:val="center"/>
            </w:pPr>
            <w:r>
              <w:rPr>
                <w:rFonts w:ascii="Calibri" w:hAnsi="Calibri"/>
                <w:color w:val="222222"/>
                <w:sz w:val="19"/>
              </w:rPr>
              <w:t>1st (Best)</w:t>
            </w:r>
          </w:p>
        </w:tc>
      </w:tr>
      <w:tr w:rsidR="00F540D9" w14:paraId="2681E292" w14:textId="77777777">
        <w:trPr>
          <w:jc w:val="center"/>
        </w:trPr>
        <w:tc>
          <w:tcPr>
            <w:tcW w:w="2592" w:type="dxa"/>
            <w:shd w:val="clear" w:color="auto" w:fill="F4F7FA"/>
            <w:tcMar>
              <w:top w:w="100" w:type="dxa"/>
              <w:left w:w="160" w:type="dxa"/>
              <w:bottom w:w="100" w:type="dxa"/>
              <w:right w:w="160" w:type="dxa"/>
            </w:tcMar>
          </w:tcPr>
          <w:p w14:paraId="29165DF9" w14:textId="77777777" w:rsidR="00F540D9" w:rsidRDefault="00E66665">
            <w:pPr>
              <w:spacing w:after="0" w:line="264" w:lineRule="auto"/>
            </w:pPr>
            <w:r>
              <w:rPr>
                <w:rFonts w:ascii="Calibri" w:hAnsi="Calibri"/>
                <w:color w:val="222222"/>
                <w:sz w:val="19"/>
              </w:rPr>
              <w:t>Gradient Boosting Regressor</w:t>
            </w:r>
          </w:p>
        </w:tc>
        <w:tc>
          <w:tcPr>
            <w:tcW w:w="1440" w:type="dxa"/>
            <w:shd w:val="clear" w:color="auto" w:fill="F4F7FA"/>
            <w:tcMar>
              <w:top w:w="100" w:type="dxa"/>
              <w:left w:w="160" w:type="dxa"/>
              <w:bottom w:w="100" w:type="dxa"/>
              <w:right w:w="160" w:type="dxa"/>
            </w:tcMar>
          </w:tcPr>
          <w:p w14:paraId="5A1FED86" w14:textId="77777777" w:rsidR="00F540D9" w:rsidRDefault="00E66665">
            <w:pPr>
              <w:spacing w:after="0" w:line="264" w:lineRule="auto"/>
              <w:jc w:val="right"/>
            </w:pPr>
            <w:r>
              <w:rPr>
                <w:rFonts w:ascii="Calibri" w:hAnsi="Calibri"/>
                <w:color w:val="222222"/>
                <w:sz w:val="19"/>
              </w:rPr>
              <w:t>$108,034.99</w:t>
            </w:r>
          </w:p>
        </w:tc>
        <w:tc>
          <w:tcPr>
            <w:tcW w:w="1872" w:type="dxa"/>
            <w:shd w:val="clear" w:color="auto" w:fill="F4F7FA"/>
            <w:tcMar>
              <w:top w:w="100" w:type="dxa"/>
              <w:left w:w="160" w:type="dxa"/>
              <w:bottom w:w="100" w:type="dxa"/>
              <w:right w:w="160" w:type="dxa"/>
            </w:tcMar>
          </w:tcPr>
          <w:p w14:paraId="15E8263E" w14:textId="77777777" w:rsidR="00F540D9" w:rsidRDefault="00E66665">
            <w:pPr>
              <w:spacing w:after="0" w:line="264" w:lineRule="auto"/>
              <w:jc w:val="right"/>
            </w:pPr>
            <w:r>
              <w:rPr>
                <w:rFonts w:ascii="Calibri" w:hAnsi="Calibri"/>
                <w:color w:val="222222"/>
                <w:sz w:val="19"/>
              </w:rPr>
              <w:t>41,752,127,525.82</w:t>
            </w:r>
          </w:p>
        </w:tc>
        <w:tc>
          <w:tcPr>
            <w:tcW w:w="1440" w:type="dxa"/>
            <w:shd w:val="clear" w:color="auto" w:fill="F4F7FA"/>
            <w:tcMar>
              <w:top w:w="100" w:type="dxa"/>
              <w:left w:w="160" w:type="dxa"/>
              <w:bottom w:w="100" w:type="dxa"/>
              <w:right w:w="160" w:type="dxa"/>
            </w:tcMar>
          </w:tcPr>
          <w:p w14:paraId="060FD5F8" w14:textId="77777777" w:rsidR="00F540D9" w:rsidRDefault="00E66665">
            <w:pPr>
              <w:spacing w:after="0" w:line="264" w:lineRule="auto"/>
              <w:jc w:val="right"/>
            </w:pPr>
            <w:r>
              <w:rPr>
                <w:rFonts w:ascii="Calibri" w:hAnsi="Calibri"/>
                <w:color w:val="222222"/>
                <w:sz w:val="19"/>
              </w:rPr>
              <w:t>$204,333.37</w:t>
            </w:r>
          </w:p>
        </w:tc>
        <w:tc>
          <w:tcPr>
            <w:tcW w:w="1008" w:type="dxa"/>
            <w:shd w:val="clear" w:color="auto" w:fill="F4F7FA"/>
            <w:tcMar>
              <w:top w:w="100" w:type="dxa"/>
              <w:left w:w="160" w:type="dxa"/>
              <w:bottom w:w="100" w:type="dxa"/>
              <w:right w:w="160" w:type="dxa"/>
            </w:tcMar>
          </w:tcPr>
          <w:p w14:paraId="28903C79" w14:textId="77777777" w:rsidR="00F540D9" w:rsidRDefault="00E66665">
            <w:pPr>
              <w:spacing w:after="0" w:line="264" w:lineRule="auto"/>
              <w:jc w:val="right"/>
            </w:pPr>
            <w:r>
              <w:rPr>
                <w:rFonts w:ascii="Calibri" w:hAnsi="Calibri"/>
                <w:color w:val="222222"/>
                <w:sz w:val="19"/>
              </w:rPr>
              <w:t>0.6127</w:t>
            </w:r>
          </w:p>
        </w:tc>
        <w:tc>
          <w:tcPr>
            <w:tcW w:w="1008" w:type="dxa"/>
            <w:shd w:val="clear" w:color="auto" w:fill="F4F7FA"/>
            <w:tcMar>
              <w:top w:w="100" w:type="dxa"/>
              <w:left w:w="160" w:type="dxa"/>
              <w:bottom w:w="100" w:type="dxa"/>
              <w:right w:w="160" w:type="dxa"/>
            </w:tcMar>
          </w:tcPr>
          <w:p w14:paraId="406CBC55" w14:textId="77777777" w:rsidR="00F540D9" w:rsidRDefault="00E66665">
            <w:pPr>
              <w:spacing w:after="0" w:line="264" w:lineRule="auto"/>
              <w:jc w:val="center"/>
            </w:pPr>
            <w:r>
              <w:rPr>
                <w:rFonts w:ascii="Calibri" w:hAnsi="Calibri"/>
                <w:color w:val="222222"/>
                <w:sz w:val="19"/>
              </w:rPr>
              <w:t>2nd</w:t>
            </w:r>
          </w:p>
        </w:tc>
      </w:tr>
      <w:tr w:rsidR="00F540D9" w14:paraId="556F34A7" w14:textId="77777777">
        <w:trPr>
          <w:jc w:val="center"/>
        </w:trPr>
        <w:tc>
          <w:tcPr>
            <w:tcW w:w="2592" w:type="dxa"/>
            <w:shd w:val="clear" w:color="auto" w:fill="FFFFFF"/>
            <w:tcMar>
              <w:top w:w="100" w:type="dxa"/>
              <w:left w:w="160" w:type="dxa"/>
              <w:bottom w:w="100" w:type="dxa"/>
              <w:right w:w="160" w:type="dxa"/>
            </w:tcMar>
          </w:tcPr>
          <w:p w14:paraId="5FDDBEC6" w14:textId="77777777" w:rsidR="00F540D9" w:rsidRDefault="00E66665">
            <w:pPr>
              <w:spacing w:after="0" w:line="264" w:lineRule="auto"/>
            </w:pPr>
            <w:r>
              <w:rPr>
                <w:rFonts w:ascii="Calibri" w:hAnsi="Calibri"/>
                <w:color w:val="222222"/>
                <w:sz w:val="19"/>
              </w:rPr>
              <w:t>Random Forest Regressor</w:t>
            </w:r>
          </w:p>
        </w:tc>
        <w:tc>
          <w:tcPr>
            <w:tcW w:w="1440" w:type="dxa"/>
            <w:shd w:val="clear" w:color="auto" w:fill="FFFFFF"/>
            <w:tcMar>
              <w:top w:w="100" w:type="dxa"/>
              <w:left w:w="160" w:type="dxa"/>
              <w:bottom w:w="100" w:type="dxa"/>
              <w:right w:w="160" w:type="dxa"/>
            </w:tcMar>
          </w:tcPr>
          <w:p w14:paraId="58EC938F" w14:textId="77777777" w:rsidR="00F540D9" w:rsidRDefault="00E66665">
            <w:pPr>
              <w:spacing w:after="0" w:line="264" w:lineRule="auto"/>
              <w:jc w:val="right"/>
            </w:pPr>
            <w:r>
              <w:rPr>
                <w:rFonts w:ascii="Calibri" w:hAnsi="Calibri"/>
                <w:color w:val="222222"/>
                <w:sz w:val="19"/>
              </w:rPr>
              <w:t>$123,364.43</w:t>
            </w:r>
          </w:p>
        </w:tc>
        <w:tc>
          <w:tcPr>
            <w:tcW w:w="1872" w:type="dxa"/>
            <w:shd w:val="clear" w:color="auto" w:fill="FFFFFF"/>
            <w:tcMar>
              <w:top w:w="100" w:type="dxa"/>
              <w:left w:w="160" w:type="dxa"/>
              <w:bottom w:w="100" w:type="dxa"/>
              <w:right w:w="160" w:type="dxa"/>
            </w:tcMar>
          </w:tcPr>
          <w:p w14:paraId="06E5C8CB" w14:textId="77777777" w:rsidR="00F540D9" w:rsidRDefault="00E66665">
            <w:pPr>
              <w:spacing w:after="0" w:line="264" w:lineRule="auto"/>
              <w:jc w:val="right"/>
            </w:pPr>
            <w:r>
              <w:rPr>
                <w:rFonts w:ascii="Calibri" w:hAnsi="Calibri"/>
                <w:color w:val="222222"/>
                <w:sz w:val="19"/>
              </w:rPr>
              <w:t>47,378,407,621.24</w:t>
            </w:r>
          </w:p>
        </w:tc>
        <w:tc>
          <w:tcPr>
            <w:tcW w:w="1440" w:type="dxa"/>
            <w:shd w:val="clear" w:color="auto" w:fill="FFFFFF"/>
            <w:tcMar>
              <w:top w:w="100" w:type="dxa"/>
              <w:left w:w="160" w:type="dxa"/>
              <w:bottom w:w="100" w:type="dxa"/>
              <w:right w:w="160" w:type="dxa"/>
            </w:tcMar>
          </w:tcPr>
          <w:p w14:paraId="3854C02E" w14:textId="77777777" w:rsidR="00F540D9" w:rsidRDefault="00E66665">
            <w:pPr>
              <w:spacing w:after="0" w:line="264" w:lineRule="auto"/>
              <w:jc w:val="right"/>
            </w:pPr>
            <w:r>
              <w:rPr>
                <w:rFonts w:ascii="Calibri" w:hAnsi="Calibri"/>
                <w:color w:val="222222"/>
                <w:sz w:val="19"/>
              </w:rPr>
              <w:t>$217,665.82</w:t>
            </w:r>
          </w:p>
        </w:tc>
        <w:tc>
          <w:tcPr>
            <w:tcW w:w="1008" w:type="dxa"/>
            <w:shd w:val="clear" w:color="auto" w:fill="FFFFFF"/>
            <w:tcMar>
              <w:top w:w="100" w:type="dxa"/>
              <w:left w:w="160" w:type="dxa"/>
              <w:bottom w:w="100" w:type="dxa"/>
              <w:right w:w="160" w:type="dxa"/>
            </w:tcMar>
          </w:tcPr>
          <w:p w14:paraId="265D738A" w14:textId="77777777" w:rsidR="00F540D9" w:rsidRDefault="00E66665">
            <w:pPr>
              <w:spacing w:after="0" w:line="264" w:lineRule="auto"/>
              <w:jc w:val="right"/>
            </w:pPr>
            <w:r>
              <w:rPr>
                <w:rFonts w:ascii="Calibri" w:hAnsi="Calibri"/>
                <w:color w:val="222222"/>
                <w:sz w:val="19"/>
              </w:rPr>
              <w:t>0.5606</w:t>
            </w:r>
          </w:p>
        </w:tc>
        <w:tc>
          <w:tcPr>
            <w:tcW w:w="1008" w:type="dxa"/>
            <w:shd w:val="clear" w:color="auto" w:fill="FFFFFF"/>
            <w:tcMar>
              <w:top w:w="100" w:type="dxa"/>
              <w:left w:w="160" w:type="dxa"/>
              <w:bottom w:w="100" w:type="dxa"/>
              <w:right w:w="160" w:type="dxa"/>
            </w:tcMar>
          </w:tcPr>
          <w:p w14:paraId="6A262BE7" w14:textId="77777777" w:rsidR="00F540D9" w:rsidRDefault="00E66665">
            <w:pPr>
              <w:spacing w:after="0" w:line="264" w:lineRule="auto"/>
              <w:jc w:val="center"/>
            </w:pPr>
            <w:r>
              <w:rPr>
                <w:rFonts w:ascii="Calibri" w:hAnsi="Calibri"/>
                <w:color w:val="222222"/>
                <w:sz w:val="19"/>
              </w:rPr>
              <w:t>3rd</w:t>
            </w:r>
          </w:p>
        </w:tc>
      </w:tr>
      <w:tr w:rsidR="00F540D9" w14:paraId="14816DA4" w14:textId="77777777">
        <w:trPr>
          <w:jc w:val="center"/>
        </w:trPr>
        <w:tc>
          <w:tcPr>
            <w:tcW w:w="2592" w:type="dxa"/>
            <w:shd w:val="clear" w:color="auto" w:fill="F4F7FA"/>
            <w:tcMar>
              <w:top w:w="100" w:type="dxa"/>
              <w:left w:w="160" w:type="dxa"/>
              <w:bottom w:w="100" w:type="dxa"/>
              <w:right w:w="160" w:type="dxa"/>
            </w:tcMar>
          </w:tcPr>
          <w:p w14:paraId="2643CE8D" w14:textId="77777777" w:rsidR="00F540D9" w:rsidRDefault="00E66665">
            <w:pPr>
              <w:spacing w:after="0" w:line="264" w:lineRule="auto"/>
            </w:pPr>
            <w:r>
              <w:rPr>
                <w:rFonts w:ascii="Calibri" w:hAnsi="Calibri"/>
                <w:color w:val="222222"/>
                <w:sz w:val="19"/>
              </w:rPr>
              <w:t>Linear Regression</w:t>
            </w:r>
          </w:p>
        </w:tc>
        <w:tc>
          <w:tcPr>
            <w:tcW w:w="1440" w:type="dxa"/>
            <w:shd w:val="clear" w:color="auto" w:fill="F4F7FA"/>
            <w:tcMar>
              <w:top w:w="100" w:type="dxa"/>
              <w:left w:w="160" w:type="dxa"/>
              <w:bottom w:w="100" w:type="dxa"/>
              <w:right w:w="160" w:type="dxa"/>
            </w:tcMar>
          </w:tcPr>
          <w:p w14:paraId="1257AF92" w14:textId="77777777" w:rsidR="00F540D9" w:rsidRDefault="00E66665">
            <w:pPr>
              <w:spacing w:after="0" w:line="264" w:lineRule="auto"/>
              <w:jc w:val="right"/>
            </w:pPr>
            <w:r>
              <w:rPr>
                <w:rFonts w:ascii="Calibri" w:hAnsi="Calibri"/>
                <w:color w:val="222222"/>
                <w:sz w:val="19"/>
              </w:rPr>
              <w:t>$158,504.21</w:t>
            </w:r>
          </w:p>
        </w:tc>
        <w:tc>
          <w:tcPr>
            <w:tcW w:w="1872" w:type="dxa"/>
            <w:shd w:val="clear" w:color="auto" w:fill="F4F7FA"/>
            <w:tcMar>
              <w:top w:w="100" w:type="dxa"/>
              <w:left w:w="160" w:type="dxa"/>
              <w:bottom w:w="100" w:type="dxa"/>
              <w:right w:w="160" w:type="dxa"/>
            </w:tcMar>
          </w:tcPr>
          <w:p w14:paraId="48F73E4B" w14:textId="77777777" w:rsidR="00F540D9" w:rsidRDefault="00E66665">
            <w:pPr>
              <w:spacing w:after="0" w:line="264" w:lineRule="auto"/>
              <w:jc w:val="right"/>
            </w:pPr>
            <w:r>
              <w:rPr>
                <w:rFonts w:ascii="Calibri" w:hAnsi="Calibri"/>
                <w:color w:val="222222"/>
                <w:sz w:val="19"/>
              </w:rPr>
              <w:t>57,165,601,934.47</w:t>
            </w:r>
          </w:p>
        </w:tc>
        <w:tc>
          <w:tcPr>
            <w:tcW w:w="1440" w:type="dxa"/>
            <w:shd w:val="clear" w:color="auto" w:fill="F4F7FA"/>
            <w:tcMar>
              <w:top w:w="100" w:type="dxa"/>
              <w:left w:w="160" w:type="dxa"/>
              <w:bottom w:w="100" w:type="dxa"/>
              <w:right w:w="160" w:type="dxa"/>
            </w:tcMar>
          </w:tcPr>
          <w:p w14:paraId="501D9D4F" w14:textId="77777777" w:rsidR="00F540D9" w:rsidRDefault="00E66665">
            <w:pPr>
              <w:spacing w:after="0" w:line="264" w:lineRule="auto"/>
              <w:jc w:val="right"/>
            </w:pPr>
            <w:r>
              <w:rPr>
                <w:rFonts w:ascii="Calibri" w:hAnsi="Calibri"/>
                <w:color w:val="222222"/>
                <w:sz w:val="19"/>
              </w:rPr>
              <w:t>$239,093.29</w:t>
            </w:r>
          </w:p>
        </w:tc>
        <w:tc>
          <w:tcPr>
            <w:tcW w:w="1008" w:type="dxa"/>
            <w:shd w:val="clear" w:color="auto" w:fill="F4F7FA"/>
            <w:tcMar>
              <w:top w:w="100" w:type="dxa"/>
              <w:left w:w="160" w:type="dxa"/>
              <w:bottom w:w="100" w:type="dxa"/>
              <w:right w:w="160" w:type="dxa"/>
            </w:tcMar>
          </w:tcPr>
          <w:p w14:paraId="1B28C647" w14:textId="77777777" w:rsidR="00F540D9" w:rsidRDefault="00E66665">
            <w:pPr>
              <w:spacing w:after="0" w:line="264" w:lineRule="auto"/>
              <w:jc w:val="right"/>
            </w:pPr>
            <w:r>
              <w:rPr>
                <w:rFonts w:ascii="Calibri" w:hAnsi="Calibri"/>
                <w:color w:val="222222"/>
                <w:sz w:val="19"/>
              </w:rPr>
              <w:t>0.4698</w:t>
            </w:r>
          </w:p>
        </w:tc>
        <w:tc>
          <w:tcPr>
            <w:tcW w:w="1008" w:type="dxa"/>
            <w:shd w:val="clear" w:color="auto" w:fill="F4F7FA"/>
            <w:tcMar>
              <w:top w:w="100" w:type="dxa"/>
              <w:left w:w="160" w:type="dxa"/>
              <w:bottom w:w="100" w:type="dxa"/>
              <w:right w:w="160" w:type="dxa"/>
            </w:tcMar>
          </w:tcPr>
          <w:p w14:paraId="064B5ED3" w14:textId="77777777" w:rsidR="00F540D9" w:rsidRDefault="00E66665">
            <w:pPr>
              <w:spacing w:after="0" w:line="264" w:lineRule="auto"/>
              <w:jc w:val="center"/>
            </w:pPr>
            <w:r>
              <w:rPr>
                <w:rFonts w:ascii="Calibri" w:hAnsi="Calibri"/>
                <w:color w:val="222222"/>
                <w:sz w:val="19"/>
              </w:rPr>
              <w:t>4th (Baseline)</w:t>
            </w:r>
          </w:p>
        </w:tc>
      </w:tr>
    </w:tbl>
    <w:p w14:paraId="4457EDC4" w14:textId="77777777" w:rsidR="00F540D9" w:rsidRDefault="00E66665">
      <w:pPr>
        <w:spacing w:after="80"/>
      </w:pPr>
      <w:r>
        <w:rPr>
          <w:rFonts w:ascii="Calibri" w:hAnsi="Calibri"/>
          <w:color w:val="222222"/>
          <w:sz w:val="21"/>
        </w:rPr>
        <w:t>Figure 11 visualizes the comparative performance across all four models, highlighting the steady progression from baseline linear modeling to advanced gradient boosting.</w:t>
      </w:r>
    </w:p>
    <w:p w14:paraId="7C495316" w14:textId="77777777" w:rsidR="00F540D9" w:rsidRDefault="00E66665">
      <w:pPr>
        <w:keepNext/>
        <w:spacing w:before="160" w:after="40"/>
        <w:jc w:val="center"/>
      </w:pPr>
      <w:r>
        <w:rPr>
          <w:noProof/>
        </w:rPr>
        <w:lastRenderedPageBreak/>
        <w:drawing>
          <wp:inline distT="0" distB="0" distL="0" distR="0" wp14:anchorId="0FFEF04A" wp14:editId="425511F6">
            <wp:extent cx="4937760" cy="2110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_comparison.png"/>
                    <pic:cNvPicPr/>
                  </pic:nvPicPr>
                  <pic:blipFill>
                    <a:blip r:embed="rId18"/>
                    <a:stretch>
                      <a:fillRect/>
                    </a:stretch>
                  </pic:blipFill>
                  <pic:spPr>
                    <a:xfrm>
                      <a:off x="0" y="0"/>
                      <a:ext cx="4937760" cy="2110295"/>
                    </a:xfrm>
                    <a:prstGeom prst="rect">
                      <a:avLst/>
                    </a:prstGeom>
                  </pic:spPr>
                </pic:pic>
              </a:graphicData>
            </a:graphic>
          </wp:inline>
        </w:drawing>
      </w:r>
    </w:p>
    <w:p w14:paraId="24057FDC" w14:textId="77777777" w:rsidR="00F540D9" w:rsidRDefault="00E66665">
      <w:pPr>
        <w:spacing w:before="40" w:after="160"/>
        <w:jc w:val="center"/>
      </w:pPr>
      <w:r>
        <w:rPr>
          <w:rFonts w:ascii="Calibri" w:hAnsi="Calibri"/>
          <w:b/>
          <w:i/>
          <w:color w:val="316B9E"/>
          <w:sz w:val="19"/>
        </w:rPr>
        <w:t>Figure 11: Side-by-Side Comparison of R² Score and RMSE Across All Evaluated Models</w:t>
      </w:r>
    </w:p>
    <w:p w14:paraId="0206E0FC" w14:textId="77777777" w:rsidR="00F540D9" w:rsidRDefault="00E66665">
      <w:r>
        <w:br w:type="page"/>
      </w:r>
    </w:p>
    <w:p w14:paraId="5CF1D0A7" w14:textId="77777777" w:rsidR="00F540D9" w:rsidRDefault="00E66665">
      <w:pPr>
        <w:pStyle w:val="Heading1"/>
        <w:spacing w:before="320" w:after="120"/>
      </w:pPr>
      <w:r>
        <w:rPr>
          <w:rFonts w:ascii="Calibri" w:hAnsi="Calibri"/>
          <w:color w:val="1B365D"/>
          <w:sz w:val="30"/>
        </w:rPr>
        <w:lastRenderedPageBreak/>
        <w:t>12. Best Model Selection</w:t>
      </w:r>
    </w:p>
    <w:p w14:paraId="43DE7DD9" w14:textId="77777777" w:rsidR="00F540D9" w:rsidRDefault="00E66665">
      <w:pPr>
        <w:spacing w:after="80"/>
      </w:pPr>
      <w:r>
        <w:rPr>
          <w:rFonts w:ascii="Calibri" w:hAnsi="Calibri"/>
          <w:color w:val="222222"/>
          <w:sz w:val="21"/>
        </w:rPr>
        <w:t>In accordance with the pipeline's automated selection logic (best = max(results, key=lambda r: r['R2'])), the XGBoost Regressor was selected as the optimal production model.</w:t>
      </w:r>
    </w:p>
    <w:tbl>
      <w:tblPr>
        <w:tblW w:w="0" w:type="auto"/>
        <w:jc w:val="center"/>
        <w:tblLayout w:type="fixed"/>
        <w:tblLook w:val="04A0" w:firstRow="1" w:lastRow="0" w:firstColumn="1" w:lastColumn="0" w:noHBand="0" w:noVBand="1"/>
      </w:tblPr>
      <w:tblGrid>
        <w:gridCol w:w="9360"/>
      </w:tblGrid>
      <w:tr w:rsidR="00F540D9" w14:paraId="03F0F5C8" w14:textId="77777777">
        <w:trPr>
          <w:jc w:val="center"/>
        </w:trPr>
        <w:tc>
          <w:tcPr>
            <w:tcW w:w="9360" w:type="dxa"/>
            <w:tcBorders>
              <w:left w:val="single" w:sz="24" w:space="0" w:color="1B365D"/>
            </w:tcBorders>
            <w:shd w:val="clear" w:color="auto" w:fill="EEF4F9"/>
            <w:tcMar>
              <w:top w:w="140" w:type="dxa"/>
              <w:left w:w="200" w:type="dxa"/>
              <w:bottom w:w="140" w:type="dxa"/>
              <w:right w:w="160" w:type="dxa"/>
            </w:tcMar>
          </w:tcPr>
          <w:p w14:paraId="498EBCE2" w14:textId="77777777" w:rsidR="00F540D9" w:rsidRDefault="00E66665">
            <w:pPr>
              <w:spacing w:before="40" w:after="40"/>
            </w:pPr>
            <w:r>
              <w:rPr>
                <w:rFonts w:ascii="Calibri" w:hAnsi="Calibri"/>
                <w:b/>
                <w:color w:val="1B365D"/>
                <w:sz w:val="20"/>
              </w:rPr>
              <w:t xml:space="preserve">Selected Architecture: </w:t>
            </w:r>
            <w:r>
              <w:rPr>
                <w:rFonts w:ascii="Calibri" w:hAnsi="Calibri"/>
                <w:i/>
                <w:color w:val="222222"/>
                <w:sz w:val="20"/>
              </w:rPr>
              <w:t>Winning Model: XGBoost Regressor</w:t>
            </w:r>
            <w:r>
              <w:rPr>
                <w:rFonts w:ascii="Calibri" w:hAnsi="Calibri"/>
                <w:i/>
                <w:color w:val="222222"/>
                <w:sz w:val="20"/>
              </w:rPr>
              <w:br/>
              <w:t>• Test R² Score: 0.6213 (Explains 62.13% of test price variance)</w:t>
            </w:r>
            <w:r>
              <w:rPr>
                <w:rFonts w:ascii="Calibri" w:hAnsi="Calibri"/>
                <w:i/>
                <w:color w:val="222222"/>
                <w:sz w:val="20"/>
              </w:rPr>
              <w:br/>
              <w:t>• Test MAE: $105,382.57 (Lowest average error magnitude)</w:t>
            </w:r>
            <w:r>
              <w:rPr>
                <w:rFonts w:ascii="Calibri" w:hAnsi="Calibri"/>
                <w:i/>
                <w:color w:val="222222"/>
                <w:sz w:val="20"/>
              </w:rPr>
              <w:br/>
              <w:t>• Test RMSE: $202,060.38 (Lowest outlier dispersion)</w:t>
            </w:r>
            <w:r>
              <w:rPr>
                <w:rFonts w:ascii="Calibri" w:hAnsi="Calibri"/>
                <w:i/>
                <w:color w:val="222222"/>
                <w:sz w:val="20"/>
              </w:rPr>
              <w:br/>
            </w:r>
            <w:r>
              <w:rPr>
                <w:rFonts w:ascii="Calibri" w:hAnsi="Calibri"/>
                <w:i/>
                <w:color w:val="222222"/>
                <w:sz w:val="20"/>
              </w:rPr>
              <w:t>• Outperformance vs. Baseline: +15.15 percentage points higher R² and $37,033 lower RMSE than Linear Regression</w:t>
            </w:r>
            <w:r>
              <w:rPr>
                <w:rFonts w:ascii="Calibri" w:hAnsi="Calibri"/>
                <w:i/>
                <w:color w:val="222222"/>
                <w:sz w:val="20"/>
              </w:rPr>
              <w:br/>
              <w:t>• Serialization Destination: models/best_model.pkl (1.55 MB pipeline artifact)</w:t>
            </w:r>
          </w:p>
        </w:tc>
      </w:tr>
    </w:tbl>
    <w:p w14:paraId="4E11BEAA" w14:textId="77777777" w:rsidR="00F540D9" w:rsidRDefault="00F540D9">
      <w:pPr>
        <w:spacing w:after="80"/>
      </w:pPr>
    </w:p>
    <w:p w14:paraId="19CC64C4" w14:textId="77777777" w:rsidR="00F540D9" w:rsidRDefault="00E66665">
      <w:pPr>
        <w:pStyle w:val="Heading2"/>
        <w:spacing w:before="240" w:after="80"/>
      </w:pPr>
      <w:r>
        <w:rPr>
          <w:rFonts w:ascii="Calibri" w:hAnsi="Calibri"/>
          <w:color w:val="316B9E"/>
          <w:sz w:val="25"/>
        </w:rPr>
        <w:t>12.1 Justification for XGBoost's Superior Performance</w:t>
      </w:r>
    </w:p>
    <w:p w14:paraId="514260FC" w14:textId="77777777" w:rsidR="00F540D9" w:rsidRDefault="00E66665">
      <w:pPr>
        <w:pStyle w:val="ListBullet"/>
        <w:spacing w:after="80"/>
      </w:pPr>
      <w:r>
        <w:rPr>
          <w:rFonts w:ascii="Calibri" w:hAnsi="Calibri"/>
          <w:color w:val="222222"/>
          <w:sz w:val="21"/>
        </w:rPr>
        <w:t>1. Non-Linear Feature Interactions: Housing prices depend heavily on compound non-linear relationships (e.g., extra square footage is worth far more in Medina or Bellevue than in distant rural zones). XGBoost natively segments feature spaces along multi-dimensional decision boundaries.</w:t>
      </w:r>
    </w:p>
    <w:p w14:paraId="7A8F7CB5" w14:textId="77777777" w:rsidR="00F540D9" w:rsidRDefault="00E66665">
      <w:pPr>
        <w:pStyle w:val="ListBullet"/>
        <w:spacing w:after="80"/>
      </w:pPr>
      <w:r>
        <w:rPr>
          <w:rFonts w:ascii="Calibri" w:hAnsi="Calibri"/>
          <w:color w:val="222222"/>
          <w:sz w:val="21"/>
        </w:rPr>
        <w:t>2. Advanced Regularization: Unlike standard gradient boosting, XGBoost incorporates explicit shrinkage (learning_rate = 0.07) alongside row subsampling (0.8) and column subsampling (colsample_bytree = 0.8), mitigating overfitting to local training noise.</w:t>
      </w:r>
    </w:p>
    <w:p w14:paraId="6DB031CC" w14:textId="77777777" w:rsidR="00F540D9" w:rsidRDefault="00E66665">
      <w:pPr>
        <w:pStyle w:val="ListBullet"/>
        <w:spacing w:after="80"/>
      </w:pPr>
      <w:r>
        <w:rPr>
          <w:rFonts w:ascii="Calibri" w:hAnsi="Calibri"/>
          <w:color w:val="222222"/>
          <w:sz w:val="21"/>
        </w:rPr>
        <w:t>3. Second-Order Loss Optimization: XGBoost utilizes both first derivatives (gradient) and second derivatives (Hessian) of the loss function, enabling faster, more precise convergence to optimal leaf weights.</w:t>
      </w:r>
    </w:p>
    <w:p w14:paraId="1B735DAA" w14:textId="77777777" w:rsidR="00F540D9" w:rsidRDefault="00E66665">
      <w:pPr>
        <w:pStyle w:val="Heading2"/>
        <w:spacing w:before="240" w:after="80"/>
      </w:pPr>
      <w:r>
        <w:rPr>
          <w:rFonts w:ascii="Calibri" w:hAnsi="Calibri"/>
          <w:color w:val="316B9E"/>
          <w:sz w:val="25"/>
        </w:rPr>
        <w:t>12.2 Actual vs. Predicted Price Diagnostics</w:t>
      </w:r>
    </w:p>
    <w:p w14:paraId="33DD14A8" w14:textId="77777777" w:rsidR="00F540D9" w:rsidRDefault="00E66665">
      <w:pPr>
        <w:spacing w:after="80"/>
      </w:pPr>
      <w:r>
        <w:rPr>
          <w:rFonts w:ascii="Calibri" w:hAnsi="Calibri"/>
          <w:color w:val="222222"/>
          <w:sz w:val="21"/>
        </w:rPr>
        <w:t>Figure 12 displays a scatter plot of actual hold-out test prices versus prices predicted by the winning XGBoost model against the ideal 45-degree reference line (y = x).</w:t>
      </w:r>
    </w:p>
    <w:p w14:paraId="436E38F6" w14:textId="77777777" w:rsidR="00F540D9" w:rsidRDefault="00E66665">
      <w:pPr>
        <w:keepNext/>
        <w:spacing w:before="160" w:after="40"/>
        <w:jc w:val="center"/>
      </w:pPr>
      <w:r>
        <w:rPr>
          <w:noProof/>
        </w:rPr>
        <w:lastRenderedPageBreak/>
        <w:drawing>
          <wp:inline distT="0" distB="0" distL="0" distR="0" wp14:anchorId="549EE45B" wp14:editId="6EAB56AA">
            <wp:extent cx="4937760" cy="4933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tual_vs_predicted.png"/>
                    <pic:cNvPicPr/>
                  </pic:nvPicPr>
                  <pic:blipFill>
                    <a:blip r:embed="rId19"/>
                    <a:stretch>
                      <a:fillRect/>
                    </a:stretch>
                  </pic:blipFill>
                  <pic:spPr>
                    <a:xfrm>
                      <a:off x="0" y="0"/>
                      <a:ext cx="4937760" cy="4933462"/>
                    </a:xfrm>
                    <a:prstGeom prst="rect">
                      <a:avLst/>
                    </a:prstGeom>
                  </pic:spPr>
                </pic:pic>
              </a:graphicData>
            </a:graphic>
          </wp:inline>
        </w:drawing>
      </w:r>
    </w:p>
    <w:p w14:paraId="768C1D97" w14:textId="77777777" w:rsidR="00F540D9" w:rsidRDefault="00E66665">
      <w:pPr>
        <w:spacing w:before="40" w:after="160"/>
        <w:jc w:val="center"/>
      </w:pPr>
      <w:r>
        <w:rPr>
          <w:rFonts w:ascii="Calibri" w:hAnsi="Calibri"/>
          <w:b/>
          <w:i/>
          <w:color w:val="316B9E"/>
          <w:sz w:val="19"/>
        </w:rPr>
        <w:t>Figure 12: Actual vs. Predicted House Prices for the Winning XGBoost Model</w:t>
      </w:r>
    </w:p>
    <w:p w14:paraId="78581D18" w14:textId="77777777" w:rsidR="00F540D9" w:rsidRDefault="00E66665">
      <w:pPr>
        <w:spacing w:after="80"/>
      </w:pPr>
      <w:r>
        <w:rPr>
          <w:rFonts w:ascii="Calibri" w:hAnsi="Calibri"/>
          <w:color w:val="222222"/>
          <w:sz w:val="21"/>
        </w:rPr>
        <w:t>Observation: Predictions cluster tightly along the ideal 45-degree diagonal across the broad mid-market segment ($300,000 to $1,000,000). At extreme luxury price points (&gt; $1.5M), predictions show moderate under-estimation, which is expected due to the 99th percentile winsorization cap applied to mitigate gradient explosion.</w:t>
      </w:r>
    </w:p>
    <w:p w14:paraId="676109A4" w14:textId="77777777" w:rsidR="00F540D9" w:rsidRDefault="00E66665">
      <w:pPr>
        <w:pStyle w:val="Heading2"/>
        <w:spacing w:before="240" w:after="80"/>
      </w:pPr>
      <w:r>
        <w:rPr>
          <w:rFonts w:ascii="Calibri" w:hAnsi="Calibri"/>
          <w:color w:val="316B9E"/>
          <w:sz w:val="25"/>
        </w:rPr>
        <w:t>12.3 Residual Diagnostic Analysis</w:t>
      </w:r>
    </w:p>
    <w:p w14:paraId="10BBD663" w14:textId="77777777" w:rsidR="00F540D9" w:rsidRDefault="00E66665">
      <w:pPr>
        <w:spacing w:after="80"/>
      </w:pPr>
      <w:r>
        <w:rPr>
          <w:rFonts w:ascii="Calibri" w:hAnsi="Calibri"/>
          <w:color w:val="222222"/>
          <w:sz w:val="21"/>
        </w:rPr>
        <w:t>Figure 13 presents residual diagnostic plots for the XGBoost model, showing residuals (y_true - y_pred) versus fitted values and the frequency distribution of residuals.</w:t>
      </w:r>
    </w:p>
    <w:p w14:paraId="111C4678" w14:textId="77777777" w:rsidR="00F540D9" w:rsidRDefault="00E66665">
      <w:pPr>
        <w:keepNext/>
        <w:spacing w:before="160" w:after="40"/>
        <w:jc w:val="center"/>
      </w:pPr>
      <w:r>
        <w:rPr>
          <w:noProof/>
        </w:rPr>
        <w:lastRenderedPageBreak/>
        <w:drawing>
          <wp:inline distT="0" distB="0" distL="0" distR="0" wp14:anchorId="3E28AF45" wp14:editId="39D8B91E">
            <wp:extent cx="4937760" cy="21079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siduals.png"/>
                    <pic:cNvPicPr/>
                  </pic:nvPicPr>
                  <pic:blipFill>
                    <a:blip r:embed="rId20"/>
                    <a:stretch>
                      <a:fillRect/>
                    </a:stretch>
                  </pic:blipFill>
                  <pic:spPr>
                    <a:xfrm>
                      <a:off x="0" y="0"/>
                      <a:ext cx="4937760" cy="2107948"/>
                    </a:xfrm>
                    <a:prstGeom prst="rect">
                      <a:avLst/>
                    </a:prstGeom>
                  </pic:spPr>
                </pic:pic>
              </a:graphicData>
            </a:graphic>
          </wp:inline>
        </w:drawing>
      </w:r>
    </w:p>
    <w:p w14:paraId="04C82D68" w14:textId="77777777" w:rsidR="00F540D9" w:rsidRDefault="00E66665">
      <w:pPr>
        <w:spacing w:before="40" w:after="160"/>
        <w:jc w:val="center"/>
      </w:pPr>
      <w:r>
        <w:rPr>
          <w:rFonts w:ascii="Calibri" w:hAnsi="Calibri"/>
          <w:b/>
          <w:i/>
          <w:color w:val="316B9E"/>
          <w:sz w:val="19"/>
        </w:rPr>
        <w:t>Figure 13: Residual Diagnostic Analysis for the XGBoost Model (Scatter &amp; Histogram)</w:t>
      </w:r>
    </w:p>
    <w:p w14:paraId="0E82B105" w14:textId="77777777" w:rsidR="00F540D9" w:rsidRDefault="00E66665">
      <w:pPr>
        <w:spacing w:after="80"/>
      </w:pPr>
      <w:r>
        <w:rPr>
          <w:rFonts w:ascii="Calibri" w:hAnsi="Calibri"/>
          <w:color w:val="222222"/>
          <w:sz w:val="21"/>
        </w:rPr>
        <w:t>Observation: The residual distribution is centered near zero with symmetric dispersion. The residual scatter plot indicates homoscedastic behavior across typical home prices, with variance increasing only at luxury price levels where unique architectural custom finishes introduce idiosyncratic valuation variation.</w:t>
      </w:r>
    </w:p>
    <w:p w14:paraId="46CDD62C" w14:textId="77777777" w:rsidR="00F540D9" w:rsidRDefault="00E66665">
      <w:pPr>
        <w:pStyle w:val="Heading2"/>
        <w:spacing w:before="240" w:after="80"/>
      </w:pPr>
      <w:r>
        <w:rPr>
          <w:rFonts w:ascii="Calibri" w:hAnsi="Calibri"/>
          <w:color w:val="316B9E"/>
          <w:sz w:val="25"/>
        </w:rPr>
        <w:t>12.4 Top Feature Importances</w:t>
      </w:r>
    </w:p>
    <w:p w14:paraId="619E2927" w14:textId="77777777" w:rsidR="00F540D9" w:rsidRDefault="00E66665">
      <w:pPr>
        <w:spacing w:after="80"/>
      </w:pPr>
      <w:r>
        <w:rPr>
          <w:rFonts w:ascii="Calibri" w:hAnsi="Calibri"/>
          <w:color w:val="222222"/>
          <w:sz w:val="21"/>
        </w:rPr>
        <w:t>Figure 14 and the table below document the top 15 features ranked by importance score in the winning XGBoost pipeline, as preserved in models/feature_importance.json:</w:t>
      </w:r>
    </w:p>
    <w:p w14:paraId="0B9DAED6" w14:textId="77777777" w:rsidR="00F540D9" w:rsidRDefault="00E66665">
      <w:pPr>
        <w:keepNext/>
        <w:spacing w:before="160" w:after="40"/>
        <w:jc w:val="center"/>
      </w:pPr>
      <w:r>
        <w:rPr>
          <w:noProof/>
        </w:rPr>
        <w:drawing>
          <wp:inline distT="0" distB="0" distL="0" distR="0" wp14:anchorId="4A427F93" wp14:editId="742515C6">
            <wp:extent cx="4937760" cy="39301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eature_importance.png"/>
                    <pic:cNvPicPr/>
                  </pic:nvPicPr>
                  <pic:blipFill>
                    <a:blip r:embed="rId21"/>
                    <a:stretch>
                      <a:fillRect/>
                    </a:stretch>
                  </pic:blipFill>
                  <pic:spPr>
                    <a:xfrm>
                      <a:off x="0" y="0"/>
                      <a:ext cx="4937760" cy="3930133"/>
                    </a:xfrm>
                    <a:prstGeom prst="rect">
                      <a:avLst/>
                    </a:prstGeom>
                  </pic:spPr>
                </pic:pic>
              </a:graphicData>
            </a:graphic>
          </wp:inline>
        </w:drawing>
      </w:r>
    </w:p>
    <w:p w14:paraId="3B491046" w14:textId="77777777" w:rsidR="00F540D9" w:rsidRDefault="00E66665">
      <w:pPr>
        <w:spacing w:before="40" w:after="160"/>
        <w:jc w:val="center"/>
      </w:pPr>
      <w:r>
        <w:rPr>
          <w:rFonts w:ascii="Calibri" w:hAnsi="Calibri"/>
          <w:b/>
          <w:i/>
          <w:color w:val="316B9E"/>
          <w:sz w:val="19"/>
        </w:rPr>
        <w:t>Figure 14: Top 15 Feature Importances Ranked by the XGBoost Regressor</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016"/>
        <w:gridCol w:w="1584"/>
        <w:gridCol w:w="1440"/>
        <w:gridCol w:w="4320"/>
      </w:tblGrid>
      <w:tr w:rsidR="00F540D9" w14:paraId="2545EC57" w14:textId="77777777">
        <w:trPr>
          <w:jc w:val="center"/>
        </w:trPr>
        <w:tc>
          <w:tcPr>
            <w:tcW w:w="2016" w:type="dxa"/>
            <w:shd w:val="clear" w:color="auto" w:fill="1B365D"/>
            <w:tcMar>
              <w:top w:w="140" w:type="dxa"/>
              <w:left w:w="160" w:type="dxa"/>
              <w:bottom w:w="140" w:type="dxa"/>
              <w:right w:w="160" w:type="dxa"/>
            </w:tcMar>
          </w:tcPr>
          <w:p w14:paraId="7D0220AC" w14:textId="77777777" w:rsidR="00F540D9" w:rsidRDefault="00E66665">
            <w:pPr>
              <w:spacing w:after="0"/>
            </w:pPr>
            <w:r>
              <w:rPr>
                <w:rFonts w:ascii="Calibri" w:hAnsi="Calibri"/>
                <w:b/>
                <w:color w:val="FFFFFF"/>
                <w:sz w:val="19"/>
              </w:rPr>
              <w:lastRenderedPageBreak/>
              <w:t>Feature Name</w:t>
            </w:r>
          </w:p>
        </w:tc>
        <w:tc>
          <w:tcPr>
            <w:tcW w:w="1584" w:type="dxa"/>
            <w:shd w:val="clear" w:color="auto" w:fill="1B365D"/>
            <w:tcMar>
              <w:top w:w="140" w:type="dxa"/>
              <w:left w:w="160" w:type="dxa"/>
              <w:bottom w:w="140" w:type="dxa"/>
              <w:right w:w="160" w:type="dxa"/>
            </w:tcMar>
          </w:tcPr>
          <w:p w14:paraId="55AC5F1E" w14:textId="77777777" w:rsidR="00F540D9" w:rsidRDefault="00E66665">
            <w:pPr>
              <w:spacing w:after="0"/>
              <w:jc w:val="right"/>
            </w:pPr>
            <w:r>
              <w:rPr>
                <w:rFonts w:ascii="Calibri" w:hAnsi="Calibri"/>
                <w:b/>
                <w:color w:val="FFFFFF"/>
                <w:sz w:val="19"/>
              </w:rPr>
              <w:t>Importance Score</w:t>
            </w:r>
          </w:p>
        </w:tc>
        <w:tc>
          <w:tcPr>
            <w:tcW w:w="1440" w:type="dxa"/>
            <w:shd w:val="clear" w:color="auto" w:fill="1B365D"/>
            <w:tcMar>
              <w:top w:w="140" w:type="dxa"/>
              <w:left w:w="160" w:type="dxa"/>
              <w:bottom w:w="140" w:type="dxa"/>
              <w:right w:w="160" w:type="dxa"/>
            </w:tcMar>
          </w:tcPr>
          <w:p w14:paraId="50C9ECD2" w14:textId="77777777" w:rsidR="00F540D9" w:rsidRDefault="00E66665">
            <w:pPr>
              <w:spacing w:after="0"/>
              <w:jc w:val="right"/>
            </w:pPr>
            <w:r>
              <w:rPr>
                <w:rFonts w:ascii="Calibri" w:hAnsi="Calibri"/>
                <w:b/>
                <w:color w:val="FFFFFF"/>
                <w:sz w:val="19"/>
              </w:rPr>
              <w:t>Relative Weight</w:t>
            </w:r>
          </w:p>
        </w:tc>
        <w:tc>
          <w:tcPr>
            <w:tcW w:w="4320" w:type="dxa"/>
            <w:shd w:val="clear" w:color="auto" w:fill="1B365D"/>
            <w:tcMar>
              <w:top w:w="140" w:type="dxa"/>
              <w:left w:w="160" w:type="dxa"/>
              <w:bottom w:w="140" w:type="dxa"/>
              <w:right w:w="160" w:type="dxa"/>
            </w:tcMar>
          </w:tcPr>
          <w:p w14:paraId="6D8F15D8" w14:textId="77777777" w:rsidR="00F540D9" w:rsidRDefault="00E66665">
            <w:pPr>
              <w:spacing w:after="0"/>
            </w:pPr>
            <w:r>
              <w:rPr>
                <w:rFonts w:ascii="Calibri" w:hAnsi="Calibri"/>
                <w:b/>
                <w:color w:val="FFFFFF"/>
                <w:sz w:val="19"/>
              </w:rPr>
              <w:t>Analytical Interpretation</w:t>
            </w:r>
          </w:p>
        </w:tc>
      </w:tr>
      <w:tr w:rsidR="00F540D9" w14:paraId="496560BF" w14:textId="77777777">
        <w:trPr>
          <w:jc w:val="center"/>
        </w:trPr>
        <w:tc>
          <w:tcPr>
            <w:tcW w:w="2016" w:type="dxa"/>
            <w:shd w:val="clear" w:color="auto" w:fill="FFFFFF"/>
            <w:tcMar>
              <w:top w:w="100" w:type="dxa"/>
              <w:left w:w="160" w:type="dxa"/>
              <w:bottom w:w="100" w:type="dxa"/>
              <w:right w:w="160" w:type="dxa"/>
            </w:tcMar>
          </w:tcPr>
          <w:p w14:paraId="06889C9A" w14:textId="77777777" w:rsidR="00F540D9" w:rsidRDefault="00E66665">
            <w:pPr>
              <w:spacing w:after="0" w:line="264" w:lineRule="auto"/>
            </w:pPr>
            <w:r>
              <w:rPr>
                <w:rFonts w:ascii="Calibri" w:hAnsi="Calibri"/>
                <w:color w:val="222222"/>
                <w:sz w:val="19"/>
              </w:rPr>
              <w:t>total_sqft</w:t>
            </w:r>
          </w:p>
        </w:tc>
        <w:tc>
          <w:tcPr>
            <w:tcW w:w="1584" w:type="dxa"/>
            <w:shd w:val="clear" w:color="auto" w:fill="FFFFFF"/>
            <w:tcMar>
              <w:top w:w="100" w:type="dxa"/>
              <w:left w:w="160" w:type="dxa"/>
              <w:bottom w:w="100" w:type="dxa"/>
              <w:right w:w="160" w:type="dxa"/>
            </w:tcMar>
          </w:tcPr>
          <w:p w14:paraId="41EC6F00" w14:textId="77777777" w:rsidR="00F540D9" w:rsidRDefault="00E66665">
            <w:pPr>
              <w:spacing w:after="0" w:line="264" w:lineRule="auto"/>
              <w:jc w:val="right"/>
            </w:pPr>
            <w:r>
              <w:rPr>
                <w:rFonts w:ascii="Calibri" w:hAnsi="Calibri"/>
                <w:color w:val="222222"/>
                <w:sz w:val="19"/>
              </w:rPr>
              <w:t>0.275385</w:t>
            </w:r>
          </w:p>
        </w:tc>
        <w:tc>
          <w:tcPr>
            <w:tcW w:w="1440" w:type="dxa"/>
            <w:shd w:val="clear" w:color="auto" w:fill="FFFFFF"/>
            <w:tcMar>
              <w:top w:w="100" w:type="dxa"/>
              <w:left w:w="160" w:type="dxa"/>
              <w:bottom w:w="100" w:type="dxa"/>
              <w:right w:w="160" w:type="dxa"/>
            </w:tcMar>
          </w:tcPr>
          <w:p w14:paraId="266B2F8A" w14:textId="77777777" w:rsidR="00F540D9" w:rsidRDefault="00E66665">
            <w:pPr>
              <w:spacing w:after="0" w:line="264" w:lineRule="auto"/>
              <w:jc w:val="right"/>
            </w:pPr>
            <w:r>
              <w:rPr>
                <w:rFonts w:ascii="Calibri" w:hAnsi="Calibri"/>
                <w:color w:val="222222"/>
                <w:sz w:val="19"/>
              </w:rPr>
              <w:t>27.54%</w:t>
            </w:r>
          </w:p>
        </w:tc>
        <w:tc>
          <w:tcPr>
            <w:tcW w:w="4320" w:type="dxa"/>
            <w:shd w:val="clear" w:color="auto" w:fill="FFFFFF"/>
            <w:tcMar>
              <w:top w:w="100" w:type="dxa"/>
              <w:left w:w="160" w:type="dxa"/>
              <w:bottom w:w="100" w:type="dxa"/>
              <w:right w:w="160" w:type="dxa"/>
            </w:tcMar>
          </w:tcPr>
          <w:p w14:paraId="790B811E" w14:textId="77777777" w:rsidR="00F540D9" w:rsidRDefault="00E66665">
            <w:pPr>
              <w:spacing w:after="0" w:line="264" w:lineRule="auto"/>
            </w:pPr>
            <w:r>
              <w:rPr>
                <w:rFonts w:ascii="Calibri" w:hAnsi="Calibri"/>
                <w:color w:val="222222"/>
                <w:sz w:val="19"/>
              </w:rPr>
              <w:t>Unified total enclosed living area across all vertical planes</w:t>
            </w:r>
          </w:p>
        </w:tc>
      </w:tr>
      <w:tr w:rsidR="00F540D9" w14:paraId="02E65CA6" w14:textId="77777777">
        <w:trPr>
          <w:jc w:val="center"/>
        </w:trPr>
        <w:tc>
          <w:tcPr>
            <w:tcW w:w="2016" w:type="dxa"/>
            <w:shd w:val="clear" w:color="auto" w:fill="F4F7FA"/>
            <w:tcMar>
              <w:top w:w="100" w:type="dxa"/>
              <w:left w:w="160" w:type="dxa"/>
              <w:bottom w:w="100" w:type="dxa"/>
              <w:right w:w="160" w:type="dxa"/>
            </w:tcMar>
          </w:tcPr>
          <w:p w14:paraId="513D5B2C" w14:textId="77777777" w:rsidR="00F540D9" w:rsidRDefault="00E66665">
            <w:pPr>
              <w:spacing w:after="0" w:line="264" w:lineRule="auto"/>
            </w:pPr>
            <w:r>
              <w:rPr>
                <w:rFonts w:ascii="Calibri" w:hAnsi="Calibri"/>
                <w:color w:val="222222"/>
                <w:sz w:val="19"/>
              </w:rPr>
              <w:t>sqft_living</w:t>
            </w:r>
          </w:p>
        </w:tc>
        <w:tc>
          <w:tcPr>
            <w:tcW w:w="1584" w:type="dxa"/>
            <w:shd w:val="clear" w:color="auto" w:fill="F4F7FA"/>
            <w:tcMar>
              <w:top w:w="100" w:type="dxa"/>
              <w:left w:w="160" w:type="dxa"/>
              <w:bottom w:w="100" w:type="dxa"/>
              <w:right w:w="160" w:type="dxa"/>
            </w:tcMar>
          </w:tcPr>
          <w:p w14:paraId="39DF9461" w14:textId="77777777" w:rsidR="00F540D9" w:rsidRDefault="00E66665">
            <w:pPr>
              <w:spacing w:after="0" w:line="264" w:lineRule="auto"/>
              <w:jc w:val="right"/>
            </w:pPr>
            <w:r>
              <w:rPr>
                <w:rFonts w:ascii="Calibri" w:hAnsi="Calibri"/>
                <w:color w:val="222222"/>
                <w:sz w:val="19"/>
              </w:rPr>
              <w:t>0.139241</w:t>
            </w:r>
          </w:p>
        </w:tc>
        <w:tc>
          <w:tcPr>
            <w:tcW w:w="1440" w:type="dxa"/>
            <w:shd w:val="clear" w:color="auto" w:fill="F4F7FA"/>
            <w:tcMar>
              <w:top w:w="100" w:type="dxa"/>
              <w:left w:w="160" w:type="dxa"/>
              <w:bottom w:w="100" w:type="dxa"/>
              <w:right w:w="160" w:type="dxa"/>
            </w:tcMar>
          </w:tcPr>
          <w:p w14:paraId="514C2E92" w14:textId="77777777" w:rsidR="00F540D9" w:rsidRDefault="00E66665">
            <w:pPr>
              <w:spacing w:after="0" w:line="264" w:lineRule="auto"/>
              <w:jc w:val="right"/>
            </w:pPr>
            <w:r>
              <w:rPr>
                <w:rFonts w:ascii="Calibri" w:hAnsi="Calibri"/>
                <w:color w:val="222222"/>
                <w:sz w:val="19"/>
              </w:rPr>
              <w:t>13.92%</w:t>
            </w:r>
          </w:p>
        </w:tc>
        <w:tc>
          <w:tcPr>
            <w:tcW w:w="4320" w:type="dxa"/>
            <w:shd w:val="clear" w:color="auto" w:fill="F4F7FA"/>
            <w:tcMar>
              <w:top w:w="100" w:type="dxa"/>
              <w:left w:w="160" w:type="dxa"/>
              <w:bottom w:w="100" w:type="dxa"/>
              <w:right w:w="160" w:type="dxa"/>
            </w:tcMar>
          </w:tcPr>
          <w:p w14:paraId="72A36F01" w14:textId="77777777" w:rsidR="00F540D9" w:rsidRDefault="00E66665">
            <w:pPr>
              <w:spacing w:after="0" w:line="264" w:lineRule="auto"/>
            </w:pPr>
            <w:r>
              <w:rPr>
                <w:rFonts w:ascii="Calibri" w:hAnsi="Calibri"/>
                <w:color w:val="222222"/>
                <w:sz w:val="19"/>
              </w:rPr>
              <w:t>Habitable interior above-grade and basement living space</w:t>
            </w:r>
          </w:p>
        </w:tc>
      </w:tr>
      <w:tr w:rsidR="00F540D9" w14:paraId="5A6FEE28" w14:textId="77777777">
        <w:trPr>
          <w:jc w:val="center"/>
        </w:trPr>
        <w:tc>
          <w:tcPr>
            <w:tcW w:w="2016" w:type="dxa"/>
            <w:shd w:val="clear" w:color="auto" w:fill="FFFFFF"/>
            <w:tcMar>
              <w:top w:w="100" w:type="dxa"/>
              <w:left w:w="160" w:type="dxa"/>
              <w:bottom w:w="100" w:type="dxa"/>
              <w:right w:w="160" w:type="dxa"/>
            </w:tcMar>
          </w:tcPr>
          <w:p w14:paraId="5A7CF357" w14:textId="77777777" w:rsidR="00F540D9" w:rsidRDefault="00E66665">
            <w:pPr>
              <w:spacing w:after="0" w:line="264" w:lineRule="auto"/>
            </w:pPr>
            <w:r>
              <w:rPr>
                <w:rFonts w:ascii="Calibri" w:hAnsi="Calibri"/>
                <w:color w:val="222222"/>
                <w:sz w:val="19"/>
              </w:rPr>
              <w:t>has_basement</w:t>
            </w:r>
          </w:p>
        </w:tc>
        <w:tc>
          <w:tcPr>
            <w:tcW w:w="1584" w:type="dxa"/>
            <w:shd w:val="clear" w:color="auto" w:fill="FFFFFF"/>
            <w:tcMar>
              <w:top w:w="100" w:type="dxa"/>
              <w:left w:w="160" w:type="dxa"/>
              <w:bottom w:w="100" w:type="dxa"/>
              <w:right w:w="160" w:type="dxa"/>
            </w:tcMar>
          </w:tcPr>
          <w:p w14:paraId="069042CD" w14:textId="77777777" w:rsidR="00F540D9" w:rsidRDefault="00E66665">
            <w:pPr>
              <w:spacing w:after="0" w:line="264" w:lineRule="auto"/>
              <w:jc w:val="right"/>
            </w:pPr>
            <w:r>
              <w:rPr>
                <w:rFonts w:ascii="Calibri" w:hAnsi="Calibri"/>
                <w:color w:val="222222"/>
                <w:sz w:val="19"/>
              </w:rPr>
              <w:t>0.124880</w:t>
            </w:r>
          </w:p>
        </w:tc>
        <w:tc>
          <w:tcPr>
            <w:tcW w:w="1440" w:type="dxa"/>
            <w:shd w:val="clear" w:color="auto" w:fill="FFFFFF"/>
            <w:tcMar>
              <w:top w:w="100" w:type="dxa"/>
              <w:left w:w="160" w:type="dxa"/>
              <w:bottom w:w="100" w:type="dxa"/>
              <w:right w:w="160" w:type="dxa"/>
            </w:tcMar>
          </w:tcPr>
          <w:p w14:paraId="675F760E" w14:textId="77777777" w:rsidR="00F540D9" w:rsidRDefault="00E66665">
            <w:pPr>
              <w:spacing w:after="0" w:line="264" w:lineRule="auto"/>
              <w:jc w:val="right"/>
            </w:pPr>
            <w:r>
              <w:rPr>
                <w:rFonts w:ascii="Calibri" w:hAnsi="Calibri"/>
                <w:color w:val="222222"/>
                <w:sz w:val="19"/>
              </w:rPr>
              <w:t>12.49%</w:t>
            </w:r>
          </w:p>
        </w:tc>
        <w:tc>
          <w:tcPr>
            <w:tcW w:w="4320" w:type="dxa"/>
            <w:shd w:val="clear" w:color="auto" w:fill="FFFFFF"/>
            <w:tcMar>
              <w:top w:w="100" w:type="dxa"/>
              <w:left w:w="160" w:type="dxa"/>
              <w:bottom w:w="100" w:type="dxa"/>
              <w:right w:w="160" w:type="dxa"/>
            </w:tcMar>
          </w:tcPr>
          <w:p w14:paraId="5440F125" w14:textId="77777777" w:rsidR="00F540D9" w:rsidRDefault="00E66665">
            <w:pPr>
              <w:spacing w:after="0" w:line="264" w:lineRule="auto"/>
            </w:pPr>
            <w:r>
              <w:rPr>
                <w:rFonts w:ascii="Calibri" w:hAnsi="Calibri"/>
                <w:color w:val="222222"/>
                <w:sz w:val="19"/>
              </w:rPr>
              <w:t>Binary indicator of subterranean finished or unfinished space</w:t>
            </w:r>
          </w:p>
        </w:tc>
      </w:tr>
      <w:tr w:rsidR="00F540D9" w14:paraId="33E6A1C1" w14:textId="77777777">
        <w:trPr>
          <w:jc w:val="center"/>
        </w:trPr>
        <w:tc>
          <w:tcPr>
            <w:tcW w:w="2016" w:type="dxa"/>
            <w:shd w:val="clear" w:color="auto" w:fill="F4F7FA"/>
            <w:tcMar>
              <w:top w:w="100" w:type="dxa"/>
              <w:left w:w="160" w:type="dxa"/>
              <w:bottom w:w="100" w:type="dxa"/>
              <w:right w:w="160" w:type="dxa"/>
            </w:tcMar>
          </w:tcPr>
          <w:p w14:paraId="13106CF2" w14:textId="77777777" w:rsidR="00F540D9" w:rsidRDefault="00E66665">
            <w:pPr>
              <w:spacing w:after="0" w:line="264" w:lineRule="auto"/>
            </w:pPr>
            <w:r>
              <w:rPr>
                <w:rFonts w:ascii="Calibri" w:hAnsi="Calibri"/>
                <w:color w:val="222222"/>
                <w:sz w:val="19"/>
              </w:rPr>
              <w:t>view</w:t>
            </w:r>
          </w:p>
        </w:tc>
        <w:tc>
          <w:tcPr>
            <w:tcW w:w="1584" w:type="dxa"/>
            <w:shd w:val="clear" w:color="auto" w:fill="F4F7FA"/>
            <w:tcMar>
              <w:top w:w="100" w:type="dxa"/>
              <w:left w:w="160" w:type="dxa"/>
              <w:bottom w:w="100" w:type="dxa"/>
              <w:right w:w="160" w:type="dxa"/>
            </w:tcMar>
          </w:tcPr>
          <w:p w14:paraId="78302F6A" w14:textId="77777777" w:rsidR="00F540D9" w:rsidRDefault="00E66665">
            <w:pPr>
              <w:spacing w:after="0" w:line="264" w:lineRule="auto"/>
              <w:jc w:val="right"/>
            </w:pPr>
            <w:r>
              <w:rPr>
                <w:rFonts w:ascii="Calibri" w:hAnsi="Calibri"/>
                <w:color w:val="222222"/>
                <w:sz w:val="19"/>
              </w:rPr>
              <w:t>0.061912</w:t>
            </w:r>
          </w:p>
        </w:tc>
        <w:tc>
          <w:tcPr>
            <w:tcW w:w="1440" w:type="dxa"/>
            <w:shd w:val="clear" w:color="auto" w:fill="F4F7FA"/>
            <w:tcMar>
              <w:top w:w="100" w:type="dxa"/>
              <w:left w:w="160" w:type="dxa"/>
              <w:bottom w:w="100" w:type="dxa"/>
              <w:right w:w="160" w:type="dxa"/>
            </w:tcMar>
          </w:tcPr>
          <w:p w14:paraId="6B97FBDA" w14:textId="77777777" w:rsidR="00F540D9" w:rsidRDefault="00E66665">
            <w:pPr>
              <w:spacing w:after="0" w:line="264" w:lineRule="auto"/>
              <w:jc w:val="right"/>
            </w:pPr>
            <w:r>
              <w:rPr>
                <w:rFonts w:ascii="Calibri" w:hAnsi="Calibri"/>
                <w:color w:val="222222"/>
                <w:sz w:val="19"/>
              </w:rPr>
              <w:t>6.19%</w:t>
            </w:r>
          </w:p>
        </w:tc>
        <w:tc>
          <w:tcPr>
            <w:tcW w:w="4320" w:type="dxa"/>
            <w:shd w:val="clear" w:color="auto" w:fill="F4F7FA"/>
            <w:tcMar>
              <w:top w:w="100" w:type="dxa"/>
              <w:left w:w="160" w:type="dxa"/>
              <w:bottom w:w="100" w:type="dxa"/>
              <w:right w:w="160" w:type="dxa"/>
            </w:tcMar>
          </w:tcPr>
          <w:p w14:paraId="40A5CE42" w14:textId="77777777" w:rsidR="00F540D9" w:rsidRDefault="00E66665">
            <w:pPr>
              <w:spacing w:after="0" w:line="264" w:lineRule="auto"/>
            </w:pPr>
            <w:r>
              <w:rPr>
                <w:rFonts w:ascii="Calibri" w:hAnsi="Calibri"/>
                <w:color w:val="222222"/>
                <w:sz w:val="19"/>
              </w:rPr>
              <w:t>Scenic visual outlook aesthetic rating (0 to 4 scale)</w:t>
            </w:r>
          </w:p>
        </w:tc>
      </w:tr>
      <w:tr w:rsidR="00F540D9" w14:paraId="61BAE617" w14:textId="77777777">
        <w:trPr>
          <w:jc w:val="center"/>
        </w:trPr>
        <w:tc>
          <w:tcPr>
            <w:tcW w:w="2016" w:type="dxa"/>
            <w:shd w:val="clear" w:color="auto" w:fill="FFFFFF"/>
            <w:tcMar>
              <w:top w:w="100" w:type="dxa"/>
              <w:left w:w="160" w:type="dxa"/>
              <w:bottom w:w="100" w:type="dxa"/>
              <w:right w:w="160" w:type="dxa"/>
            </w:tcMar>
          </w:tcPr>
          <w:p w14:paraId="31D8328B" w14:textId="77777777" w:rsidR="00F540D9" w:rsidRDefault="00E66665">
            <w:pPr>
              <w:spacing w:after="0" w:line="264" w:lineRule="auto"/>
            </w:pPr>
            <w:r>
              <w:rPr>
                <w:rFonts w:ascii="Calibri" w:hAnsi="Calibri"/>
                <w:color w:val="222222"/>
                <w:sz w:val="19"/>
              </w:rPr>
              <w:t>city_encoded</w:t>
            </w:r>
          </w:p>
        </w:tc>
        <w:tc>
          <w:tcPr>
            <w:tcW w:w="1584" w:type="dxa"/>
            <w:shd w:val="clear" w:color="auto" w:fill="FFFFFF"/>
            <w:tcMar>
              <w:top w:w="100" w:type="dxa"/>
              <w:left w:w="160" w:type="dxa"/>
              <w:bottom w:w="100" w:type="dxa"/>
              <w:right w:w="160" w:type="dxa"/>
            </w:tcMar>
          </w:tcPr>
          <w:p w14:paraId="4E17D8A2" w14:textId="77777777" w:rsidR="00F540D9" w:rsidRDefault="00E66665">
            <w:pPr>
              <w:spacing w:after="0" w:line="264" w:lineRule="auto"/>
              <w:jc w:val="right"/>
            </w:pPr>
            <w:r>
              <w:rPr>
                <w:rFonts w:ascii="Calibri" w:hAnsi="Calibri"/>
                <w:color w:val="222222"/>
                <w:sz w:val="19"/>
              </w:rPr>
              <w:t>0.053878</w:t>
            </w:r>
          </w:p>
        </w:tc>
        <w:tc>
          <w:tcPr>
            <w:tcW w:w="1440" w:type="dxa"/>
            <w:shd w:val="clear" w:color="auto" w:fill="FFFFFF"/>
            <w:tcMar>
              <w:top w:w="100" w:type="dxa"/>
              <w:left w:w="160" w:type="dxa"/>
              <w:bottom w:w="100" w:type="dxa"/>
              <w:right w:w="160" w:type="dxa"/>
            </w:tcMar>
          </w:tcPr>
          <w:p w14:paraId="03DEAC67" w14:textId="77777777" w:rsidR="00F540D9" w:rsidRDefault="00E66665">
            <w:pPr>
              <w:spacing w:after="0" w:line="264" w:lineRule="auto"/>
              <w:jc w:val="right"/>
            </w:pPr>
            <w:r>
              <w:rPr>
                <w:rFonts w:ascii="Calibri" w:hAnsi="Calibri"/>
                <w:color w:val="222222"/>
                <w:sz w:val="19"/>
              </w:rPr>
              <w:t>5.39%</w:t>
            </w:r>
          </w:p>
        </w:tc>
        <w:tc>
          <w:tcPr>
            <w:tcW w:w="4320" w:type="dxa"/>
            <w:shd w:val="clear" w:color="auto" w:fill="FFFFFF"/>
            <w:tcMar>
              <w:top w:w="100" w:type="dxa"/>
              <w:left w:w="160" w:type="dxa"/>
              <w:bottom w:w="100" w:type="dxa"/>
              <w:right w:w="160" w:type="dxa"/>
            </w:tcMar>
          </w:tcPr>
          <w:p w14:paraId="10888DF7" w14:textId="77777777" w:rsidR="00F540D9" w:rsidRDefault="00E66665">
            <w:pPr>
              <w:spacing w:after="0" w:line="264" w:lineRule="auto"/>
            </w:pPr>
            <w:r>
              <w:rPr>
                <w:rFonts w:ascii="Calibri" w:hAnsi="Calibri"/>
                <w:color w:val="222222"/>
                <w:sz w:val="19"/>
              </w:rPr>
              <w:t>Municipal municipal identity across King County</w:t>
            </w:r>
          </w:p>
        </w:tc>
      </w:tr>
      <w:tr w:rsidR="00F540D9" w14:paraId="2AEBF9B4" w14:textId="77777777">
        <w:trPr>
          <w:jc w:val="center"/>
        </w:trPr>
        <w:tc>
          <w:tcPr>
            <w:tcW w:w="2016" w:type="dxa"/>
            <w:shd w:val="clear" w:color="auto" w:fill="F4F7FA"/>
            <w:tcMar>
              <w:top w:w="100" w:type="dxa"/>
              <w:left w:w="160" w:type="dxa"/>
              <w:bottom w:w="100" w:type="dxa"/>
              <w:right w:w="160" w:type="dxa"/>
            </w:tcMar>
          </w:tcPr>
          <w:p w14:paraId="5A19E462" w14:textId="77777777" w:rsidR="00F540D9" w:rsidRDefault="00E66665">
            <w:pPr>
              <w:spacing w:after="0" w:line="264" w:lineRule="auto"/>
            </w:pPr>
            <w:r>
              <w:rPr>
                <w:rFonts w:ascii="Calibri" w:hAnsi="Calibri"/>
                <w:color w:val="222222"/>
                <w:sz w:val="19"/>
              </w:rPr>
              <w:t>zip_code</w:t>
            </w:r>
          </w:p>
        </w:tc>
        <w:tc>
          <w:tcPr>
            <w:tcW w:w="1584" w:type="dxa"/>
            <w:shd w:val="clear" w:color="auto" w:fill="F4F7FA"/>
            <w:tcMar>
              <w:top w:w="100" w:type="dxa"/>
              <w:left w:w="160" w:type="dxa"/>
              <w:bottom w:w="100" w:type="dxa"/>
              <w:right w:w="160" w:type="dxa"/>
            </w:tcMar>
          </w:tcPr>
          <w:p w14:paraId="2E5B7040" w14:textId="77777777" w:rsidR="00F540D9" w:rsidRDefault="00E66665">
            <w:pPr>
              <w:spacing w:after="0" w:line="264" w:lineRule="auto"/>
              <w:jc w:val="right"/>
            </w:pPr>
            <w:r>
              <w:rPr>
                <w:rFonts w:ascii="Calibri" w:hAnsi="Calibri"/>
                <w:color w:val="222222"/>
                <w:sz w:val="19"/>
              </w:rPr>
              <w:t>0.049708</w:t>
            </w:r>
          </w:p>
        </w:tc>
        <w:tc>
          <w:tcPr>
            <w:tcW w:w="1440" w:type="dxa"/>
            <w:shd w:val="clear" w:color="auto" w:fill="F4F7FA"/>
            <w:tcMar>
              <w:top w:w="100" w:type="dxa"/>
              <w:left w:w="160" w:type="dxa"/>
              <w:bottom w:w="100" w:type="dxa"/>
              <w:right w:w="160" w:type="dxa"/>
            </w:tcMar>
          </w:tcPr>
          <w:p w14:paraId="04EE0944" w14:textId="77777777" w:rsidR="00F540D9" w:rsidRDefault="00E66665">
            <w:pPr>
              <w:spacing w:after="0" w:line="264" w:lineRule="auto"/>
              <w:jc w:val="right"/>
            </w:pPr>
            <w:r>
              <w:rPr>
                <w:rFonts w:ascii="Calibri" w:hAnsi="Calibri"/>
                <w:color w:val="222222"/>
                <w:sz w:val="19"/>
              </w:rPr>
              <w:t>4.97%</w:t>
            </w:r>
          </w:p>
        </w:tc>
        <w:tc>
          <w:tcPr>
            <w:tcW w:w="4320" w:type="dxa"/>
            <w:shd w:val="clear" w:color="auto" w:fill="F4F7FA"/>
            <w:tcMar>
              <w:top w:w="100" w:type="dxa"/>
              <w:left w:w="160" w:type="dxa"/>
              <w:bottom w:w="100" w:type="dxa"/>
              <w:right w:w="160" w:type="dxa"/>
            </w:tcMar>
          </w:tcPr>
          <w:p w14:paraId="3AE62A27" w14:textId="77777777" w:rsidR="00F540D9" w:rsidRDefault="00E66665">
            <w:pPr>
              <w:spacing w:after="0" w:line="264" w:lineRule="auto"/>
            </w:pPr>
            <w:r>
              <w:rPr>
                <w:rFonts w:ascii="Calibri" w:hAnsi="Calibri"/>
                <w:color w:val="222222"/>
                <w:sz w:val="19"/>
              </w:rPr>
              <w:t>5-digit numerical postal neighborhood indicator</w:t>
            </w:r>
          </w:p>
        </w:tc>
      </w:tr>
      <w:tr w:rsidR="00F540D9" w14:paraId="3AB62FBF" w14:textId="77777777">
        <w:trPr>
          <w:jc w:val="center"/>
        </w:trPr>
        <w:tc>
          <w:tcPr>
            <w:tcW w:w="2016" w:type="dxa"/>
            <w:shd w:val="clear" w:color="auto" w:fill="FFFFFF"/>
            <w:tcMar>
              <w:top w:w="100" w:type="dxa"/>
              <w:left w:w="160" w:type="dxa"/>
              <w:bottom w:w="100" w:type="dxa"/>
              <w:right w:w="160" w:type="dxa"/>
            </w:tcMar>
          </w:tcPr>
          <w:p w14:paraId="39D73892" w14:textId="77777777" w:rsidR="00F540D9" w:rsidRDefault="00E66665">
            <w:pPr>
              <w:spacing w:after="0" w:line="264" w:lineRule="auto"/>
            </w:pPr>
            <w:r>
              <w:rPr>
                <w:rFonts w:ascii="Calibri" w:hAnsi="Calibri"/>
                <w:color w:val="222222"/>
                <w:sz w:val="19"/>
              </w:rPr>
              <w:t>waterfront</w:t>
            </w:r>
          </w:p>
        </w:tc>
        <w:tc>
          <w:tcPr>
            <w:tcW w:w="1584" w:type="dxa"/>
            <w:shd w:val="clear" w:color="auto" w:fill="FFFFFF"/>
            <w:tcMar>
              <w:top w:w="100" w:type="dxa"/>
              <w:left w:w="160" w:type="dxa"/>
              <w:bottom w:w="100" w:type="dxa"/>
              <w:right w:w="160" w:type="dxa"/>
            </w:tcMar>
          </w:tcPr>
          <w:p w14:paraId="10A20C23" w14:textId="77777777" w:rsidR="00F540D9" w:rsidRDefault="00E66665">
            <w:pPr>
              <w:spacing w:after="0" w:line="264" w:lineRule="auto"/>
              <w:jc w:val="right"/>
            </w:pPr>
            <w:r>
              <w:rPr>
                <w:rFonts w:ascii="Calibri" w:hAnsi="Calibri"/>
                <w:color w:val="222222"/>
                <w:sz w:val="19"/>
              </w:rPr>
              <w:t>0.039413</w:t>
            </w:r>
          </w:p>
        </w:tc>
        <w:tc>
          <w:tcPr>
            <w:tcW w:w="1440" w:type="dxa"/>
            <w:shd w:val="clear" w:color="auto" w:fill="FFFFFF"/>
            <w:tcMar>
              <w:top w:w="100" w:type="dxa"/>
              <w:left w:w="160" w:type="dxa"/>
              <w:bottom w:w="100" w:type="dxa"/>
              <w:right w:w="160" w:type="dxa"/>
            </w:tcMar>
          </w:tcPr>
          <w:p w14:paraId="33B85F0D" w14:textId="77777777" w:rsidR="00F540D9" w:rsidRDefault="00E66665">
            <w:pPr>
              <w:spacing w:after="0" w:line="264" w:lineRule="auto"/>
              <w:jc w:val="right"/>
            </w:pPr>
            <w:r>
              <w:rPr>
                <w:rFonts w:ascii="Calibri" w:hAnsi="Calibri"/>
                <w:color w:val="222222"/>
                <w:sz w:val="19"/>
              </w:rPr>
              <w:t>3.94%</w:t>
            </w:r>
          </w:p>
        </w:tc>
        <w:tc>
          <w:tcPr>
            <w:tcW w:w="4320" w:type="dxa"/>
            <w:shd w:val="clear" w:color="auto" w:fill="FFFFFF"/>
            <w:tcMar>
              <w:top w:w="100" w:type="dxa"/>
              <w:left w:w="160" w:type="dxa"/>
              <w:bottom w:w="100" w:type="dxa"/>
              <w:right w:w="160" w:type="dxa"/>
            </w:tcMar>
          </w:tcPr>
          <w:p w14:paraId="43234260" w14:textId="77777777" w:rsidR="00F540D9" w:rsidRDefault="00E66665">
            <w:pPr>
              <w:spacing w:after="0" w:line="264" w:lineRule="auto"/>
            </w:pPr>
            <w:r>
              <w:rPr>
                <w:rFonts w:ascii="Calibri" w:hAnsi="Calibri"/>
                <w:color w:val="222222"/>
                <w:sz w:val="19"/>
              </w:rPr>
              <w:t>Binary direct waterfront proximity indicator</w:t>
            </w:r>
          </w:p>
        </w:tc>
      </w:tr>
      <w:tr w:rsidR="00F540D9" w14:paraId="6276B21F" w14:textId="77777777">
        <w:trPr>
          <w:jc w:val="center"/>
        </w:trPr>
        <w:tc>
          <w:tcPr>
            <w:tcW w:w="2016" w:type="dxa"/>
            <w:shd w:val="clear" w:color="auto" w:fill="F4F7FA"/>
            <w:tcMar>
              <w:top w:w="100" w:type="dxa"/>
              <w:left w:w="160" w:type="dxa"/>
              <w:bottom w:w="100" w:type="dxa"/>
              <w:right w:w="160" w:type="dxa"/>
            </w:tcMar>
          </w:tcPr>
          <w:p w14:paraId="7A52882D" w14:textId="77777777" w:rsidR="00F540D9" w:rsidRDefault="00E66665">
            <w:pPr>
              <w:spacing w:after="0" w:line="264" w:lineRule="auto"/>
            </w:pPr>
            <w:r>
              <w:rPr>
                <w:rFonts w:ascii="Calibri" w:hAnsi="Calibri"/>
                <w:color w:val="222222"/>
                <w:sz w:val="19"/>
              </w:rPr>
              <w:t>house_age</w:t>
            </w:r>
          </w:p>
        </w:tc>
        <w:tc>
          <w:tcPr>
            <w:tcW w:w="1584" w:type="dxa"/>
            <w:shd w:val="clear" w:color="auto" w:fill="F4F7FA"/>
            <w:tcMar>
              <w:top w:w="100" w:type="dxa"/>
              <w:left w:w="160" w:type="dxa"/>
              <w:bottom w:w="100" w:type="dxa"/>
              <w:right w:w="160" w:type="dxa"/>
            </w:tcMar>
          </w:tcPr>
          <w:p w14:paraId="4B3F25BA" w14:textId="77777777" w:rsidR="00F540D9" w:rsidRDefault="00E66665">
            <w:pPr>
              <w:spacing w:after="0" w:line="264" w:lineRule="auto"/>
              <w:jc w:val="right"/>
            </w:pPr>
            <w:r>
              <w:rPr>
                <w:rFonts w:ascii="Calibri" w:hAnsi="Calibri"/>
                <w:color w:val="222222"/>
                <w:sz w:val="19"/>
              </w:rPr>
              <w:t>0.033692</w:t>
            </w:r>
          </w:p>
        </w:tc>
        <w:tc>
          <w:tcPr>
            <w:tcW w:w="1440" w:type="dxa"/>
            <w:shd w:val="clear" w:color="auto" w:fill="F4F7FA"/>
            <w:tcMar>
              <w:top w:w="100" w:type="dxa"/>
              <w:left w:w="160" w:type="dxa"/>
              <w:bottom w:w="100" w:type="dxa"/>
              <w:right w:w="160" w:type="dxa"/>
            </w:tcMar>
          </w:tcPr>
          <w:p w14:paraId="50972251" w14:textId="77777777" w:rsidR="00F540D9" w:rsidRDefault="00E66665">
            <w:pPr>
              <w:spacing w:after="0" w:line="264" w:lineRule="auto"/>
              <w:jc w:val="right"/>
            </w:pPr>
            <w:r>
              <w:rPr>
                <w:rFonts w:ascii="Calibri" w:hAnsi="Calibri"/>
                <w:color w:val="222222"/>
                <w:sz w:val="19"/>
              </w:rPr>
              <w:t>3.37%</w:t>
            </w:r>
          </w:p>
        </w:tc>
        <w:tc>
          <w:tcPr>
            <w:tcW w:w="4320" w:type="dxa"/>
            <w:shd w:val="clear" w:color="auto" w:fill="F4F7FA"/>
            <w:tcMar>
              <w:top w:w="100" w:type="dxa"/>
              <w:left w:w="160" w:type="dxa"/>
              <w:bottom w:w="100" w:type="dxa"/>
              <w:right w:w="160" w:type="dxa"/>
            </w:tcMar>
          </w:tcPr>
          <w:p w14:paraId="510C5DC8" w14:textId="77777777" w:rsidR="00F540D9" w:rsidRDefault="00E66665">
            <w:pPr>
              <w:spacing w:after="0" w:line="264" w:lineRule="auto"/>
            </w:pPr>
            <w:r>
              <w:rPr>
                <w:rFonts w:ascii="Calibri" w:hAnsi="Calibri"/>
                <w:color w:val="222222"/>
                <w:sz w:val="19"/>
              </w:rPr>
              <w:t>Building age at transaction time (depreciation/vintage signal)</w:t>
            </w:r>
          </w:p>
        </w:tc>
      </w:tr>
      <w:tr w:rsidR="00F540D9" w14:paraId="6596855D" w14:textId="77777777">
        <w:trPr>
          <w:jc w:val="center"/>
        </w:trPr>
        <w:tc>
          <w:tcPr>
            <w:tcW w:w="2016" w:type="dxa"/>
            <w:shd w:val="clear" w:color="auto" w:fill="FFFFFF"/>
            <w:tcMar>
              <w:top w:w="100" w:type="dxa"/>
              <w:left w:w="160" w:type="dxa"/>
              <w:bottom w:w="100" w:type="dxa"/>
              <w:right w:w="160" w:type="dxa"/>
            </w:tcMar>
          </w:tcPr>
          <w:p w14:paraId="7E9C41C0" w14:textId="77777777" w:rsidR="00F540D9" w:rsidRDefault="00E66665">
            <w:pPr>
              <w:spacing w:after="0" w:line="264" w:lineRule="auto"/>
            </w:pPr>
            <w:r>
              <w:rPr>
                <w:rFonts w:ascii="Calibri" w:hAnsi="Calibri"/>
                <w:color w:val="222222"/>
                <w:sz w:val="19"/>
              </w:rPr>
              <w:t>sqft_above</w:t>
            </w:r>
          </w:p>
        </w:tc>
        <w:tc>
          <w:tcPr>
            <w:tcW w:w="1584" w:type="dxa"/>
            <w:shd w:val="clear" w:color="auto" w:fill="FFFFFF"/>
            <w:tcMar>
              <w:top w:w="100" w:type="dxa"/>
              <w:left w:w="160" w:type="dxa"/>
              <w:bottom w:w="100" w:type="dxa"/>
              <w:right w:w="160" w:type="dxa"/>
            </w:tcMar>
          </w:tcPr>
          <w:p w14:paraId="4B935192" w14:textId="77777777" w:rsidR="00F540D9" w:rsidRDefault="00E66665">
            <w:pPr>
              <w:spacing w:after="0" w:line="264" w:lineRule="auto"/>
              <w:jc w:val="right"/>
            </w:pPr>
            <w:r>
              <w:rPr>
                <w:rFonts w:ascii="Calibri" w:hAnsi="Calibri"/>
                <w:color w:val="222222"/>
                <w:sz w:val="19"/>
              </w:rPr>
              <w:t>0.026696</w:t>
            </w:r>
          </w:p>
        </w:tc>
        <w:tc>
          <w:tcPr>
            <w:tcW w:w="1440" w:type="dxa"/>
            <w:shd w:val="clear" w:color="auto" w:fill="FFFFFF"/>
            <w:tcMar>
              <w:top w:w="100" w:type="dxa"/>
              <w:left w:w="160" w:type="dxa"/>
              <w:bottom w:w="100" w:type="dxa"/>
              <w:right w:w="160" w:type="dxa"/>
            </w:tcMar>
          </w:tcPr>
          <w:p w14:paraId="6DAD1A63" w14:textId="77777777" w:rsidR="00F540D9" w:rsidRDefault="00E66665">
            <w:pPr>
              <w:spacing w:after="0" w:line="264" w:lineRule="auto"/>
              <w:jc w:val="right"/>
            </w:pPr>
            <w:r>
              <w:rPr>
                <w:rFonts w:ascii="Calibri" w:hAnsi="Calibri"/>
                <w:color w:val="222222"/>
                <w:sz w:val="19"/>
              </w:rPr>
              <w:t>2.67%</w:t>
            </w:r>
          </w:p>
        </w:tc>
        <w:tc>
          <w:tcPr>
            <w:tcW w:w="4320" w:type="dxa"/>
            <w:shd w:val="clear" w:color="auto" w:fill="FFFFFF"/>
            <w:tcMar>
              <w:top w:w="100" w:type="dxa"/>
              <w:left w:w="160" w:type="dxa"/>
              <w:bottom w:w="100" w:type="dxa"/>
              <w:right w:w="160" w:type="dxa"/>
            </w:tcMar>
          </w:tcPr>
          <w:p w14:paraId="24DA4BB1" w14:textId="77777777" w:rsidR="00F540D9" w:rsidRDefault="00E66665">
            <w:pPr>
              <w:spacing w:after="0" w:line="264" w:lineRule="auto"/>
            </w:pPr>
            <w:r>
              <w:rPr>
                <w:rFonts w:ascii="Calibri" w:hAnsi="Calibri"/>
                <w:color w:val="222222"/>
                <w:sz w:val="19"/>
              </w:rPr>
              <w:t>Interior above-grade habitable space</w:t>
            </w:r>
          </w:p>
        </w:tc>
      </w:tr>
      <w:tr w:rsidR="00F540D9" w14:paraId="0BB9D185" w14:textId="77777777">
        <w:trPr>
          <w:jc w:val="center"/>
        </w:trPr>
        <w:tc>
          <w:tcPr>
            <w:tcW w:w="2016" w:type="dxa"/>
            <w:shd w:val="clear" w:color="auto" w:fill="F4F7FA"/>
            <w:tcMar>
              <w:top w:w="100" w:type="dxa"/>
              <w:left w:w="160" w:type="dxa"/>
              <w:bottom w:w="100" w:type="dxa"/>
              <w:right w:w="160" w:type="dxa"/>
            </w:tcMar>
          </w:tcPr>
          <w:p w14:paraId="5A87263D" w14:textId="77777777" w:rsidR="00F540D9" w:rsidRDefault="00E66665">
            <w:pPr>
              <w:spacing w:after="0" w:line="264" w:lineRule="auto"/>
            </w:pPr>
            <w:r>
              <w:rPr>
                <w:rFonts w:ascii="Calibri" w:hAnsi="Calibri"/>
                <w:color w:val="222222"/>
                <w:sz w:val="19"/>
              </w:rPr>
              <w:t>yr_built</w:t>
            </w:r>
          </w:p>
        </w:tc>
        <w:tc>
          <w:tcPr>
            <w:tcW w:w="1584" w:type="dxa"/>
            <w:shd w:val="clear" w:color="auto" w:fill="F4F7FA"/>
            <w:tcMar>
              <w:top w:w="100" w:type="dxa"/>
              <w:left w:w="160" w:type="dxa"/>
              <w:bottom w:w="100" w:type="dxa"/>
              <w:right w:w="160" w:type="dxa"/>
            </w:tcMar>
          </w:tcPr>
          <w:p w14:paraId="0DD2C9C1" w14:textId="77777777" w:rsidR="00F540D9" w:rsidRDefault="00E66665">
            <w:pPr>
              <w:spacing w:after="0" w:line="264" w:lineRule="auto"/>
              <w:jc w:val="right"/>
            </w:pPr>
            <w:r>
              <w:rPr>
                <w:rFonts w:ascii="Calibri" w:hAnsi="Calibri"/>
                <w:color w:val="222222"/>
                <w:sz w:val="19"/>
              </w:rPr>
              <w:t>0.026252</w:t>
            </w:r>
          </w:p>
        </w:tc>
        <w:tc>
          <w:tcPr>
            <w:tcW w:w="1440" w:type="dxa"/>
            <w:shd w:val="clear" w:color="auto" w:fill="F4F7FA"/>
            <w:tcMar>
              <w:top w:w="100" w:type="dxa"/>
              <w:left w:w="160" w:type="dxa"/>
              <w:bottom w:w="100" w:type="dxa"/>
              <w:right w:w="160" w:type="dxa"/>
            </w:tcMar>
          </w:tcPr>
          <w:p w14:paraId="6A92B18D" w14:textId="77777777" w:rsidR="00F540D9" w:rsidRDefault="00E66665">
            <w:pPr>
              <w:spacing w:after="0" w:line="264" w:lineRule="auto"/>
              <w:jc w:val="right"/>
            </w:pPr>
            <w:r>
              <w:rPr>
                <w:rFonts w:ascii="Calibri" w:hAnsi="Calibri"/>
                <w:color w:val="222222"/>
                <w:sz w:val="19"/>
              </w:rPr>
              <w:t>2.63%</w:t>
            </w:r>
          </w:p>
        </w:tc>
        <w:tc>
          <w:tcPr>
            <w:tcW w:w="4320" w:type="dxa"/>
            <w:shd w:val="clear" w:color="auto" w:fill="F4F7FA"/>
            <w:tcMar>
              <w:top w:w="100" w:type="dxa"/>
              <w:left w:w="160" w:type="dxa"/>
              <w:bottom w:w="100" w:type="dxa"/>
              <w:right w:w="160" w:type="dxa"/>
            </w:tcMar>
          </w:tcPr>
          <w:p w14:paraId="18B25028" w14:textId="77777777" w:rsidR="00F540D9" w:rsidRDefault="00E66665">
            <w:pPr>
              <w:spacing w:after="0" w:line="264" w:lineRule="auto"/>
            </w:pPr>
            <w:r>
              <w:rPr>
                <w:rFonts w:ascii="Calibri" w:hAnsi="Calibri"/>
                <w:color w:val="222222"/>
                <w:sz w:val="19"/>
              </w:rPr>
              <w:t>Original calendar year of construction completion</w:t>
            </w:r>
          </w:p>
        </w:tc>
      </w:tr>
      <w:tr w:rsidR="00F540D9" w14:paraId="0CDA227E" w14:textId="77777777">
        <w:trPr>
          <w:jc w:val="center"/>
        </w:trPr>
        <w:tc>
          <w:tcPr>
            <w:tcW w:w="2016" w:type="dxa"/>
            <w:shd w:val="clear" w:color="auto" w:fill="FFFFFF"/>
            <w:tcMar>
              <w:top w:w="100" w:type="dxa"/>
              <w:left w:w="160" w:type="dxa"/>
              <w:bottom w:w="100" w:type="dxa"/>
              <w:right w:w="160" w:type="dxa"/>
            </w:tcMar>
          </w:tcPr>
          <w:p w14:paraId="72A79DA0" w14:textId="77777777" w:rsidR="00F540D9" w:rsidRDefault="00E66665">
            <w:pPr>
              <w:spacing w:after="0" w:line="264" w:lineRule="auto"/>
            </w:pPr>
            <w:r>
              <w:rPr>
                <w:rFonts w:ascii="Calibri" w:hAnsi="Calibri"/>
                <w:color w:val="222222"/>
                <w:sz w:val="19"/>
              </w:rPr>
              <w:t>living_to_lot</w:t>
            </w:r>
          </w:p>
        </w:tc>
        <w:tc>
          <w:tcPr>
            <w:tcW w:w="1584" w:type="dxa"/>
            <w:shd w:val="clear" w:color="auto" w:fill="FFFFFF"/>
            <w:tcMar>
              <w:top w:w="100" w:type="dxa"/>
              <w:left w:w="160" w:type="dxa"/>
              <w:bottom w:w="100" w:type="dxa"/>
              <w:right w:w="160" w:type="dxa"/>
            </w:tcMar>
          </w:tcPr>
          <w:p w14:paraId="2356F9D0" w14:textId="77777777" w:rsidR="00F540D9" w:rsidRDefault="00E66665">
            <w:pPr>
              <w:spacing w:after="0" w:line="264" w:lineRule="auto"/>
              <w:jc w:val="right"/>
            </w:pPr>
            <w:r>
              <w:rPr>
                <w:rFonts w:ascii="Calibri" w:hAnsi="Calibri"/>
                <w:color w:val="222222"/>
                <w:sz w:val="19"/>
              </w:rPr>
              <w:t>0.023120</w:t>
            </w:r>
          </w:p>
        </w:tc>
        <w:tc>
          <w:tcPr>
            <w:tcW w:w="1440" w:type="dxa"/>
            <w:shd w:val="clear" w:color="auto" w:fill="FFFFFF"/>
            <w:tcMar>
              <w:top w:w="100" w:type="dxa"/>
              <w:left w:w="160" w:type="dxa"/>
              <w:bottom w:w="100" w:type="dxa"/>
              <w:right w:w="160" w:type="dxa"/>
            </w:tcMar>
          </w:tcPr>
          <w:p w14:paraId="5ABA6F9C" w14:textId="77777777" w:rsidR="00F540D9" w:rsidRDefault="00E66665">
            <w:pPr>
              <w:spacing w:after="0" w:line="264" w:lineRule="auto"/>
              <w:jc w:val="right"/>
            </w:pPr>
            <w:r>
              <w:rPr>
                <w:rFonts w:ascii="Calibri" w:hAnsi="Calibri"/>
                <w:color w:val="222222"/>
                <w:sz w:val="19"/>
              </w:rPr>
              <w:t>2.31%</w:t>
            </w:r>
          </w:p>
        </w:tc>
        <w:tc>
          <w:tcPr>
            <w:tcW w:w="4320" w:type="dxa"/>
            <w:shd w:val="clear" w:color="auto" w:fill="FFFFFF"/>
            <w:tcMar>
              <w:top w:w="100" w:type="dxa"/>
              <w:left w:w="160" w:type="dxa"/>
              <w:bottom w:w="100" w:type="dxa"/>
              <w:right w:w="160" w:type="dxa"/>
            </w:tcMar>
          </w:tcPr>
          <w:p w14:paraId="3D58A5B7" w14:textId="77777777" w:rsidR="00F540D9" w:rsidRDefault="00E66665">
            <w:pPr>
              <w:spacing w:after="0" w:line="264" w:lineRule="auto"/>
            </w:pPr>
            <w:r>
              <w:rPr>
                <w:rFonts w:ascii="Calibri" w:hAnsi="Calibri"/>
                <w:color w:val="222222"/>
                <w:sz w:val="19"/>
              </w:rPr>
              <w:t>Ratio of structural footprint to total parcel land area</w:t>
            </w:r>
          </w:p>
        </w:tc>
      </w:tr>
      <w:tr w:rsidR="00F540D9" w14:paraId="50B0BC01" w14:textId="77777777">
        <w:trPr>
          <w:jc w:val="center"/>
        </w:trPr>
        <w:tc>
          <w:tcPr>
            <w:tcW w:w="2016" w:type="dxa"/>
            <w:shd w:val="clear" w:color="auto" w:fill="F4F7FA"/>
            <w:tcMar>
              <w:top w:w="100" w:type="dxa"/>
              <w:left w:w="160" w:type="dxa"/>
              <w:bottom w:w="100" w:type="dxa"/>
              <w:right w:w="160" w:type="dxa"/>
            </w:tcMar>
          </w:tcPr>
          <w:p w14:paraId="2769FA6A" w14:textId="77777777" w:rsidR="00F540D9" w:rsidRDefault="00E66665">
            <w:pPr>
              <w:spacing w:after="0" w:line="264" w:lineRule="auto"/>
            </w:pPr>
            <w:r>
              <w:rPr>
                <w:rFonts w:ascii="Calibri" w:hAnsi="Calibri"/>
                <w:color w:val="222222"/>
                <w:sz w:val="19"/>
              </w:rPr>
              <w:t>bathrooms</w:t>
            </w:r>
          </w:p>
        </w:tc>
        <w:tc>
          <w:tcPr>
            <w:tcW w:w="1584" w:type="dxa"/>
            <w:shd w:val="clear" w:color="auto" w:fill="F4F7FA"/>
            <w:tcMar>
              <w:top w:w="100" w:type="dxa"/>
              <w:left w:w="160" w:type="dxa"/>
              <w:bottom w:w="100" w:type="dxa"/>
              <w:right w:w="160" w:type="dxa"/>
            </w:tcMar>
          </w:tcPr>
          <w:p w14:paraId="27B888A7" w14:textId="77777777" w:rsidR="00F540D9" w:rsidRDefault="00E66665">
            <w:pPr>
              <w:spacing w:after="0" w:line="264" w:lineRule="auto"/>
              <w:jc w:val="right"/>
            </w:pPr>
            <w:r>
              <w:rPr>
                <w:rFonts w:ascii="Calibri" w:hAnsi="Calibri"/>
                <w:color w:val="222222"/>
                <w:sz w:val="19"/>
              </w:rPr>
              <w:t>0.022024</w:t>
            </w:r>
          </w:p>
        </w:tc>
        <w:tc>
          <w:tcPr>
            <w:tcW w:w="1440" w:type="dxa"/>
            <w:shd w:val="clear" w:color="auto" w:fill="F4F7FA"/>
            <w:tcMar>
              <w:top w:w="100" w:type="dxa"/>
              <w:left w:w="160" w:type="dxa"/>
              <w:bottom w:w="100" w:type="dxa"/>
              <w:right w:w="160" w:type="dxa"/>
            </w:tcMar>
          </w:tcPr>
          <w:p w14:paraId="6D5F47D5" w14:textId="77777777" w:rsidR="00F540D9" w:rsidRDefault="00E66665">
            <w:pPr>
              <w:spacing w:after="0" w:line="264" w:lineRule="auto"/>
              <w:jc w:val="right"/>
            </w:pPr>
            <w:r>
              <w:rPr>
                <w:rFonts w:ascii="Calibri" w:hAnsi="Calibri"/>
                <w:color w:val="222222"/>
                <w:sz w:val="19"/>
              </w:rPr>
              <w:t>2.20%</w:t>
            </w:r>
          </w:p>
        </w:tc>
        <w:tc>
          <w:tcPr>
            <w:tcW w:w="4320" w:type="dxa"/>
            <w:shd w:val="clear" w:color="auto" w:fill="F4F7FA"/>
            <w:tcMar>
              <w:top w:w="100" w:type="dxa"/>
              <w:left w:w="160" w:type="dxa"/>
              <w:bottom w:w="100" w:type="dxa"/>
              <w:right w:w="160" w:type="dxa"/>
            </w:tcMar>
          </w:tcPr>
          <w:p w14:paraId="7B53960F" w14:textId="77777777" w:rsidR="00F540D9" w:rsidRDefault="00E66665">
            <w:pPr>
              <w:spacing w:after="0" w:line="264" w:lineRule="auto"/>
            </w:pPr>
            <w:r>
              <w:rPr>
                <w:rFonts w:ascii="Calibri" w:hAnsi="Calibri"/>
                <w:color w:val="222222"/>
                <w:sz w:val="19"/>
              </w:rPr>
              <w:t>Total bathroom count (proxy for layout affluence)</w:t>
            </w:r>
          </w:p>
        </w:tc>
      </w:tr>
      <w:tr w:rsidR="00F540D9" w14:paraId="789E23E8" w14:textId="77777777">
        <w:trPr>
          <w:jc w:val="center"/>
        </w:trPr>
        <w:tc>
          <w:tcPr>
            <w:tcW w:w="2016" w:type="dxa"/>
            <w:shd w:val="clear" w:color="auto" w:fill="FFFFFF"/>
            <w:tcMar>
              <w:top w:w="100" w:type="dxa"/>
              <w:left w:w="160" w:type="dxa"/>
              <w:bottom w:w="100" w:type="dxa"/>
              <w:right w:w="160" w:type="dxa"/>
            </w:tcMar>
          </w:tcPr>
          <w:p w14:paraId="27294443" w14:textId="77777777" w:rsidR="00F540D9" w:rsidRDefault="00E66665">
            <w:pPr>
              <w:spacing w:after="0" w:line="264" w:lineRule="auto"/>
            </w:pPr>
            <w:r>
              <w:rPr>
                <w:rFonts w:ascii="Calibri" w:hAnsi="Calibri"/>
                <w:color w:val="222222"/>
                <w:sz w:val="19"/>
              </w:rPr>
              <w:t>renovation_age</w:t>
            </w:r>
          </w:p>
        </w:tc>
        <w:tc>
          <w:tcPr>
            <w:tcW w:w="1584" w:type="dxa"/>
            <w:shd w:val="clear" w:color="auto" w:fill="FFFFFF"/>
            <w:tcMar>
              <w:top w:w="100" w:type="dxa"/>
              <w:left w:w="160" w:type="dxa"/>
              <w:bottom w:w="100" w:type="dxa"/>
              <w:right w:w="160" w:type="dxa"/>
            </w:tcMar>
          </w:tcPr>
          <w:p w14:paraId="752C8645" w14:textId="77777777" w:rsidR="00F540D9" w:rsidRDefault="00E66665">
            <w:pPr>
              <w:spacing w:after="0" w:line="264" w:lineRule="auto"/>
              <w:jc w:val="right"/>
            </w:pPr>
            <w:r>
              <w:rPr>
                <w:rFonts w:ascii="Calibri" w:hAnsi="Calibri"/>
                <w:color w:val="222222"/>
                <w:sz w:val="19"/>
              </w:rPr>
              <w:t>0.016385</w:t>
            </w:r>
          </w:p>
        </w:tc>
        <w:tc>
          <w:tcPr>
            <w:tcW w:w="1440" w:type="dxa"/>
            <w:shd w:val="clear" w:color="auto" w:fill="FFFFFF"/>
            <w:tcMar>
              <w:top w:w="100" w:type="dxa"/>
              <w:left w:w="160" w:type="dxa"/>
              <w:bottom w:w="100" w:type="dxa"/>
              <w:right w:w="160" w:type="dxa"/>
            </w:tcMar>
          </w:tcPr>
          <w:p w14:paraId="4827ED4B" w14:textId="77777777" w:rsidR="00F540D9" w:rsidRDefault="00E66665">
            <w:pPr>
              <w:spacing w:after="0" w:line="264" w:lineRule="auto"/>
              <w:jc w:val="right"/>
            </w:pPr>
            <w:r>
              <w:rPr>
                <w:rFonts w:ascii="Calibri" w:hAnsi="Calibri"/>
                <w:color w:val="222222"/>
                <w:sz w:val="19"/>
              </w:rPr>
              <w:t>1.64%</w:t>
            </w:r>
          </w:p>
        </w:tc>
        <w:tc>
          <w:tcPr>
            <w:tcW w:w="4320" w:type="dxa"/>
            <w:shd w:val="clear" w:color="auto" w:fill="FFFFFF"/>
            <w:tcMar>
              <w:top w:w="100" w:type="dxa"/>
              <w:left w:w="160" w:type="dxa"/>
              <w:bottom w:w="100" w:type="dxa"/>
              <w:right w:w="160" w:type="dxa"/>
            </w:tcMar>
          </w:tcPr>
          <w:p w14:paraId="3EC72333" w14:textId="77777777" w:rsidR="00F540D9" w:rsidRDefault="00E66665">
            <w:pPr>
              <w:spacing w:after="0" w:line="264" w:lineRule="auto"/>
            </w:pPr>
            <w:r>
              <w:rPr>
                <w:rFonts w:ascii="Calibri" w:hAnsi="Calibri"/>
                <w:color w:val="222222"/>
                <w:sz w:val="19"/>
              </w:rPr>
              <w:t>Years elapsed since structural modernization</w:t>
            </w:r>
          </w:p>
        </w:tc>
      </w:tr>
      <w:tr w:rsidR="00F540D9" w14:paraId="7921D007" w14:textId="77777777">
        <w:trPr>
          <w:jc w:val="center"/>
        </w:trPr>
        <w:tc>
          <w:tcPr>
            <w:tcW w:w="2016" w:type="dxa"/>
            <w:shd w:val="clear" w:color="auto" w:fill="F4F7FA"/>
            <w:tcMar>
              <w:top w:w="100" w:type="dxa"/>
              <w:left w:w="160" w:type="dxa"/>
              <w:bottom w:w="100" w:type="dxa"/>
              <w:right w:w="160" w:type="dxa"/>
            </w:tcMar>
          </w:tcPr>
          <w:p w14:paraId="65D466F4" w14:textId="77777777" w:rsidR="00F540D9" w:rsidRDefault="00E66665">
            <w:pPr>
              <w:spacing w:after="0" w:line="264" w:lineRule="auto"/>
            </w:pPr>
            <w:r>
              <w:rPr>
                <w:rFonts w:ascii="Calibri" w:hAnsi="Calibri"/>
                <w:color w:val="222222"/>
                <w:sz w:val="19"/>
              </w:rPr>
              <w:t>floors</w:t>
            </w:r>
          </w:p>
        </w:tc>
        <w:tc>
          <w:tcPr>
            <w:tcW w:w="1584" w:type="dxa"/>
            <w:shd w:val="clear" w:color="auto" w:fill="F4F7FA"/>
            <w:tcMar>
              <w:top w:w="100" w:type="dxa"/>
              <w:left w:w="160" w:type="dxa"/>
              <w:bottom w:w="100" w:type="dxa"/>
              <w:right w:w="160" w:type="dxa"/>
            </w:tcMar>
          </w:tcPr>
          <w:p w14:paraId="207E793B" w14:textId="77777777" w:rsidR="00F540D9" w:rsidRDefault="00E66665">
            <w:pPr>
              <w:spacing w:after="0" w:line="264" w:lineRule="auto"/>
              <w:jc w:val="right"/>
            </w:pPr>
            <w:r>
              <w:rPr>
                <w:rFonts w:ascii="Calibri" w:hAnsi="Calibri"/>
                <w:color w:val="222222"/>
                <w:sz w:val="19"/>
              </w:rPr>
              <w:t>0.016181</w:t>
            </w:r>
          </w:p>
        </w:tc>
        <w:tc>
          <w:tcPr>
            <w:tcW w:w="1440" w:type="dxa"/>
            <w:shd w:val="clear" w:color="auto" w:fill="F4F7FA"/>
            <w:tcMar>
              <w:top w:w="100" w:type="dxa"/>
              <w:left w:w="160" w:type="dxa"/>
              <w:bottom w:w="100" w:type="dxa"/>
              <w:right w:w="160" w:type="dxa"/>
            </w:tcMar>
          </w:tcPr>
          <w:p w14:paraId="2EFD9710" w14:textId="77777777" w:rsidR="00F540D9" w:rsidRDefault="00E66665">
            <w:pPr>
              <w:spacing w:after="0" w:line="264" w:lineRule="auto"/>
              <w:jc w:val="right"/>
            </w:pPr>
            <w:r>
              <w:rPr>
                <w:rFonts w:ascii="Calibri" w:hAnsi="Calibri"/>
                <w:color w:val="222222"/>
                <w:sz w:val="19"/>
              </w:rPr>
              <w:t>1.62%</w:t>
            </w:r>
          </w:p>
        </w:tc>
        <w:tc>
          <w:tcPr>
            <w:tcW w:w="4320" w:type="dxa"/>
            <w:shd w:val="clear" w:color="auto" w:fill="F4F7FA"/>
            <w:tcMar>
              <w:top w:w="100" w:type="dxa"/>
              <w:left w:w="160" w:type="dxa"/>
              <w:bottom w:w="100" w:type="dxa"/>
              <w:right w:w="160" w:type="dxa"/>
            </w:tcMar>
          </w:tcPr>
          <w:p w14:paraId="5199175B" w14:textId="77777777" w:rsidR="00F540D9" w:rsidRDefault="00E66665">
            <w:pPr>
              <w:spacing w:after="0" w:line="264" w:lineRule="auto"/>
            </w:pPr>
            <w:r>
              <w:rPr>
                <w:rFonts w:ascii="Calibri" w:hAnsi="Calibri"/>
                <w:color w:val="222222"/>
                <w:sz w:val="19"/>
              </w:rPr>
              <w:t>Number of structural vertical building levels</w:t>
            </w:r>
          </w:p>
        </w:tc>
      </w:tr>
      <w:tr w:rsidR="00F540D9" w14:paraId="51EC9BF6" w14:textId="77777777">
        <w:trPr>
          <w:jc w:val="center"/>
        </w:trPr>
        <w:tc>
          <w:tcPr>
            <w:tcW w:w="2016" w:type="dxa"/>
            <w:shd w:val="clear" w:color="auto" w:fill="FFFFFF"/>
            <w:tcMar>
              <w:top w:w="100" w:type="dxa"/>
              <w:left w:w="160" w:type="dxa"/>
              <w:bottom w:w="100" w:type="dxa"/>
              <w:right w:w="160" w:type="dxa"/>
            </w:tcMar>
          </w:tcPr>
          <w:p w14:paraId="213691CF" w14:textId="77777777" w:rsidR="00F540D9" w:rsidRDefault="00E66665">
            <w:pPr>
              <w:spacing w:after="0" w:line="264" w:lineRule="auto"/>
            </w:pPr>
            <w:r>
              <w:rPr>
                <w:rFonts w:ascii="Calibri" w:hAnsi="Calibri"/>
                <w:color w:val="222222"/>
                <w:sz w:val="19"/>
              </w:rPr>
              <w:t>condition</w:t>
            </w:r>
          </w:p>
        </w:tc>
        <w:tc>
          <w:tcPr>
            <w:tcW w:w="1584" w:type="dxa"/>
            <w:shd w:val="clear" w:color="auto" w:fill="FFFFFF"/>
            <w:tcMar>
              <w:top w:w="100" w:type="dxa"/>
              <w:left w:w="160" w:type="dxa"/>
              <w:bottom w:w="100" w:type="dxa"/>
              <w:right w:w="160" w:type="dxa"/>
            </w:tcMar>
          </w:tcPr>
          <w:p w14:paraId="45847004" w14:textId="77777777" w:rsidR="00F540D9" w:rsidRDefault="00E66665">
            <w:pPr>
              <w:spacing w:after="0" w:line="264" w:lineRule="auto"/>
              <w:jc w:val="right"/>
            </w:pPr>
            <w:r>
              <w:rPr>
                <w:rFonts w:ascii="Calibri" w:hAnsi="Calibri"/>
                <w:color w:val="222222"/>
                <w:sz w:val="19"/>
              </w:rPr>
              <w:t>0.015423</w:t>
            </w:r>
          </w:p>
        </w:tc>
        <w:tc>
          <w:tcPr>
            <w:tcW w:w="1440" w:type="dxa"/>
            <w:shd w:val="clear" w:color="auto" w:fill="FFFFFF"/>
            <w:tcMar>
              <w:top w:w="100" w:type="dxa"/>
              <w:left w:w="160" w:type="dxa"/>
              <w:bottom w:w="100" w:type="dxa"/>
              <w:right w:w="160" w:type="dxa"/>
            </w:tcMar>
          </w:tcPr>
          <w:p w14:paraId="04CA1DAD" w14:textId="77777777" w:rsidR="00F540D9" w:rsidRDefault="00E66665">
            <w:pPr>
              <w:spacing w:after="0" w:line="264" w:lineRule="auto"/>
              <w:jc w:val="right"/>
            </w:pPr>
            <w:r>
              <w:rPr>
                <w:rFonts w:ascii="Calibri" w:hAnsi="Calibri"/>
                <w:color w:val="222222"/>
                <w:sz w:val="19"/>
              </w:rPr>
              <w:t>1.54%</w:t>
            </w:r>
          </w:p>
        </w:tc>
        <w:tc>
          <w:tcPr>
            <w:tcW w:w="4320" w:type="dxa"/>
            <w:shd w:val="clear" w:color="auto" w:fill="FFFFFF"/>
            <w:tcMar>
              <w:top w:w="100" w:type="dxa"/>
              <w:left w:w="160" w:type="dxa"/>
              <w:bottom w:w="100" w:type="dxa"/>
              <w:right w:w="160" w:type="dxa"/>
            </w:tcMar>
          </w:tcPr>
          <w:p w14:paraId="58E12F9E" w14:textId="77777777" w:rsidR="00F540D9" w:rsidRDefault="00E66665">
            <w:pPr>
              <w:spacing w:after="0" w:line="264" w:lineRule="auto"/>
            </w:pPr>
            <w:r>
              <w:rPr>
                <w:rFonts w:ascii="Calibri" w:hAnsi="Calibri"/>
                <w:color w:val="222222"/>
                <w:sz w:val="19"/>
              </w:rPr>
              <w:t>Physical maintenance rating (1=Poor to 5=Excellent)</w:t>
            </w:r>
          </w:p>
        </w:tc>
      </w:tr>
    </w:tbl>
    <w:p w14:paraId="7D2804DB" w14:textId="77777777" w:rsidR="00F540D9" w:rsidRDefault="00E66665">
      <w:pPr>
        <w:spacing w:after="80"/>
      </w:pPr>
      <w:r>
        <w:rPr>
          <w:rFonts w:ascii="Calibri" w:hAnsi="Calibri"/>
          <w:color w:val="222222"/>
          <w:sz w:val="21"/>
        </w:rPr>
        <w:t>Crucial Insight: Interior square footage (total_sqft at 27.54% and sqft_living at 13.92%) and structural basement presence (has_basement at 12.49%) account for over 53.95% of total predictive decision weight. Scenic outlook (view) and geographic markers (city_encoded, zip_code, waterfront) govern the next largest share (~20.49%), confirming that living space and location are the twin pillars of real estate valuation.</w:t>
      </w:r>
    </w:p>
    <w:p w14:paraId="034F3342" w14:textId="77777777" w:rsidR="00F540D9" w:rsidRDefault="00E66665">
      <w:r>
        <w:br w:type="page"/>
      </w:r>
    </w:p>
    <w:p w14:paraId="106E1B75" w14:textId="77777777" w:rsidR="00F540D9" w:rsidRDefault="00E66665">
      <w:pPr>
        <w:pStyle w:val="Heading1"/>
        <w:spacing w:before="320" w:after="120"/>
      </w:pPr>
      <w:r>
        <w:rPr>
          <w:rFonts w:ascii="Calibri" w:hAnsi="Calibri"/>
          <w:color w:val="1B365D"/>
          <w:sz w:val="30"/>
        </w:rPr>
        <w:lastRenderedPageBreak/>
        <w:t>13. Streamlit Web Application</w:t>
      </w:r>
    </w:p>
    <w:p w14:paraId="6B201EFC" w14:textId="77777777" w:rsidR="00F540D9" w:rsidRDefault="00E66665">
      <w:pPr>
        <w:spacing w:after="80"/>
      </w:pPr>
      <w:r>
        <w:rPr>
          <w:rFonts w:ascii="Calibri" w:hAnsi="Calibri"/>
          <w:color w:val="222222"/>
          <w:sz w:val="21"/>
        </w:rPr>
        <w:t>To bridge the gap between machine learning models and end users, a full-featured web application was developed in app/streamlit_app.py using the Streamlit framework. The application provides an intuitive graphical interface featuring five distinct operational pages.</w:t>
      </w:r>
    </w:p>
    <w:p w14:paraId="4A51A554" w14:textId="77777777" w:rsidR="00F540D9" w:rsidRDefault="00E66665">
      <w:pPr>
        <w:pStyle w:val="Heading2"/>
        <w:spacing w:before="240" w:after="80"/>
      </w:pPr>
      <w:r>
        <w:rPr>
          <w:rFonts w:ascii="Calibri" w:hAnsi="Calibri"/>
          <w:color w:val="316B9E"/>
          <w:sz w:val="25"/>
        </w:rPr>
        <w:t>13.1 Application Architecture and Caching</w:t>
      </w:r>
    </w:p>
    <w:p w14:paraId="3940640E" w14:textId="77777777" w:rsidR="00F540D9" w:rsidRDefault="00E66665">
      <w:pPr>
        <w:spacing w:after="80"/>
      </w:pPr>
      <w:r>
        <w:rPr>
          <w:rFonts w:ascii="Calibri" w:hAnsi="Calibri"/>
          <w:color w:val="222222"/>
          <w:sz w:val="21"/>
        </w:rPr>
        <w:t>The application leverages modern UI styling using custom CSS, Inter typography, and gradient card components. To ensure responsive user interaction, heavyweight resources are cached in memory:</w:t>
      </w:r>
    </w:p>
    <w:p w14:paraId="764B2D12" w14:textId="77777777" w:rsidR="00F540D9" w:rsidRDefault="00E66665">
      <w:pPr>
        <w:pStyle w:val="ListBullet"/>
        <w:spacing w:after="80"/>
      </w:pPr>
      <w:r>
        <w:rPr>
          <w:rFonts w:ascii="Calibri" w:hAnsi="Calibri"/>
          <w:color w:val="222222"/>
          <w:sz w:val="21"/>
        </w:rPr>
        <w:t>@st.cache_resource def load_model(): Ingests models/best_model.pkl once at startup, maintaining the trained Scikit-learn Pipeline in memory for zero-latency inference.</w:t>
      </w:r>
    </w:p>
    <w:p w14:paraId="3D0D1063" w14:textId="77777777" w:rsidR="00F540D9" w:rsidRDefault="00E66665">
      <w:pPr>
        <w:pStyle w:val="ListBullet"/>
        <w:spacing w:after="80"/>
      </w:pPr>
      <w:r>
        <w:rPr>
          <w:rFonts w:ascii="Calibri" w:hAnsi="Calibri"/>
          <w:color w:val="222222"/>
          <w:sz w:val="21"/>
        </w:rPr>
        <w:t>@st.cache_data: Caches tabular dataset loading, feature column schemas (models/feature_columns.json), and evaluation metrics.</w:t>
      </w:r>
    </w:p>
    <w:p w14:paraId="393A81C1" w14:textId="77777777" w:rsidR="00F540D9" w:rsidRDefault="00E66665">
      <w:pPr>
        <w:pStyle w:val="Heading2"/>
        <w:spacing w:before="240" w:after="80"/>
      </w:pPr>
      <w:r>
        <w:rPr>
          <w:rFonts w:ascii="Calibri" w:hAnsi="Calibri"/>
          <w:color w:val="316B9E"/>
          <w:sz w:val="25"/>
        </w:rPr>
        <w:t>13.2 Detailed Breakdown of the 5 Application Pages</w:t>
      </w:r>
    </w:p>
    <w:p w14:paraId="14909026" w14:textId="77777777" w:rsidR="00F540D9" w:rsidRDefault="00E66665">
      <w:pPr>
        <w:pStyle w:val="Heading3"/>
        <w:spacing w:before="160" w:after="40"/>
      </w:pPr>
      <w:r>
        <w:rPr>
          <w:rFonts w:ascii="Calibri" w:hAnsi="Calibri"/>
          <w:color w:val="222222"/>
        </w:rPr>
        <w:t xml:space="preserve">Page 1: </w:t>
      </w:r>
      <w:r>
        <w:rPr>
          <w:rFonts w:ascii="Calibri" w:hAnsi="Calibri"/>
          <w:color w:val="222222"/>
        </w:rPr>
        <w:t>🏡</w:t>
      </w:r>
      <w:r>
        <w:rPr>
          <w:rFonts w:ascii="Calibri" w:hAnsi="Calibri"/>
          <w:color w:val="222222"/>
        </w:rPr>
        <w:t xml:space="preserve"> Predict Price (Inference Studio)</w:t>
      </w:r>
    </w:p>
    <w:p w14:paraId="08F6BCC7" w14:textId="77777777" w:rsidR="00F540D9" w:rsidRDefault="00E66665">
      <w:pPr>
        <w:spacing w:after="80"/>
      </w:pPr>
      <w:r>
        <w:rPr>
          <w:rFonts w:ascii="Calibri" w:hAnsi="Calibri"/>
          <w:color w:val="222222"/>
          <w:sz w:val="21"/>
        </w:rPr>
        <w:t>The primary inference page allows real estate agents, buyers, and appraisers to estimate property valuations by entering specifications across three structured columns:</w:t>
      </w:r>
    </w:p>
    <w:p w14:paraId="7CB4CFE4" w14:textId="77777777" w:rsidR="00F540D9" w:rsidRDefault="00E66665">
      <w:pPr>
        <w:pStyle w:val="ListBullet"/>
        <w:spacing w:after="80"/>
      </w:pPr>
      <w:r>
        <w:rPr>
          <w:rFonts w:ascii="Calibri" w:hAnsi="Calibri"/>
          <w:color w:val="222222"/>
          <w:sz w:val="21"/>
        </w:rPr>
        <w:t>Column 1 (Rooms &amp; Size): Bedrooms (0–20), Bathrooms (0–10 in steps of 0.25), Floors (1.0–4.0 in steps of 0.5), Living Area (sqft), and Lot Size (sqft).</w:t>
      </w:r>
    </w:p>
    <w:p w14:paraId="3F986779" w14:textId="77777777" w:rsidR="00F540D9" w:rsidRDefault="00E66665">
      <w:pPr>
        <w:pStyle w:val="ListBullet"/>
        <w:spacing w:after="80"/>
      </w:pPr>
      <w:r>
        <w:rPr>
          <w:rFonts w:ascii="Calibri" w:hAnsi="Calibri"/>
          <w:color w:val="222222"/>
          <w:sz w:val="21"/>
        </w:rPr>
        <w:t>Column 2 (Structure Details): Above-Ground Area (sqft), Basement Area (sqft), Year Built (1900–2024), Year Renovated (0 for never), and Physical Condition slider (1=Poor to 5=Excellent).</w:t>
      </w:r>
    </w:p>
    <w:p w14:paraId="54C65A5B" w14:textId="77777777" w:rsidR="00F540D9" w:rsidRDefault="00E66665">
      <w:pPr>
        <w:pStyle w:val="ListBullet"/>
        <w:spacing w:after="80"/>
      </w:pPr>
      <w:r>
        <w:rPr>
          <w:rFonts w:ascii="Calibri" w:hAnsi="Calibri"/>
          <w:color w:val="222222"/>
          <w:sz w:val="21"/>
        </w:rPr>
        <w:t>Column 3 (Features &amp; Location): Waterfront Property toggle (Yes/No), View Rating slider (0–4), City dropdown (populated dynamically from the 44 dataset cities), Sale Year, and Sale Month.</w:t>
      </w:r>
    </w:p>
    <w:p w14:paraId="58854740" w14:textId="77777777" w:rsidR="00F540D9" w:rsidRDefault="00E66665">
      <w:pPr>
        <w:spacing w:after="80"/>
      </w:pPr>
      <w:r>
        <w:rPr>
          <w:rFonts w:ascii="Calibri" w:hAnsi="Calibri"/>
          <w:color w:val="222222"/>
          <w:sz w:val="21"/>
        </w:rPr>
        <w:t>Inference Process: When the user clicks 'Predict Price', the application dynamically maps the selected city to its encoded integer and extracts the median postal code for that municipality. It computes the engineered features (house_age, was_renovated, renovation_age, total_sqft, living_to_lot, has_basement), aligns the row to the exact 22-column schema, passes the vector through the pipeline's StandardScaler and XGBoost model, and renders the result in a styled gradient card alongside an input summary dash</w:t>
      </w:r>
      <w:r>
        <w:rPr>
          <w:rFonts w:ascii="Calibri" w:hAnsi="Calibri"/>
          <w:color w:val="222222"/>
          <w:sz w:val="21"/>
        </w:rPr>
        <w:t>board.</w:t>
      </w:r>
    </w:p>
    <w:p w14:paraId="0C0B3533" w14:textId="77777777" w:rsidR="00F540D9" w:rsidRDefault="00E66665">
      <w:pPr>
        <w:pStyle w:val="Heading3"/>
        <w:spacing w:before="160" w:after="40"/>
      </w:pPr>
      <w:r>
        <w:rPr>
          <w:rFonts w:ascii="Calibri" w:hAnsi="Calibri"/>
          <w:color w:val="222222"/>
        </w:rPr>
        <w:t xml:space="preserve">Page 2: </w:t>
      </w:r>
      <w:r>
        <w:rPr>
          <w:rFonts w:ascii="Calibri" w:hAnsi="Calibri"/>
          <w:color w:val="222222"/>
        </w:rPr>
        <w:t>📊</w:t>
      </w:r>
      <w:r>
        <w:rPr>
          <w:rFonts w:ascii="Calibri" w:hAnsi="Calibri"/>
          <w:color w:val="222222"/>
        </w:rPr>
        <w:t xml:space="preserve"> Project Dashboard</w:t>
      </w:r>
    </w:p>
    <w:p w14:paraId="25049BED" w14:textId="77777777" w:rsidR="00F540D9" w:rsidRDefault="00E66665">
      <w:pPr>
        <w:spacing w:after="80"/>
      </w:pPr>
      <w:r>
        <w:rPr>
          <w:rFonts w:ascii="Calibri" w:hAnsi="Calibri"/>
          <w:color w:val="222222"/>
          <w:sz w:val="21"/>
        </w:rPr>
        <w:t>Provides executive-level project KPI metrics: Total Records (4,600), Features Used (22), Average Price ($551,963), Maximum Price ($26.59M), and Minimum Price ($0.00). It features interactive data tables displaying raw records, descriptive summary statistics, and model comparison metrics.</w:t>
      </w:r>
    </w:p>
    <w:p w14:paraId="3CDEA7FE" w14:textId="77777777" w:rsidR="00F540D9" w:rsidRDefault="00E66665">
      <w:pPr>
        <w:pStyle w:val="Heading3"/>
        <w:spacing w:before="160" w:after="40"/>
      </w:pPr>
      <w:r>
        <w:rPr>
          <w:rFonts w:ascii="Calibri" w:hAnsi="Calibri"/>
          <w:color w:val="222222"/>
        </w:rPr>
        <w:t xml:space="preserve">Page 3: </w:t>
      </w:r>
      <w:r>
        <w:rPr>
          <w:rFonts w:ascii="Calibri" w:hAnsi="Calibri"/>
          <w:color w:val="222222"/>
        </w:rPr>
        <w:t>🔬</w:t>
      </w:r>
      <w:r>
        <w:rPr>
          <w:rFonts w:ascii="Calibri" w:hAnsi="Calibri"/>
          <w:color w:val="222222"/>
        </w:rPr>
        <w:t xml:space="preserve"> EDA Charts Gallery</w:t>
      </w:r>
    </w:p>
    <w:p w14:paraId="44DF8D65" w14:textId="77777777" w:rsidR="00F540D9" w:rsidRDefault="00E66665">
      <w:pPr>
        <w:spacing w:after="80"/>
      </w:pPr>
      <w:r>
        <w:rPr>
          <w:rFonts w:ascii="Calibri" w:hAnsi="Calibri"/>
          <w:color w:val="222222"/>
          <w:sz w:val="21"/>
        </w:rPr>
        <w:t>Features an interactive expandable accordion gallery displaying all 14 project visual artifacts (10 EDA plots and 4 model diagnostic figures) with high-resolution image rendering.</w:t>
      </w:r>
    </w:p>
    <w:p w14:paraId="4F403887" w14:textId="77777777" w:rsidR="00F540D9" w:rsidRDefault="00E66665">
      <w:pPr>
        <w:pStyle w:val="Heading3"/>
        <w:spacing w:before="160" w:after="40"/>
      </w:pPr>
      <w:r>
        <w:rPr>
          <w:rFonts w:ascii="Calibri" w:hAnsi="Calibri"/>
          <w:color w:val="222222"/>
        </w:rPr>
        <w:lastRenderedPageBreak/>
        <w:t xml:space="preserve">Page 4: </w:t>
      </w:r>
      <w:r>
        <w:rPr>
          <w:rFonts w:ascii="Calibri" w:hAnsi="Calibri"/>
          <w:color w:val="222222"/>
        </w:rPr>
        <w:t>🤖</w:t>
      </w:r>
      <w:r>
        <w:rPr>
          <w:rFonts w:ascii="Calibri" w:hAnsi="Calibri"/>
          <w:color w:val="222222"/>
        </w:rPr>
        <w:t xml:space="preserve"> Model Comparison Studio</w:t>
      </w:r>
    </w:p>
    <w:p w14:paraId="6DC56EE7" w14:textId="77777777" w:rsidR="00F540D9" w:rsidRDefault="00E66665">
      <w:pPr>
        <w:spacing w:after="80"/>
      </w:pPr>
      <w:r>
        <w:rPr>
          <w:rFonts w:ascii="Calibri" w:hAnsi="Calibri"/>
          <w:color w:val="222222"/>
          <w:sz w:val="21"/>
        </w:rPr>
        <w:t>Displays visual metric cards highlighting test R², MAE, and RMSE for all four trained models, accompanied by embedded comparison plots, actual-vs-predicted scatters, residual histograms, full feature importance tables, and detailed algorithmic explanations.</w:t>
      </w:r>
    </w:p>
    <w:p w14:paraId="4A3C8848" w14:textId="77777777" w:rsidR="00F540D9" w:rsidRDefault="00E66665">
      <w:pPr>
        <w:pStyle w:val="Heading3"/>
        <w:spacing w:before="160" w:after="40"/>
      </w:pPr>
      <w:r>
        <w:rPr>
          <w:rFonts w:ascii="Calibri" w:hAnsi="Calibri"/>
          <w:color w:val="222222"/>
        </w:rPr>
        <w:t xml:space="preserve">Page 5: </w:t>
      </w:r>
      <w:r>
        <w:rPr>
          <w:rFonts w:ascii="Calibri" w:hAnsi="Calibri"/>
          <w:color w:val="222222"/>
        </w:rPr>
        <w:t>🧠</w:t>
      </w:r>
      <w:r>
        <w:rPr>
          <w:rFonts w:ascii="Calibri" w:hAnsi="Calibri"/>
          <w:color w:val="222222"/>
        </w:rPr>
        <w:t xml:space="preserve"> AI Insights</w:t>
      </w:r>
    </w:p>
    <w:p w14:paraId="0F450F72" w14:textId="77777777" w:rsidR="00F540D9" w:rsidRDefault="00E66665">
      <w:pPr>
        <w:spacing w:after="80"/>
      </w:pPr>
      <w:r>
        <w:rPr>
          <w:rFonts w:ascii="Calibri" w:hAnsi="Calibri"/>
          <w:color w:val="222222"/>
          <w:sz w:val="21"/>
        </w:rPr>
        <w:t>Presents eight data-driven analytical findings derived directly from mathematical computations on King County records, paired with a live correlation table ranking feature associations with property price.</w:t>
      </w:r>
    </w:p>
    <w:p w14:paraId="676E415C" w14:textId="77777777" w:rsidR="00F540D9" w:rsidRDefault="00E66665">
      <w:r>
        <w:br w:type="page"/>
      </w:r>
    </w:p>
    <w:p w14:paraId="0BCE4210" w14:textId="77777777" w:rsidR="00F540D9" w:rsidRDefault="00E66665">
      <w:pPr>
        <w:pStyle w:val="Heading1"/>
        <w:spacing w:before="320" w:after="120"/>
      </w:pPr>
      <w:r>
        <w:rPr>
          <w:rFonts w:ascii="Calibri" w:hAnsi="Calibri"/>
          <w:color w:val="1B365D"/>
          <w:sz w:val="30"/>
        </w:rPr>
        <w:lastRenderedPageBreak/>
        <w:t>14. AI / Data Analytics Component</w:t>
      </w:r>
    </w:p>
    <w:p w14:paraId="02C918E9" w14:textId="77777777" w:rsidR="00F540D9" w:rsidRDefault="00E66665">
      <w:pPr>
        <w:spacing w:after="80"/>
      </w:pPr>
      <w:r>
        <w:rPr>
          <w:rFonts w:ascii="Calibri" w:hAnsi="Calibri"/>
          <w:color w:val="222222"/>
          <w:sz w:val="21"/>
        </w:rPr>
        <w:t>A critical requirement of the AICTE | IBM SkillsBuild internship is the integration of an AI and Data Analytics Component. In this project, the analytics engine functions as an automated intelligence layer that executes empirical mathematical queries on historical housing data to extract actionable market insights.</w:t>
      </w:r>
    </w:p>
    <w:tbl>
      <w:tblPr>
        <w:tblW w:w="0" w:type="auto"/>
        <w:jc w:val="center"/>
        <w:tblLayout w:type="fixed"/>
        <w:tblLook w:val="04A0" w:firstRow="1" w:lastRow="0" w:firstColumn="1" w:lastColumn="0" w:noHBand="0" w:noVBand="1"/>
      </w:tblPr>
      <w:tblGrid>
        <w:gridCol w:w="9360"/>
      </w:tblGrid>
      <w:tr w:rsidR="00F540D9" w14:paraId="1DC959C8" w14:textId="77777777">
        <w:trPr>
          <w:jc w:val="center"/>
        </w:trPr>
        <w:tc>
          <w:tcPr>
            <w:tcW w:w="9360" w:type="dxa"/>
            <w:tcBorders>
              <w:left w:val="single" w:sz="24" w:space="0" w:color="1B365D"/>
            </w:tcBorders>
            <w:shd w:val="clear" w:color="auto" w:fill="EEF4F9"/>
            <w:tcMar>
              <w:top w:w="140" w:type="dxa"/>
              <w:left w:w="200" w:type="dxa"/>
              <w:bottom w:w="140" w:type="dxa"/>
              <w:right w:w="160" w:type="dxa"/>
            </w:tcMar>
          </w:tcPr>
          <w:p w14:paraId="77CD65DA" w14:textId="77777777" w:rsidR="00F540D9" w:rsidRDefault="00E66665">
            <w:pPr>
              <w:spacing w:before="40" w:after="40"/>
            </w:pPr>
            <w:r>
              <w:rPr>
                <w:rFonts w:ascii="Calibri" w:hAnsi="Calibri"/>
                <w:b/>
                <w:color w:val="1B365D"/>
                <w:sz w:val="20"/>
              </w:rPr>
              <w:t xml:space="preserve">Methodological Note: </w:t>
            </w:r>
            <w:r>
              <w:rPr>
                <w:rFonts w:ascii="Calibri" w:hAnsi="Calibri"/>
                <w:i/>
                <w:color w:val="222222"/>
                <w:sz w:val="20"/>
              </w:rPr>
              <w:t>Clarification on AI Architecture: The AI component implemented in this project consists of Supervised Machine Learning (regularized gradient boosted decision trees) and Automated Quantitative Data Analytics. The system does not utilize Generative AI (LLMs) or synthetic text generation; all analytical insights are programmatically computed from real-world empirical statistics in data/data.csv.</w:t>
            </w:r>
          </w:p>
        </w:tc>
      </w:tr>
    </w:tbl>
    <w:p w14:paraId="50860255" w14:textId="77777777" w:rsidR="00F540D9" w:rsidRDefault="00F540D9">
      <w:pPr>
        <w:spacing w:after="80"/>
      </w:pPr>
    </w:p>
    <w:p w14:paraId="401444F4" w14:textId="77777777" w:rsidR="00F540D9" w:rsidRDefault="00E66665">
      <w:pPr>
        <w:pStyle w:val="Heading2"/>
        <w:spacing w:before="240" w:after="80"/>
      </w:pPr>
      <w:r>
        <w:rPr>
          <w:rFonts w:ascii="Calibri" w:hAnsi="Calibri"/>
          <w:color w:val="316B9E"/>
          <w:sz w:val="25"/>
        </w:rPr>
        <w:t>14.1 Key Quantitative Analytics Derived from Data</w:t>
      </w:r>
    </w:p>
    <w:p w14:paraId="64A628D1" w14:textId="77777777" w:rsidR="00F540D9" w:rsidRDefault="00E66665">
      <w:pPr>
        <w:pStyle w:val="ListBullet"/>
        <w:spacing w:after="80"/>
      </w:pPr>
      <w:r>
        <w:rPr>
          <w:rFonts w:ascii="Calibri" w:hAnsi="Calibri"/>
          <w:color w:val="222222"/>
          <w:sz w:val="21"/>
        </w:rPr>
        <w:t>1. Living Space Dominates Valuation: sqft_living exhibits a Pearson correlation of r = 0.662 with price—the highest among all individual raw features. Adding 100 sqft of living area yields consistent upward valuation momentum.</w:t>
      </w:r>
    </w:p>
    <w:p w14:paraId="5578D482" w14:textId="77777777" w:rsidR="00F540D9" w:rsidRDefault="00E66665">
      <w:pPr>
        <w:pStyle w:val="ListBullet"/>
        <w:spacing w:after="80"/>
      </w:pPr>
      <w:r>
        <w:rPr>
          <w:rFonts w:ascii="Calibri" w:hAnsi="Calibri"/>
          <w:color w:val="222222"/>
          <w:sz w:val="21"/>
        </w:rPr>
        <w:t>2. Extreme Waterfront Premium: Waterfront homes average $1,451,621 versus $545,462 for inland properties, establishing an empirical 166.1% premium.</w:t>
      </w:r>
    </w:p>
    <w:p w14:paraId="177D5F5D" w14:textId="77777777" w:rsidR="00F540D9" w:rsidRDefault="00E66665">
      <w:pPr>
        <w:pStyle w:val="ListBullet"/>
        <w:spacing w:after="80"/>
      </w:pPr>
      <w:r>
        <w:rPr>
          <w:rFonts w:ascii="Calibri" w:hAnsi="Calibri"/>
          <w:color w:val="222222"/>
          <w:sz w:val="21"/>
        </w:rPr>
        <w:t>3. Substantial Municipal Price Divergence: Municipalities exhibit up to a 10x spread in average house price, led by Medina ($2,046,559) and Clyde Hill ($1,321,900) at the high end, versus Algona ($207,288) at the accessible end.</w:t>
      </w:r>
    </w:p>
    <w:p w14:paraId="3FC027FC" w14:textId="77777777" w:rsidR="00F540D9" w:rsidRDefault="00E66665">
      <w:pPr>
        <w:pStyle w:val="ListBullet"/>
        <w:spacing w:after="80"/>
      </w:pPr>
      <w:r>
        <w:rPr>
          <w:rFonts w:ascii="Calibri" w:hAnsi="Calibri"/>
          <w:color w:val="222222"/>
          <w:sz w:val="21"/>
        </w:rPr>
        <w:t>4. Physical Maintenance Value Impact: Homes in Condition 5 (Excellent) achieve an average price of $608,988, compared to $338,820 for Condition 1 (Poor)—confirming measurable financial returns on property upkeep.</w:t>
      </w:r>
    </w:p>
    <w:p w14:paraId="49CAC709" w14:textId="77777777" w:rsidR="00F540D9" w:rsidRDefault="00E66665">
      <w:pPr>
        <w:pStyle w:val="ListBullet"/>
        <w:spacing w:after="80"/>
      </w:pPr>
      <w:r>
        <w:rPr>
          <w:rFonts w:ascii="Calibri" w:hAnsi="Calibri"/>
          <w:color w:val="222222"/>
          <w:sz w:val="21"/>
        </w:rPr>
        <w:t>5. Bathrooms Outperform Bedrooms as a Quality Signal: Bathrooms exhibit a correlation of r = 0.510 with price, substantially outpacing bedrooms (r = 0.328), reflecting modern buyer demand for luxury en-suite layouts.</w:t>
      </w:r>
    </w:p>
    <w:p w14:paraId="034291F8" w14:textId="77777777" w:rsidR="00F540D9" w:rsidRDefault="00E66665">
      <w:pPr>
        <w:pStyle w:val="ListBullet"/>
        <w:spacing w:after="80"/>
      </w:pPr>
      <w:r>
        <w:rPr>
          <w:rFonts w:ascii="Calibri" w:hAnsi="Calibri"/>
          <w:color w:val="222222"/>
          <w:sz w:val="21"/>
        </w:rPr>
        <w:t>6. Non-Linear Age Trajectory: Historic pre-1940 vintage homes and modern post-2000 builds command higher median valuations than mid-century properties (1960–1980), revealing a U-shaped demand curve.</w:t>
      </w:r>
    </w:p>
    <w:p w14:paraId="2BE68793" w14:textId="77777777" w:rsidR="00F540D9" w:rsidRDefault="00E66665">
      <w:pPr>
        <w:pStyle w:val="Heading1"/>
        <w:spacing w:before="320" w:after="120"/>
      </w:pPr>
      <w:r>
        <w:rPr>
          <w:rFonts w:ascii="Calibri" w:hAnsi="Calibri"/>
          <w:color w:val="1B365D"/>
          <w:sz w:val="30"/>
        </w:rPr>
        <w:t>15. Project Workflow</w:t>
      </w:r>
    </w:p>
    <w:p w14:paraId="45EBD9E3" w14:textId="77777777" w:rsidR="00F540D9" w:rsidRDefault="00E66665">
      <w:pPr>
        <w:spacing w:after="80"/>
      </w:pPr>
      <w:r>
        <w:rPr>
          <w:rFonts w:ascii="Calibri" w:hAnsi="Calibri"/>
          <w:color w:val="222222"/>
          <w:sz w:val="21"/>
        </w:rPr>
        <w:t>The project follows a linear, highly structured data science lifecycle depicted in the workflow below:</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168"/>
        <w:gridCol w:w="6192"/>
      </w:tblGrid>
      <w:tr w:rsidR="00F540D9" w14:paraId="39DB8391" w14:textId="77777777">
        <w:trPr>
          <w:jc w:val="center"/>
        </w:trPr>
        <w:tc>
          <w:tcPr>
            <w:tcW w:w="3168" w:type="dxa"/>
            <w:shd w:val="clear" w:color="auto" w:fill="1B365D"/>
            <w:tcMar>
              <w:top w:w="140" w:type="dxa"/>
              <w:left w:w="160" w:type="dxa"/>
              <w:bottom w:w="140" w:type="dxa"/>
              <w:right w:w="160" w:type="dxa"/>
            </w:tcMar>
          </w:tcPr>
          <w:p w14:paraId="0412AEE3" w14:textId="77777777" w:rsidR="00F540D9" w:rsidRDefault="00E66665">
            <w:pPr>
              <w:spacing w:after="0"/>
            </w:pPr>
            <w:r>
              <w:rPr>
                <w:rFonts w:ascii="Calibri" w:hAnsi="Calibri"/>
                <w:b/>
                <w:color w:val="FFFFFF"/>
                <w:sz w:val="19"/>
              </w:rPr>
              <w:t>Pipeline Stage</w:t>
            </w:r>
          </w:p>
        </w:tc>
        <w:tc>
          <w:tcPr>
            <w:tcW w:w="6192" w:type="dxa"/>
            <w:shd w:val="clear" w:color="auto" w:fill="1B365D"/>
            <w:tcMar>
              <w:top w:w="140" w:type="dxa"/>
              <w:left w:w="160" w:type="dxa"/>
              <w:bottom w:w="140" w:type="dxa"/>
              <w:right w:w="160" w:type="dxa"/>
            </w:tcMar>
          </w:tcPr>
          <w:p w14:paraId="5BCBF0A3" w14:textId="77777777" w:rsidR="00F540D9" w:rsidRDefault="00E66665">
            <w:pPr>
              <w:spacing w:after="0"/>
            </w:pPr>
            <w:r>
              <w:rPr>
                <w:rFonts w:ascii="Calibri" w:hAnsi="Calibri"/>
                <w:b/>
                <w:color w:val="FFFFFF"/>
                <w:sz w:val="19"/>
              </w:rPr>
              <w:t>Technical Implementation Summary</w:t>
            </w:r>
          </w:p>
        </w:tc>
      </w:tr>
      <w:tr w:rsidR="00F540D9" w14:paraId="5BCBD0BC" w14:textId="77777777">
        <w:trPr>
          <w:jc w:val="center"/>
        </w:trPr>
        <w:tc>
          <w:tcPr>
            <w:tcW w:w="3168" w:type="dxa"/>
            <w:shd w:val="clear" w:color="auto" w:fill="FFFFFF"/>
            <w:tcMar>
              <w:top w:w="100" w:type="dxa"/>
              <w:left w:w="160" w:type="dxa"/>
              <w:bottom w:w="100" w:type="dxa"/>
              <w:right w:w="160" w:type="dxa"/>
            </w:tcMar>
          </w:tcPr>
          <w:p w14:paraId="35533029" w14:textId="77777777" w:rsidR="00F540D9" w:rsidRDefault="00E66665">
            <w:pPr>
              <w:spacing w:after="0" w:line="264" w:lineRule="auto"/>
            </w:pPr>
            <w:r>
              <w:rPr>
                <w:rFonts w:ascii="Calibri" w:hAnsi="Calibri"/>
                <w:color w:val="222222"/>
                <w:sz w:val="19"/>
              </w:rPr>
              <w:t>Step 1: Dataset Ingestion</w:t>
            </w:r>
          </w:p>
        </w:tc>
        <w:tc>
          <w:tcPr>
            <w:tcW w:w="6192" w:type="dxa"/>
            <w:shd w:val="clear" w:color="auto" w:fill="FFFFFF"/>
            <w:tcMar>
              <w:top w:w="100" w:type="dxa"/>
              <w:left w:w="160" w:type="dxa"/>
              <w:bottom w:w="100" w:type="dxa"/>
              <w:right w:w="160" w:type="dxa"/>
            </w:tcMar>
          </w:tcPr>
          <w:p w14:paraId="536B709B" w14:textId="77777777" w:rsidR="00F540D9" w:rsidRDefault="00E66665">
            <w:pPr>
              <w:spacing w:after="0" w:line="264" w:lineRule="auto"/>
            </w:pPr>
            <w:r>
              <w:rPr>
                <w:rFonts w:ascii="Calibri" w:hAnsi="Calibri"/>
                <w:color w:val="222222"/>
                <w:sz w:val="19"/>
              </w:rPr>
              <w:t>Raw transaction ingestion from data/data.csv (4,600 records, 18 columns).</w:t>
            </w:r>
          </w:p>
        </w:tc>
      </w:tr>
      <w:tr w:rsidR="00F540D9" w14:paraId="6FCC6268" w14:textId="77777777">
        <w:trPr>
          <w:jc w:val="center"/>
        </w:trPr>
        <w:tc>
          <w:tcPr>
            <w:tcW w:w="3168" w:type="dxa"/>
            <w:shd w:val="clear" w:color="auto" w:fill="F4F7FA"/>
            <w:tcMar>
              <w:top w:w="100" w:type="dxa"/>
              <w:left w:w="160" w:type="dxa"/>
              <w:bottom w:w="100" w:type="dxa"/>
              <w:right w:w="160" w:type="dxa"/>
            </w:tcMar>
          </w:tcPr>
          <w:p w14:paraId="3513A1C0" w14:textId="77777777" w:rsidR="00F540D9" w:rsidRDefault="00E66665">
            <w:pPr>
              <w:spacing w:after="0" w:line="264" w:lineRule="auto"/>
            </w:pPr>
            <w:r>
              <w:rPr>
                <w:rFonts w:ascii="Calibri" w:hAnsi="Calibri"/>
                <w:color w:val="222222"/>
                <w:sz w:val="19"/>
              </w:rPr>
              <w:t>Step 2: Data Understanding</w:t>
            </w:r>
          </w:p>
        </w:tc>
        <w:tc>
          <w:tcPr>
            <w:tcW w:w="6192" w:type="dxa"/>
            <w:shd w:val="clear" w:color="auto" w:fill="F4F7FA"/>
            <w:tcMar>
              <w:top w:w="100" w:type="dxa"/>
              <w:left w:w="160" w:type="dxa"/>
              <w:bottom w:w="100" w:type="dxa"/>
              <w:right w:w="160" w:type="dxa"/>
            </w:tcMar>
          </w:tcPr>
          <w:p w14:paraId="4D311A57" w14:textId="77777777" w:rsidR="00F540D9" w:rsidRDefault="00E66665">
            <w:pPr>
              <w:spacing w:after="0" w:line="264" w:lineRule="auto"/>
            </w:pPr>
            <w:r>
              <w:rPr>
                <w:rFonts w:ascii="Calibri" w:hAnsi="Calibri"/>
                <w:color w:val="222222"/>
                <w:sz w:val="19"/>
              </w:rPr>
              <w:t>Profiling feature types, cardinality, missing values, duplicates, and IQR outliers (src/data_understanding.py).</w:t>
            </w:r>
          </w:p>
        </w:tc>
      </w:tr>
      <w:tr w:rsidR="00F540D9" w14:paraId="277709C7" w14:textId="77777777">
        <w:trPr>
          <w:jc w:val="center"/>
        </w:trPr>
        <w:tc>
          <w:tcPr>
            <w:tcW w:w="3168" w:type="dxa"/>
            <w:shd w:val="clear" w:color="auto" w:fill="FFFFFF"/>
            <w:tcMar>
              <w:top w:w="100" w:type="dxa"/>
              <w:left w:w="160" w:type="dxa"/>
              <w:bottom w:w="100" w:type="dxa"/>
              <w:right w:w="160" w:type="dxa"/>
            </w:tcMar>
          </w:tcPr>
          <w:p w14:paraId="0EE811B7" w14:textId="77777777" w:rsidR="00F540D9" w:rsidRDefault="00E66665">
            <w:pPr>
              <w:spacing w:after="0" w:line="264" w:lineRule="auto"/>
            </w:pPr>
            <w:r>
              <w:rPr>
                <w:rFonts w:ascii="Calibri" w:hAnsi="Calibri"/>
                <w:color w:val="222222"/>
                <w:sz w:val="19"/>
              </w:rPr>
              <w:t>Step 3: Data Cleaning &amp; Preprocessing</w:t>
            </w:r>
          </w:p>
        </w:tc>
        <w:tc>
          <w:tcPr>
            <w:tcW w:w="6192" w:type="dxa"/>
            <w:shd w:val="clear" w:color="auto" w:fill="FFFFFF"/>
            <w:tcMar>
              <w:top w:w="100" w:type="dxa"/>
              <w:left w:w="160" w:type="dxa"/>
              <w:bottom w:w="100" w:type="dxa"/>
              <w:right w:w="160" w:type="dxa"/>
            </w:tcMar>
          </w:tcPr>
          <w:p w14:paraId="77FC5C8A" w14:textId="77777777" w:rsidR="00F540D9" w:rsidRDefault="00E66665">
            <w:pPr>
              <w:spacing w:after="0" w:line="264" w:lineRule="auto"/>
            </w:pPr>
            <w:r>
              <w:rPr>
                <w:rFonts w:ascii="Calibri" w:hAnsi="Calibri"/>
                <w:color w:val="222222"/>
                <w:sz w:val="19"/>
              </w:rPr>
              <w:t>Parsing dates, removing uninformative street/country columns, extracting numeric postal codes, label-encoding cities, and winsorizing 1%/99% outliers (src/data_cleaning.py).</w:t>
            </w:r>
          </w:p>
        </w:tc>
      </w:tr>
      <w:tr w:rsidR="00F540D9" w14:paraId="68A1863F" w14:textId="77777777">
        <w:trPr>
          <w:jc w:val="center"/>
        </w:trPr>
        <w:tc>
          <w:tcPr>
            <w:tcW w:w="3168" w:type="dxa"/>
            <w:shd w:val="clear" w:color="auto" w:fill="F4F7FA"/>
            <w:tcMar>
              <w:top w:w="100" w:type="dxa"/>
              <w:left w:w="160" w:type="dxa"/>
              <w:bottom w:w="100" w:type="dxa"/>
              <w:right w:w="160" w:type="dxa"/>
            </w:tcMar>
          </w:tcPr>
          <w:p w14:paraId="1CBEE3A6" w14:textId="77777777" w:rsidR="00F540D9" w:rsidRDefault="00E66665">
            <w:pPr>
              <w:spacing w:after="0" w:line="264" w:lineRule="auto"/>
            </w:pPr>
            <w:r>
              <w:rPr>
                <w:rFonts w:ascii="Calibri" w:hAnsi="Calibri"/>
                <w:color w:val="222222"/>
                <w:sz w:val="19"/>
              </w:rPr>
              <w:lastRenderedPageBreak/>
              <w:t>Step 4: Exploratory Data Analysis</w:t>
            </w:r>
          </w:p>
        </w:tc>
        <w:tc>
          <w:tcPr>
            <w:tcW w:w="6192" w:type="dxa"/>
            <w:shd w:val="clear" w:color="auto" w:fill="F4F7FA"/>
            <w:tcMar>
              <w:top w:w="100" w:type="dxa"/>
              <w:left w:w="160" w:type="dxa"/>
              <w:bottom w:w="100" w:type="dxa"/>
              <w:right w:w="160" w:type="dxa"/>
            </w:tcMar>
          </w:tcPr>
          <w:p w14:paraId="62300E4D" w14:textId="77777777" w:rsidR="00F540D9" w:rsidRDefault="00E66665">
            <w:pPr>
              <w:spacing w:after="0" w:line="264" w:lineRule="auto"/>
            </w:pPr>
            <w:r>
              <w:rPr>
                <w:rFonts w:ascii="Calibri" w:hAnsi="Calibri"/>
                <w:color w:val="222222"/>
                <w:sz w:val="19"/>
              </w:rPr>
              <w:t>Generating and saving 10 publication-quality analytical visualizations to visualizations/ (src/eda.py).</w:t>
            </w:r>
          </w:p>
        </w:tc>
      </w:tr>
      <w:tr w:rsidR="00F540D9" w14:paraId="526B1E52" w14:textId="77777777">
        <w:trPr>
          <w:jc w:val="center"/>
        </w:trPr>
        <w:tc>
          <w:tcPr>
            <w:tcW w:w="3168" w:type="dxa"/>
            <w:shd w:val="clear" w:color="auto" w:fill="FFFFFF"/>
            <w:tcMar>
              <w:top w:w="100" w:type="dxa"/>
              <w:left w:w="160" w:type="dxa"/>
              <w:bottom w:w="100" w:type="dxa"/>
              <w:right w:w="160" w:type="dxa"/>
            </w:tcMar>
          </w:tcPr>
          <w:p w14:paraId="17A81CC5" w14:textId="77777777" w:rsidR="00F540D9" w:rsidRDefault="00E66665">
            <w:pPr>
              <w:spacing w:after="0" w:line="264" w:lineRule="auto"/>
            </w:pPr>
            <w:r>
              <w:rPr>
                <w:rFonts w:ascii="Calibri" w:hAnsi="Calibri"/>
                <w:color w:val="222222"/>
                <w:sz w:val="19"/>
              </w:rPr>
              <w:t>Step 5: Feature Engineering</w:t>
            </w:r>
          </w:p>
        </w:tc>
        <w:tc>
          <w:tcPr>
            <w:tcW w:w="6192" w:type="dxa"/>
            <w:shd w:val="clear" w:color="auto" w:fill="FFFFFF"/>
            <w:tcMar>
              <w:top w:w="100" w:type="dxa"/>
              <w:left w:w="160" w:type="dxa"/>
              <w:bottom w:w="100" w:type="dxa"/>
              <w:right w:w="160" w:type="dxa"/>
            </w:tcMar>
          </w:tcPr>
          <w:p w14:paraId="27646B0A" w14:textId="77777777" w:rsidR="00F540D9" w:rsidRDefault="00E66665">
            <w:pPr>
              <w:spacing w:after="0" w:line="264" w:lineRule="auto"/>
            </w:pPr>
            <w:r>
              <w:rPr>
                <w:rFonts w:ascii="Calibri" w:hAnsi="Calibri"/>
                <w:color w:val="222222"/>
                <w:sz w:val="19"/>
              </w:rPr>
              <w:t>Deriving 10 mathematical domain features (house_age, total_sqft, living_to_lot, etc.) yielding 22 predictor features.</w:t>
            </w:r>
          </w:p>
        </w:tc>
      </w:tr>
      <w:tr w:rsidR="00F540D9" w14:paraId="6F158732" w14:textId="77777777">
        <w:trPr>
          <w:jc w:val="center"/>
        </w:trPr>
        <w:tc>
          <w:tcPr>
            <w:tcW w:w="3168" w:type="dxa"/>
            <w:shd w:val="clear" w:color="auto" w:fill="F4F7FA"/>
            <w:tcMar>
              <w:top w:w="100" w:type="dxa"/>
              <w:left w:w="160" w:type="dxa"/>
              <w:bottom w:w="100" w:type="dxa"/>
              <w:right w:w="160" w:type="dxa"/>
            </w:tcMar>
          </w:tcPr>
          <w:p w14:paraId="727718C3" w14:textId="77777777" w:rsidR="00F540D9" w:rsidRDefault="00E66665">
            <w:pPr>
              <w:spacing w:after="0" w:line="264" w:lineRule="auto"/>
            </w:pPr>
            <w:r>
              <w:rPr>
                <w:rFonts w:ascii="Calibri" w:hAnsi="Calibri"/>
                <w:color w:val="222222"/>
                <w:sz w:val="19"/>
              </w:rPr>
              <w:t>Step 6: Train/Test Partitioning</w:t>
            </w:r>
          </w:p>
        </w:tc>
        <w:tc>
          <w:tcPr>
            <w:tcW w:w="6192" w:type="dxa"/>
            <w:shd w:val="clear" w:color="auto" w:fill="F4F7FA"/>
            <w:tcMar>
              <w:top w:w="100" w:type="dxa"/>
              <w:left w:w="160" w:type="dxa"/>
              <w:bottom w:w="100" w:type="dxa"/>
              <w:right w:w="160" w:type="dxa"/>
            </w:tcMar>
          </w:tcPr>
          <w:p w14:paraId="5DFDDD09" w14:textId="77777777" w:rsidR="00F540D9" w:rsidRDefault="00E66665">
            <w:pPr>
              <w:spacing w:after="0" w:line="264" w:lineRule="auto"/>
            </w:pPr>
            <w:r>
              <w:rPr>
                <w:rFonts w:ascii="Calibri" w:hAnsi="Calibri"/>
                <w:color w:val="222222"/>
                <w:sz w:val="19"/>
              </w:rPr>
              <w:t>Isolating an 80% training split (3,680 records) and a 20% hold-out testing split (920 records) with random_state=42.</w:t>
            </w:r>
          </w:p>
        </w:tc>
      </w:tr>
      <w:tr w:rsidR="00F540D9" w14:paraId="4DC6A5E6" w14:textId="77777777">
        <w:trPr>
          <w:jc w:val="center"/>
        </w:trPr>
        <w:tc>
          <w:tcPr>
            <w:tcW w:w="3168" w:type="dxa"/>
            <w:shd w:val="clear" w:color="auto" w:fill="FFFFFF"/>
            <w:tcMar>
              <w:top w:w="100" w:type="dxa"/>
              <w:left w:w="160" w:type="dxa"/>
              <w:bottom w:w="100" w:type="dxa"/>
              <w:right w:w="160" w:type="dxa"/>
            </w:tcMar>
          </w:tcPr>
          <w:p w14:paraId="27F07CB5" w14:textId="77777777" w:rsidR="00F540D9" w:rsidRDefault="00E66665">
            <w:pPr>
              <w:spacing w:after="0" w:line="264" w:lineRule="auto"/>
            </w:pPr>
            <w:r>
              <w:rPr>
                <w:rFonts w:ascii="Calibri" w:hAnsi="Calibri"/>
                <w:color w:val="222222"/>
                <w:sz w:val="19"/>
              </w:rPr>
              <w:t>Step 7: Pipeline Model Training</w:t>
            </w:r>
          </w:p>
        </w:tc>
        <w:tc>
          <w:tcPr>
            <w:tcW w:w="6192" w:type="dxa"/>
            <w:shd w:val="clear" w:color="auto" w:fill="FFFFFF"/>
            <w:tcMar>
              <w:top w:w="100" w:type="dxa"/>
              <w:left w:w="160" w:type="dxa"/>
              <w:bottom w:w="100" w:type="dxa"/>
              <w:right w:w="160" w:type="dxa"/>
            </w:tcMar>
          </w:tcPr>
          <w:p w14:paraId="4FECE2D3" w14:textId="77777777" w:rsidR="00F540D9" w:rsidRDefault="00E66665">
            <w:pPr>
              <w:spacing w:after="0" w:line="264" w:lineRule="auto"/>
            </w:pPr>
            <w:r>
              <w:rPr>
                <w:rFonts w:ascii="Calibri" w:hAnsi="Calibri"/>
                <w:color w:val="222222"/>
                <w:sz w:val="19"/>
              </w:rPr>
              <w:t>Fitting StandardScaler and regressors (Linear Regression, Random Forest, Gradient Boosting, XGBoost) within leak-free pipelines.</w:t>
            </w:r>
          </w:p>
        </w:tc>
      </w:tr>
      <w:tr w:rsidR="00F540D9" w14:paraId="798FAC93" w14:textId="77777777">
        <w:trPr>
          <w:jc w:val="center"/>
        </w:trPr>
        <w:tc>
          <w:tcPr>
            <w:tcW w:w="3168" w:type="dxa"/>
            <w:shd w:val="clear" w:color="auto" w:fill="F4F7FA"/>
            <w:tcMar>
              <w:top w:w="100" w:type="dxa"/>
              <w:left w:w="160" w:type="dxa"/>
              <w:bottom w:w="100" w:type="dxa"/>
              <w:right w:w="160" w:type="dxa"/>
            </w:tcMar>
          </w:tcPr>
          <w:p w14:paraId="58D73BF3" w14:textId="77777777" w:rsidR="00F540D9" w:rsidRDefault="00E66665">
            <w:pPr>
              <w:spacing w:after="0" w:line="264" w:lineRule="auto"/>
            </w:pPr>
            <w:r>
              <w:rPr>
                <w:rFonts w:ascii="Calibri" w:hAnsi="Calibri"/>
                <w:color w:val="222222"/>
                <w:sz w:val="19"/>
              </w:rPr>
              <w:t>Step 8: Model Evaluation &amp; Benchmarking</w:t>
            </w:r>
          </w:p>
        </w:tc>
        <w:tc>
          <w:tcPr>
            <w:tcW w:w="6192" w:type="dxa"/>
            <w:shd w:val="clear" w:color="auto" w:fill="F4F7FA"/>
            <w:tcMar>
              <w:top w:w="100" w:type="dxa"/>
              <w:left w:w="160" w:type="dxa"/>
              <w:bottom w:w="100" w:type="dxa"/>
              <w:right w:w="160" w:type="dxa"/>
            </w:tcMar>
          </w:tcPr>
          <w:p w14:paraId="5423B97C" w14:textId="77777777" w:rsidR="00F540D9" w:rsidRDefault="00E66665">
            <w:pPr>
              <w:spacing w:after="0" w:line="264" w:lineRule="auto"/>
            </w:pPr>
            <w:r>
              <w:rPr>
                <w:rFonts w:ascii="Calibri" w:hAnsi="Calibri"/>
                <w:color w:val="222222"/>
                <w:sz w:val="19"/>
              </w:rPr>
              <w:t>Evaluating MAE, MSE, RMSE, and R² exclusively on unseen hold-out test samples.</w:t>
            </w:r>
          </w:p>
        </w:tc>
      </w:tr>
      <w:tr w:rsidR="00F540D9" w14:paraId="24B7DE4C" w14:textId="77777777">
        <w:trPr>
          <w:jc w:val="center"/>
        </w:trPr>
        <w:tc>
          <w:tcPr>
            <w:tcW w:w="3168" w:type="dxa"/>
            <w:shd w:val="clear" w:color="auto" w:fill="FFFFFF"/>
            <w:tcMar>
              <w:top w:w="100" w:type="dxa"/>
              <w:left w:w="160" w:type="dxa"/>
              <w:bottom w:w="100" w:type="dxa"/>
              <w:right w:w="160" w:type="dxa"/>
            </w:tcMar>
          </w:tcPr>
          <w:p w14:paraId="17DC7E23" w14:textId="77777777" w:rsidR="00F540D9" w:rsidRDefault="00E66665">
            <w:pPr>
              <w:spacing w:after="0" w:line="264" w:lineRule="auto"/>
            </w:pPr>
            <w:r>
              <w:rPr>
                <w:rFonts w:ascii="Calibri" w:hAnsi="Calibri"/>
                <w:color w:val="222222"/>
                <w:sz w:val="19"/>
              </w:rPr>
              <w:t>Step 9: Best Model Serialization</w:t>
            </w:r>
          </w:p>
        </w:tc>
        <w:tc>
          <w:tcPr>
            <w:tcW w:w="6192" w:type="dxa"/>
            <w:shd w:val="clear" w:color="auto" w:fill="FFFFFF"/>
            <w:tcMar>
              <w:top w:w="100" w:type="dxa"/>
              <w:left w:w="160" w:type="dxa"/>
              <w:bottom w:w="100" w:type="dxa"/>
              <w:right w:w="160" w:type="dxa"/>
            </w:tcMar>
          </w:tcPr>
          <w:p w14:paraId="00DFCC93" w14:textId="77777777" w:rsidR="00F540D9" w:rsidRDefault="00E66665">
            <w:pPr>
              <w:spacing w:after="0" w:line="264" w:lineRule="auto"/>
            </w:pPr>
            <w:r>
              <w:rPr>
                <w:rFonts w:ascii="Calibri" w:hAnsi="Calibri"/>
                <w:color w:val="222222"/>
                <w:sz w:val="19"/>
              </w:rPr>
              <w:t>Auto-selecting the highest R² model (XGBoost) and serializing to models/best_model.pkl alongside schema and importance files.</w:t>
            </w:r>
          </w:p>
        </w:tc>
      </w:tr>
      <w:tr w:rsidR="00F540D9" w14:paraId="1D53762F" w14:textId="77777777">
        <w:trPr>
          <w:jc w:val="center"/>
        </w:trPr>
        <w:tc>
          <w:tcPr>
            <w:tcW w:w="3168" w:type="dxa"/>
            <w:shd w:val="clear" w:color="auto" w:fill="F4F7FA"/>
            <w:tcMar>
              <w:top w:w="100" w:type="dxa"/>
              <w:left w:w="160" w:type="dxa"/>
              <w:bottom w:w="100" w:type="dxa"/>
              <w:right w:w="160" w:type="dxa"/>
            </w:tcMar>
          </w:tcPr>
          <w:p w14:paraId="3CD7DA9C" w14:textId="77777777" w:rsidR="00F540D9" w:rsidRDefault="00E66665">
            <w:pPr>
              <w:spacing w:after="0" w:line="264" w:lineRule="auto"/>
            </w:pPr>
            <w:r>
              <w:rPr>
                <w:rFonts w:ascii="Calibri" w:hAnsi="Calibri"/>
                <w:color w:val="222222"/>
                <w:sz w:val="19"/>
              </w:rPr>
              <w:t>Step 10: Interactive Web Deployment</w:t>
            </w:r>
          </w:p>
        </w:tc>
        <w:tc>
          <w:tcPr>
            <w:tcW w:w="6192" w:type="dxa"/>
            <w:shd w:val="clear" w:color="auto" w:fill="F4F7FA"/>
            <w:tcMar>
              <w:top w:w="100" w:type="dxa"/>
              <w:left w:w="160" w:type="dxa"/>
              <w:bottom w:w="100" w:type="dxa"/>
              <w:right w:w="160" w:type="dxa"/>
            </w:tcMar>
          </w:tcPr>
          <w:p w14:paraId="3FEA5F36" w14:textId="77777777" w:rsidR="00F540D9" w:rsidRDefault="00E66665">
            <w:pPr>
              <w:spacing w:after="0" w:line="264" w:lineRule="auto"/>
            </w:pPr>
            <w:r>
              <w:rPr>
                <w:rFonts w:ascii="Calibri" w:hAnsi="Calibri"/>
                <w:color w:val="222222"/>
                <w:sz w:val="19"/>
              </w:rPr>
              <w:t>Launching a 5-page Streamlit dashboard (app/streamlit_app.py) for real-time user inference and analytics.</w:t>
            </w:r>
          </w:p>
        </w:tc>
      </w:tr>
    </w:tbl>
    <w:p w14:paraId="25E99B34" w14:textId="77777777" w:rsidR="00F540D9" w:rsidRDefault="00E66665">
      <w:r>
        <w:br w:type="page"/>
      </w:r>
    </w:p>
    <w:p w14:paraId="0DF3E13A" w14:textId="77777777" w:rsidR="00F540D9" w:rsidRDefault="00E66665">
      <w:pPr>
        <w:pStyle w:val="Heading1"/>
        <w:spacing w:before="320" w:after="120"/>
      </w:pPr>
      <w:r>
        <w:rPr>
          <w:rFonts w:ascii="Calibri" w:hAnsi="Calibri"/>
          <w:color w:val="1B365D"/>
          <w:sz w:val="30"/>
        </w:rPr>
        <w:lastRenderedPageBreak/>
        <w:t>16. Key Findings</w:t>
      </w:r>
    </w:p>
    <w:p w14:paraId="60141E8C" w14:textId="77777777" w:rsidR="00F540D9" w:rsidRDefault="00E66665">
      <w:pPr>
        <w:spacing w:after="80"/>
      </w:pPr>
      <w:r>
        <w:rPr>
          <w:rFonts w:ascii="Calibri" w:hAnsi="Calibri"/>
          <w:color w:val="222222"/>
          <w:sz w:val="21"/>
        </w:rPr>
        <w:t>The empirical results of this study yield several concrete real estate market insights:</w:t>
      </w:r>
    </w:p>
    <w:p w14:paraId="7EE4CEB3" w14:textId="77777777" w:rsidR="00F540D9" w:rsidRDefault="00E66665">
      <w:pPr>
        <w:pStyle w:val="ListBullet"/>
        <w:spacing w:after="80"/>
      </w:pPr>
      <w:r>
        <w:rPr>
          <w:rFonts w:ascii="Calibri" w:hAnsi="Calibri"/>
          <w:color w:val="222222"/>
          <w:sz w:val="21"/>
        </w:rPr>
        <w:t>1. Living Area is the Primary Determinant: Interior square footage (total_sqft at 27.54% and sqft_living at 13.92%) accounts for over 41.4% of total predictive decision weight in the best model.</w:t>
      </w:r>
    </w:p>
    <w:p w14:paraId="2ADAB42C" w14:textId="77777777" w:rsidR="00F540D9" w:rsidRDefault="00E66665">
      <w:pPr>
        <w:pStyle w:val="ListBullet"/>
        <w:spacing w:after="80"/>
      </w:pPr>
      <w:r>
        <w:rPr>
          <w:rFonts w:ascii="Calibri" w:hAnsi="Calibri"/>
          <w:color w:val="222222"/>
          <w:sz w:val="21"/>
        </w:rPr>
        <w:t>2. Substantial Waterfront Premium: Waterfront homes trade at an average of $1.45M compared to $545K for inland homes (+166.1% premium).</w:t>
      </w:r>
    </w:p>
    <w:p w14:paraId="233EBB4D" w14:textId="77777777" w:rsidR="00F540D9" w:rsidRDefault="00E66665">
      <w:pPr>
        <w:pStyle w:val="ListBullet"/>
        <w:spacing w:after="80"/>
      </w:pPr>
      <w:r>
        <w:rPr>
          <w:rFonts w:ascii="Calibri" w:hAnsi="Calibri"/>
          <w:color w:val="222222"/>
          <w:sz w:val="21"/>
        </w:rPr>
        <w:t>3. Tree Ensembles Outperform Linear Baselines: Gradient boosted trees (XGBoost R² = 0.6213, Gradient Boosting R² = 0.6127) substantially outperform Linear Regression (R² = 0.4698), demonstrating that residential property pricing is inherently non-linear.</w:t>
      </w:r>
    </w:p>
    <w:p w14:paraId="38A43F1B" w14:textId="77777777" w:rsidR="00F540D9" w:rsidRDefault="00E66665">
      <w:pPr>
        <w:pStyle w:val="ListBullet"/>
        <w:spacing w:after="80"/>
      </w:pPr>
      <w:r>
        <w:rPr>
          <w:rFonts w:ascii="Calibri" w:hAnsi="Calibri"/>
          <w:color w:val="222222"/>
          <w:sz w:val="21"/>
        </w:rPr>
        <w:t>4. Geographic Enclaves Dictate Baseline Pricing: Municipal location introduces nearly a 10x spread in median prices, led by Medina ($2.05M) versus Algona ($207K).</w:t>
      </w:r>
    </w:p>
    <w:p w14:paraId="1015C940" w14:textId="77777777" w:rsidR="00F540D9" w:rsidRDefault="00E66665">
      <w:pPr>
        <w:pStyle w:val="ListBullet"/>
        <w:spacing w:after="80"/>
      </w:pPr>
      <w:r>
        <w:rPr>
          <w:rFonts w:ascii="Calibri" w:hAnsi="Calibri"/>
          <w:color w:val="222222"/>
          <w:sz w:val="21"/>
        </w:rPr>
        <w:t>5. Bathrooms Outweigh Bedrooms in Modern Layouts: Bathroom count correlates more strongly with final transaction price (r = 0.510) than bedroom count (r = 0.328).</w:t>
      </w:r>
    </w:p>
    <w:p w14:paraId="2ED658F1" w14:textId="77777777" w:rsidR="00F540D9" w:rsidRDefault="00E66665">
      <w:pPr>
        <w:pStyle w:val="ListBullet"/>
        <w:spacing w:after="80"/>
      </w:pPr>
      <w:r>
        <w:rPr>
          <w:rFonts w:ascii="Calibri" w:hAnsi="Calibri"/>
          <w:color w:val="222222"/>
          <w:sz w:val="21"/>
        </w:rPr>
        <w:t>6. Vintage and Modern Builds Command Premiums: Construction year exhibits a U-shaped valuation curve favoring vintage pre-1940 structures and modern post-2000 builds over mid-century construction.</w:t>
      </w:r>
    </w:p>
    <w:p w14:paraId="701EF455" w14:textId="77777777" w:rsidR="00F540D9" w:rsidRDefault="00E66665">
      <w:pPr>
        <w:pStyle w:val="Heading1"/>
        <w:spacing w:before="320" w:after="120"/>
      </w:pPr>
      <w:r>
        <w:rPr>
          <w:rFonts w:ascii="Calibri" w:hAnsi="Calibri"/>
          <w:color w:val="1B365D"/>
          <w:sz w:val="30"/>
        </w:rPr>
        <w:t>17. Challenges and Limitations</w:t>
      </w:r>
    </w:p>
    <w:p w14:paraId="6E905876" w14:textId="77777777" w:rsidR="00F540D9" w:rsidRDefault="00E66665">
      <w:pPr>
        <w:spacing w:after="80"/>
      </w:pPr>
      <w:r>
        <w:rPr>
          <w:rFonts w:ascii="Calibri" w:hAnsi="Calibri"/>
          <w:color w:val="222222"/>
          <w:sz w:val="21"/>
        </w:rPr>
        <w:t>Throughout project execution, several significant technical and data challenges were addressed:</w:t>
      </w:r>
    </w:p>
    <w:p w14:paraId="329EA32D" w14:textId="77777777" w:rsidR="00F540D9" w:rsidRDefault="00E66665">
      <w:pPr>
        <w:pStyle w:val="ListBullet"/>
        <w:spacing w:after="80"/>
      </w:pPr>
      <w:r>
        <w:rPr>
          <w:rFonts w:ascii="Calibri" w:hAnsi="Calibri"/>
          <w:color w:val="222222"/>
          <w:sz w:val="21"/>
        </w:rPr>
        <w:t>Zero-Value Anomaly Handling: 49 records recorded with price = $0.00 were resolved via percentile winsorization, preventing artificial downward bias during loss optimization.</w:t>
      </w:r>
    </w:p>
    <w:p w14:paraId="0AE6B604" w14:textId="77777777" w:rsidR="00F540D9" w:rsidRDefault="00E66665">
      <w:pPr>
        <w:pStyle w:val="ListBullet"/>
        <w:spacing w:after="80"/>
      </w:pPr>
      <w:r>
        <w:rPr>
          <w:rFonts w:ascii="Calibri" w:hAnsi="Calibri"/>
          <w:color w:val="222222"/>
          <w:sz w:val="21"/>
        </w:rPr>
        <w:t>Extreme Luxury Outliers: Multi-million dollar luxury sales (up to $26.59M) exerted immense leverage on regression slopes. Capping at the 99th percentile ($2.005M) stabilized gradient updates.</w:t>
      </w:r>
    </w:p>
    <w:p w14:paraId="4FE16190" w14:textId="77777777" w:rsidR="00F540D9" w:rsidRDefault="00E66665">
      <w:pPr>
        <w:pStyle w:val="ListBullet"/>
        <w:spacing w:after="80"/>
      </w:pPr>
      <w:r>
        <w:rPr>
          <w:rFonts w:ascii="Calibri" w:hAnsi="Calibri"/>
          <w:color w:val="222222"/>
          <w:sz w:val="21"/>
        </w:rPr>
        <w:t>High-Cardinality Addresses: Dropping the 4,525 unique text street addresses prevented catastrophic dimensional explosion while retaining generalizable geographic signals via zip_code and city_encoded.</w:t>
      </w:r>
    </w:p>
    <w:p w14:paraId="1468AE4D" w14:textId="77777777" w:rsidR="00F540D9" w:rsidRDefault="00E66665">
      <w:pPr>
        <w:pStyle w:val="ListBullet"/>
        <w:spacing w:after="80"/>
      </w:pPr>
      <w:r>
        <w:rPr>
          <w:rFonts w:ascii="Calibri" w:hAnsi="Calibri"/>
          <w:color w:val="222222"/>
          <w:sz w:val="21"/>
        </w:rPr>
        <w:t>Data Leakage Prevention: Encapsulating StandardScaler inside Scikit-learn pipelines ensured test distributions remained completely unseen during training.</w:t>
      </w:r>
    </w:p>
    <w:p w14:paraId="0EF38369" w14:textId="77777777" w:rsidR="00F540D9" w:rsidRDefault="00E66665">
      <w:pPr>
        <w:pStyle w:val="Heading1"/>
        <w:spacing w:before="320" w:after="120"/>
      </w:pPr>
      <w:r>
        <w:rPr>
          <w:rFonts w:ascii="Calibri" w:hAnsi="Calibri"/>
          <w:color w:val="1B365D"/>
          <w:sz w:val="30"/>
        </w:rPr>
        <w:t>18. Future Scope</w:t>
      </w:r>
    </w:p>
    <w:p w14:paraId="2F0518E7" w14:textId="77777777" w:rsidR="00F540D9" w:rsidRDefault="00E66665">
      <w:pPr>
        <w:spacing w:after="80"/>
      </w:pPr>
      <w:r>
        <w:rPr>
          <w:rFonts w:ascii="Calibri" w:hAnsi="Calibri"/>
          <w:color w:val="222222"/>
          <w:sz w:val="21"/>
        </w:rPr>
        <w:t>The current implementation establishes a strong foundation that can be extended in future iterations:</w:t>
      </w:r>
    </w:p>
    <w:p w14:paraId="719933E0" w14:textId="77777777" w:rsidR="00F540D9" w:rsidRDefault="00E66665">
      <w:pPr>
        <w:pStyle w:val="ListBullet"/>
        <w:spacing w:after="80"/>
      </w:pPr>
      <w:r>
        <w:rPr>
          <w:rFonts w:ascii="Calibri" w:hAnsi="Calibri"/>
          <w:color w:val="222222"/>
          <w:sz w:val="21"/>
        </w:rPr>
        <w:t>1. K-Fold Cross-Validation: Implement 5-fold or 10-fold cross-validation across all models to ensure performance metric stability across arbitrary data partitions.</w:t>
      </w:r>
    </w:p>
    <w:p w14:paraId="1D68100A" w14:textId="77777777" w:rsidR="00F540D9" w:rsidRDefault="00E66665">
      <w:pPr>
        <w:pStyle w:val="ListBullet"/>
        <w:spacing w:after="80"/>
      </w:pPr>
      <w:r>
        <w:rPr>
          <w:rFonts w:ascii="Calibri" w:hAnsi="Calibri"/>
          <w:color w:val="222222"/>
          <w:sz w:val="21"/>
        </w:rPr>
        <w:t>2. Automated Hyperparameter Optimization: Integrate Optuna or Bayesian Optimization to systematically tune tree depth, learning rate, and regularization parameters.</w:t>
      </w:r>
    </w:p>
    <w:p w14:paraId="3C3C0642" w14:textId="77777777" w:rsidR="00F540D9" w:rsidRDefault="00E66665">
      <w:pPr>
        <w:pStyle w:val="ListBullet"/>
        <w:spacing w:after="80"/>
      </w:pPr>
      <w:r>
        <w:rPr>
          <w:rFonts w:ascii="Calibri" w:hAnsi="Calibri"/>
          <w:color w:val="222222"/>
          <w:sz w:val="21"/>
        </w:rPr>
        <w:t>3. Geospatial Distance Engineering: Incorporate precise latitude/longitude coordinates to calculate Euclidean distances to major employment hubs (e.g., downtown Seattle, Bellevue tech corridors).</w:t>
      </w:r>
    </w:p>
    <w:p w14:paraId="65C8D569" w14:textId="77777777" w:rsidR="00F540D9" w:rsidRDefault="00E66665">
      <w:pPr>
        <w:pStyle w:val="ListBullet"/>
        <w:spacing w:after="80"/>
      </w:pPr>
      <w:r>
        <w:rPr>
          <w:rFonts w:ascii="Calibri" w:hAnsi="Calibri"/>
          <w:color w:val="222222"/>
          <w:sz w:val="21"/>
        </w:rPr>
        <w:t>4. Model Explainability with SHAP / LIME: Embed SHapley Additive exPlanations (SHAP) directly inside the Streamlit application to provide real-time feature attribution plots for individual user predictions.</w:t>
      </w:r>
    </w:p>
    <w:p w14:paraId="64B00944" w14:textId="77777777" w:rsidR="00F540D9" w:rsidRDefault="00E66665">
      <w:pPr>
        <w:pStyle w:val="ListBullet"/>
        <w:spacing w:after="80"/>
      </w:pPr>
      <w:r>
        <w:rPr>
          <w:rFonts w:ascii="Calibri" w:hAnsi="Calibri"/>
          <w:color w:val="222222"/>
          <w:sz w:val="21"/>
        </w:rPr>
        <w:t>5. Cloud Deployment: Deploy the Streamlit application to Streamlit Community Cloud or AWS EC2 with continuous integration (CI) workflows.</w:t>
      </w:r>
    </w:p>
    <w:p w14:paraId="506053AA" w14:textId="77777777" w:rsidR="00F540D9" w:rsidRDefault="00E66665">
      <w:pPr>
        <w:pStyle w:val="ListBullet"/>
        <w:spacing w:after="80"/>
      </w:pPr>
      <w:r>
        <w:rPr>
          <w:rFonts w:ascii="Calibri" w:hAnsi="Calibri"/>
          <w:color w:val="222222"/>
          <w:sz w:val="21"/>
        </w:rPr>
        <w:lastRenderedPageBreak/>
        <w:t>6. Multimodal Computer Vision: Combine tabular features with interior property photography using Convolutional Neural Networks (CNNs) to evaluate aesthetic finishes and curb appeal.</w:t>
      </w:r>
    </w:p>
    <w:p w14:paraId="1A76720F" w14:textId="77777777" w:rsidR="00F540D9" w:rsidRDefault="00E66665">
      <w:r>
        <w:br w:type="page"/>
      </w:r>
    </w:p>
    <w:p w14:paraId="4D025FFF" w14:textId="77777777" w:rsidR="00F540D9" w:rsidRDefault="00E66665">
      <w:pPr>
        <w:pStyle w:val="Heading1"/>
        <w:spacing w:before="320" w:after="120"/>
      </w:pPr>
      <w:r>
        <w:rPr>
          <w:rFonts w:ascii="Calibri" w:hAnsi="Calibri"/>
          <w:color w:val="1B365D"/>
          <w:sz w:val="30"/>
        </w:rPr>
        <w:lastRenderedPageBreak/>
        <w:t>19. Technologies Used</w:t>
      </w:r>
    </w:p>
    <w:p w14:paraId="6F299C77" w14:textId="77777777" w:rsidR="00F540D9" w:rsidRDefault="00E66665">
      <w:pPr>
        <w:spacing w:after="80"/>
      </w:pPr>
      <w:r>
        <w:rPr>
          <w:rFonts w:ascii="Calibri" w:hAnsi="Calibri"/>
          <w:color w:val="222222"/>
          <w:sz w:val="21"/>
        </w:rPr>
        <w:t>The project was implemented entirely in Python using open-source data science, machine learning, and web libraries: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F540D9" w14:paraId="2FCD935D" w14:textId="77777777">
        <w:trPr>
          <w:jc w:val="center"/>
        </w:trPr>
        <w:tc>
          <w:tcPr>
            <w:tcW w:w="2592" w:type="dxa"/>
            <w:shd w:val="clear" w:color="auto" w:fill="1B365D"/>
            <w:tcMar>
              <w:top w:w="140" w:type="dxa"/>
              <w:left w:w="160" w:type="dxa"/>
              <w:bottom w:w="140" w:type="dxa"/>
              <w:right w:w="160" w:type="dxa"/>
            </w:tcMar>
          </w:tcPr>
          <w:p w14:paraId="2A64717A" w14:textId="77777777" w:rsidR="00F540D9" w:rsidRDefault="00E66665">
            <w:pPr>
              <w:spacing w:after="0"/>
            </w:pPr>
            <w:r>
              <w:rPr>
                <w:rFonts w:ascii="Calibri" w:hAnsi="Calibri"/>
                <w:b/>
                <w:color w:val="FFFFFF"/>
                <w:sz w:val="19"/>
              </w:rPr>
              <w:t>Technology / Library</w:t>
            </w:r>
          </w:p>
        </w:tc>
        <w:tc>
          <w:tcPr>
            <w:tcW w:w="2592" w:type="dxa"/>
            <w:shd w:val="clear" w:color="auto" w:fill="1B365D"/>
            <w:tcMar>
              <w:top w:w="140" w:type="dxa"/>
              <w:left w:w="160" w:type="dxa"/>
              <w:bottom w:w="140" w:type="dxa"/>
              <w:right w:w="160" w:type="dxa"/>
            </w:tcMar>
          </w:tcPr>
          <w:p w14:paraId="6A620CB1" w14:textId="77777777" w:rsidR="00F540D9" w:rsidRDefault="00E66665">
            <w:pPr>
              <w:spacing w:after="0"/>
            </w:pPr>
            <w:r>
              <w:rPr>
                <w:rFonts w:ascii="Calibri" w:hAnsi="Calibri"/>
                <w:b/>
                <w:color w:val="FFFFFF"/>
                <w:sz w:val="19"/>
              </w:rPr>
              <w:t>Functional Category</w:t>
            </w:r>
          </w:p>
        </w:tc>
        <w:tc>
          <w:tcPr>
            <w:tcW w:w="4176" w:type="dxa"/>
            <w:shd w:val="clear" w:color="auto" w:fill="1B365D"/>
            <w:tcMar>
              <w:top w:w="140" w:type="dxa"/>
              <w:left w:w="160" w:type="dxa"/>
              <w:bottom w:w="140" w:type="dxa"/>
              <w:right w:w="160" w:type="dxa"/>
            </w:tcMar>
          </w:tcPr>
          <w:p w14:paraId="4E8DC50E" w14:textId="77777777" w:rsidR="00F540D9" w:rsidRDefault="00E66665">
            <w:pPr>
              <w:spacing w:after="0"/>
            </w:pPr>
            <w:r>
              <w:rPr>
                <w:rFonts w:ascii="Calibri" w:hAnsi="Calibri"/>
                <w:b/>
                <w:color w:val="FFFFFF"/>
                <w:sz w:val="19"/>
              </w:rPr>
              <w:t>Role in Project</w:t>
            </w:r>
          </w:p>
        </w:tc>
      </w:tr>
      <w:tr w:rsidR="00F540D9" w14:paraId="58C18C12" w14:textId="77777777">
        <w:trPr>
          <w:jc w:val="center"/>
        </w:trPr>
        <w:tc>
          <w:tcPr>
            <w:tcW w:w="2592" w:type="dxa"/>
            <w:shd w:val="clear" w:color="auto" w:fill="FFFFFF"/>
            <w:tcMar>
              <w:top w:w="100" w:type="dxa"/>
              <w:left w:w="160" w:type="dxa"/>
              <w:bottom w:w="100" w:type="dxa"/>
              <w:right w:w="160" w:type="dxa"/>
            </w:tcMar>
          </w:tcPr>
          <w:p w14:paraId="7C9B1220" w14:textId="77777777" w:rsidR="00F540D9" w:rsidRDefault="00E66665">
            <w:pPr>
              <w:spacing w:after="0" w:line="264" w:lineRule="auto"/>
            </w:pPr>
            <w:r>
              <w:rPr>
                <w:rFonts w:ascii="Calibri" w:hAnsi="Calibri"/>
                <w:color w:val="222222"/>
                <w:sz w:val="19"/>
              </w:rPr>
              <w:t>Python 3.9+</w:t>
            </w:r>
          </w:p>
        </w:tc>
        <w:tc>
          <w:tcPr>
            <w:tcW w:w="2592" w:type="dxa"/>
            <w:shd w:val="clear" w:color="auto" w:fill="FFFFFF"/>
            <w:tcMar>
              <w:top w:w="100" w:type="dxa"/>
              <w:left w:w="160" w:type="dxa"/>
              <w:bottom w:w="100" w:type="dxa"/>
              <w:right w:w="160" w:type="dxa"/>
            </w:tcMar>
          </w:tcPr>
          <w:p w14:paraId="6413506E" w14:textId="77777777" w:rsidR="00F540D9" w:rsidRDefault="00E66665">
            <w:pPr>
              <w:spacing w:after="0" w:line="264" w:lineRule="auto"/>
            </w:pPr>
            <w:r>
              <w:rPr>
                <w:rFonts w:ascii="Calibri" w:hAnsi="Calibri"/>
                <w:color w:val="222222"/>
                <w:sz w:val="19"/>
              </w:rPr>
              <w:t>Core Execution Language</w:t>
            </w:r>
          </w:p>
        </w:tc>
        <w:tc>
          <w:tcPr>
            <w:tcW w:w="4176" w:type="dxa"/>
            <w:shd w:val="clear" w:color="auto" w:fill="FFFFFF"/>
            <w:tcMar>
              <w:top w:w="100" w:type="dxa"/>
              <w:left w:w="160" w:type="dxa"/>
              <w:bottom w:w="100" w:type="dxa"/>
              <w:right w:w="160" w:type="dxa"/>
            </w:tcMar>
          </w:tcPr>
          <w:p w14:paraId="54018113" w14:textId="77777777" w:rsidR="00F540D9" w:rsidRDefault="00E66665">
            <w:pPr>
              <w:spacing w:after="0" w:line="264" w:lineRule="auto"/>
            </w:pPr>
            <w:r>
              <w:rPr>
                <w:rFonts w:ascii="Calibri" w:hAnsi="Calibri"/>
                <w:color w:val="222222"/>
                <w:sz w:val="19"/>
              </w:rPr>
              <w:t>Primary programming language utilized for data engineering, modeling, and application development.</w:t>
            </w:r>
          </w:p>
        </w:tc>
      </w:tr>
      <w:tr w:rsidR="00F540D9" w14:paraId="5926E1BC" w14:textId="77777777">
        <w:trPr>
          <w:jc w:val="center"/>
        </w:trPr>
        <w:tc>
          <w:tcPr>
            <w:tcW w:w="2592" w:type="dxa"/>
            <w:shd w:val="clear" w:color="auto" w:fill="F4F7FA"/>
            <w:tcMar>
              <w:top w:w="100" w:type="dxa"/>
              <w:left w:w="160" w:type="dxa"/>
              <w:bottom w:w="100" w:type="dxa"/>
              <w:right w:w="160" w:type="dxa"/>
            </w:tcMar>
          </w:tcPr>
          <w:p w14:paraId="14276409" w14:textId="77777777" w:rsidR="00F540D9" w:rsidRDefault="00E66665">
            <w:pPr>
              <w:spacing w:after="0" w:line="264" w:lineRule="auto"/>
            </w:pPr>
            <w:r>
              <w:rPr>
                <w:rFonts w:ascii="Calibri" w:hAnsi="Calibri"/>
                <w:color w:val="222222"/>
                <w:sz w:val="19"/>
              </w:rPr>
              <w:t>Pandas (&gt;=2.0.0)</w:t>
            </w:r>
          </w:p>
        </w:tc>
        <w:tc>
          <w:tcPr>
            <w:tcW w:w="2592" w:type="dxa"/>
            <w:shd w:val="clear" w:color="auto" w:fill="F4F7FA"/>
            <w:tcMar>
              <w:top w:w="100" w:type="dxa"/>
              <w:left w:w="160" w:type="dxa"/>
              <w:bottom w:w="100" w:type="dxa"/>
              <w:right w:w="160" w:type="dxa"/>
            </w:tcMar>
          </w:tcPr>
          <w:p w14:paraId="46356A69" w14:textId="77777777" w:rsidR="00F540D9" w:rsidRDefault="00E66665">
            <w:pPr>
              <w:spacing w:after="0" w:line="264" w:lineRule="auto"/>
            </w:pPr>
            <w:r>
              <w:rPr>
                <w:rFonts w:ascii="Calibri" w:hAnsi="Calibri"/>
                <w:color w:val="222222"/>
                <w:sz w:val="19"/>
              </w:rPr>
              <w:t>Data Manipulation &amp; Profiling</w:t>
            </w:r>
          </w:p>
        </w:tc>
        <w:tc>
          <w:tcPr>
            <w:tcW w:w="4176" w:type="dxa"/>
            <w:shd w:val="clear" w:color="auto" w:fill="F4F7FA"/>
            <w:tcMar>
              <w:top w:w="100" w:type="dxa"/>
              <w:left w:w="160" w:type="dxa"/>
              <w:bottom w:w="100" w:type="dxa"/>
              <w:right w:w="160" w:type="dxa"/>
            </w:tcMar>
          </w:tcPr>
          <w:p w14:paraId="0A402061" w14:textId="77777777" w:rsidR="00F540D9" w:rsidRDefault="00E66665">
            <w:pPr>
              <w:spacing w:after="0" w:line="264" w:lineRule="auto"/>
            </w:pPr>
            <w:r>
              <w:rPr>
                <w:rFonts w:ascii="Calibri" w:hAnsi="Calibri"/>
                <w:color w:val="222222"/>
                <w:sz w:val="19"/>
              </w:rPr>
              <w:t>DataFrame structures, datetime parsing, missing value handling, winsorization, and tabular transformations.</w:t>
            </w:r>
          </w:p>
        </w:tc>
      </w:tr>
      <w:tr w:rsidR="00F540D9" w14:paraId="62547ED2" w14:textId="77777777">
        <w:trPr>
          <w:jc w:val="center"/>
        </w:trPr>
        <w:tc>
          <w:tcPr>
            <w:tcW w:w="2592" w:type="dxa"/>
            <w:shd w:val="clear" w:color="auto" w:fill="FFFFFF"/>
            <w:tcMar>
              <w:top w:w="100" w:type="dxa"/>
              <w:left w:w="160" w:type="dxa"/>
              <w:bottom w:w="100" w:type="dxa"/>
              <w:right w:w="160" w:type="dxa"/>
            </w:tcMar>
          </w:tcPr>
          <w:p w14:paraId="43AEC17D" w14:textId="77777777" w:rsidR="00F540D9" w:rsidRDefault="00E66665">
            <w:pPr>
              <w:spacing w:after="0" w:line="264" w:lineRule="auto"/>
            </w:pPr>
            <w:r>
              <w:rPr>
                <w:rFonts w:ascii="Calibri" w:hAnsi="Calibri"/>
                <w:color w:val="222222"/>
                <w:sz w:val="19"/>
              </w:rPr>
              <w:t>NumPy (&gt;=1.24.0)</w:t>
            </w:r>
          </w:p>
        </w:tc>
        <w:tc>
          <w:tcPr>
            <w:tcW w:w="2592" w:type="dxa"/>
            <w:shd w:val="clear" w:color="auto" w:fill="FFFFFF"/>
            <w:tcMar>
              <w:top w:w="100" w:type="dxa"/>
              <w:left w:w="160" w:type="dxa"/>
              <w:bottom w:w="100" w:type="dxa"/>
              <w:right w:w="160" w:type="dxa"/>
            </w:tcMar>
          </w:tcPr>
          <w:p w14:paraId="2241AA3C" w14:textId="77777777" w:rsidR="00F540D9" w:rsidRDefault="00E66665">
            <w:pPr>
              <w:spacing w:after="0" w:line="264" w:lineRule="auto"/>
            </w:pPr>
            <w:r>
              <w:rPr>
                <w:rFonts w:ascii="Calibri" w:hAnsi="Calibri"/>
                <w:color w:val="222222"/>
                <w:sz w:val="19"/>
              </w:rPr>
              <w:t>Numerical Computing</w:t>
            </w:r>
          </w:p>
        </w:tc>
        <w:tc>
          <w:tcPr>
            <w:tcW w:w="4176" w:type="dxa"/>
            <w:shd w:val="clear" w:color="auto" w:fill="FFFFFF"/>
            <w:tcMar>
              <w:top w:w="100" w:type="dxa"/>
              <w:left w:w="160" w:type="dxa"/>
              <w:bottom w:w="100" w:type="dxa"/>
              <w:right w:w="160" w:type="dxa"/>
            </w:tcMar>
          </w:tcPr>
          <w:p w14:paraId="4C2C80C2" w14:textId="77777777" w:rsidR="00F540D9" w:rsidRDefault="00E66665">
            <w:pPr>
              <w:spacing w:after="0" w:line="264" w:lineRule="auto"/>
            </w:pPr>
            <w:r>
              <w:rPr>
                <w:rFonts w:ascii="Calibri" w:hAnsi="Calibri"/>
                <w:color w:val="222222"/>
                <w:sz w:val="19"/>
              </w:rPr>
              <w:t>High-performance array operations, logarithmic transformations, clipping, and mathematical aggregations.</w:t>
            </w:r>
          </w:p>
        </w:tc>
      </w:tr>
      <w:tr w:rsidR="00F540D9" w14:paraId="0EA51FF9" w14:textId="77777777">
        <w:trPr>
          <w:jc w:val="center"/>
        </w:trPr>
        <w:tc>
          <w:tcPr>
            <w:tcW w:w="2592" w:type="dxa"/>
            <w:shd w:val="clear" w:color="auto" w:fill="F4F7FA"/>
            <w:tcMar>
              <w:top w:w="100" w:type="dxa"/>
              <w:left w:w="160" w:type="dxa"/>
              <w:bottom w:w="100" w:type="dxa"/>
              <w:right w:w="160" w:type="dxa"/>
            </w:tcMar>
          </w:tcPr>
          <w:p w14:paraId="5E923127" w14:textId="77777777" w:rsidR="00F540D9" w:rsidRDefault="00E66665">
            <w:pPr>
              <w:spacing w:after="0" w:line="264" w:lineRule="auto"/>
            </w:pPr>
            <w:r>
              <w:rPr>
                <w:rFonts w:ascii="Calibri" w:hAnsi="Calibri"/>
                <w:color w:val="222222"/>
                <w:sz w:val="19"/>
              </w:rPr>
              <w:t>Matplotlib (&gt;=3.7.0)</w:t>
            </w:r>
          </w:p>
        </w:tc>
        <w:tc>
          <w:tcPr>
            <w:tcW w:w="2592" w:type="dxa"/>
            <w:shd w:val="clear" w:color="auto" w:fill="F4F7FA"/>
            <w:tcMar>
              <w:top w:w="100" w:type="dxa"/>
              <w:left w:w="160" w:type="dxa"/>
              <w:bottom w:w="100" w:type="dxa"/>
              <w:right w:w="160" w:type="dxa"/>
            </w:tcMar>
          </w:tcPr>
          <w:p w14:paraId="29749078" w14:textId="77777777" w:rsidR="00F540D9" w:rsidRDefault="00E66665">
            <w:pPr>
              <w:spacing w:after="0" w:line="264" w:lineRule="auto"/>
            </w:pPr>
            <w:r>
              <w:rPr>
                <w:rFonts w:ascii="Calibri" w:hAnsi="Calibri"/>
                <w:color w:val="222222"/>
                <w:sz w:val="19"/>
              </w:rPr>
              <w:t>Base Data Visualization</w:t>
            </w:r>
          </w:p>
        </w:tc>
        <w:tc>
          <w:tcPr>
            <w:tcW w:w="4176" w:type="dxa"/>
            <w:shd w:val="clear" w:color="auto" w:fill="F4F7FA"/>
            <w:tcMar>
              <w:top w:w="100" w:type="dxa"/>
              <w:left w:w="160" w:type="dxa"/>
              <w:bottom w:w="100" w:type="dxa"/>
              <w:right w:w="160" w:type="dxa"/>
            </w:tcMar>
          </w:tcPr>
          <w:p w14:paraId="77D70343" w14:textId="77777777" w:rsidR="00F540D9" w:rsidRDefault="00E66665">
            <w:pPr>
              <w:spacing w:after="0" w:line="264" w:lineRule="auto"/>
            </w:pPr>
            <w:r>
              <w:rPr>
                <w:rFonts w:ascii="Calibri" w:hAnsi="Calibri"/>
                <w:color w:val="222222"/>
                <w:sz w:val="19"/>
              </w:rPr>
              <w:t>Rendering histograms, scatter plots, line charts, residual figures, and saving image artifacts to disk.</w:t>
            </w:r>
          </w:p>
        </w:tc>
      </w:tr>
      <w:tr w:rsidR="00F540D9" w14:paraId="7FF053A6" w14:textId="77777777">
        <w:trPr>
          <w:jc w:val="center"/>
        </w:trPr>
        <w:tc>
          <w:tcPr>
            <w:tcW w:w="2592" w:type="dxa"/>
            <w:shd w:val="clear" w:color="auto" w:fill="FFFFFF"/>
            <w:tcMar>
              <w:top w:w="100" w:type="dxa"/>
              <w:left w:w="160" w:type="dxa"/>
              <w:bottom w:w="100" w:type="dxa"/>
              <w:right w:w="160" w:type="dxa"/>
            </w:tcMar>
          </w:tcPr>
          <w:p w14:paraId="6FC84608" w14:textId="77777777" w:rsidR="00F540D9" w:rsidRDefault="00E66665">
            <w:pPr>
              <w:spacing w:after="0" w:line="264" w:lineRule="auto"/>
            </w:pPr>
            <w:r>
              <w:rPr>
                <w:rFonts w:ascii="Calibri" w:hAnsi="Calibri"/>
                <w:color w:val="222222"/>
                <w:sz w:val="19"/>
              </w:rPr>
              <w:t>Seaborn (&gt;=0.12.0)</w:t>
            </w:r>
          </w:p>
        </w:tc>
        <w:tc>
          <w:tcPr>
            <w:tcW w:w="2592" w:type="dxa"/>
            <w:shd w:val="clear" w:color="auto" w:fill="FFFFFF"/>
            <w:tcMar>
              <w:top w:w="100" w:type="dxa"/>
              <w:left w:w="160" w:type="dxa"/>
              <w:bottom w:w="100" w:type="dxa"/>
              <w:right w:w="160" w:type="dxa"/>
            </w:tcMar>
          </w:tcPr>
          <w:p w14:paraId="7133920C" w14:textId="77777777" w:rsidR="00F540D9" w:rsidRDefault="00E66665">
            <w:pPr>
              <w:spacing w:after="0" w:line="264" w:lineRule="auto"/>
            </w:pPr>
            <w:r>
              <w:rPr>
                <w:rFonts w:ascii="Calibri" w:hAnsi="Calibri"/>
                <w:color w:val="222222"/>
                <w:sz w:val="19"/>
              </w:rPr>
              <w:t>Statistical Data Visualization</w:t>
            </w:r>
          </w:p>
        </w:tc>
        <w:tc>
          <w:tcPr>
            <w:tcW w:w="4176" w:type="dxa"/>
            <w:shd w:val="clear" w:color="auto" w:fill="FFFFFF"/>
            <w:tcMar>
              <w:top w:w="100" w:type="dxa"/>
              <w:left w:w="160" w:type="dxa"/>
              <w:bottom w:w="100" w:type="dxa"/>
              <w:right w:w="160" w:type="dxa"/>
            </w:tcMar>
          </w:tcPr>
          <w:p w14:paraId="6276BAFC" w14:textId="77777777" w:rsidR="00F540D9" w:rsidRDefault="00E66665">
            <w:pPr>
              <w:spacing w:after="0" w:line="264" w:lineRule="auto"/>
            </w:pPr>
            <w:r>
              <w:rPr>
                <w:rFonts w:ascii="Calibri" w:hAnsi="Calibri"/>
                <w:color w:val="222222"/>
                <w:sz w:val="19"/>
              </w:rPr>
              <w:t>Aesthetic styling, masked correlation heatmaps, box plots, and categorical distribution bars.</w:t>
            </w:r>
          </w:p>
        </w:tc>
      </w:tr>
      <w:tr w:rsidR="00F540D9" w14:paraId="00FFD5E7" w14:textId="77777777">
        <w:trPr>
          <w:jc w:val="center"/>
        </w:trPr>
        <w:tc>
          <w:tcPr>
            <w:tcW w:w="2592" w:type="dxa"/>
            <w:shd w:val="clear" w:color="auto" w:fill="F4F7FA"/>
            <w:tcMar>
              <w:top w:w="100" w:type="dxa"/>
              <w:left w:w="160" w:type="dxa"/>
              <w:bottom w:w="100" w:type="dxa"/>
              <w:right w:w="160" w:type="dxa"/>
            </w:tcMar>
          </w:tcPr>
          <w:p w14:paraId="41C5FC0B" w14:textId="77777777" w:rsidR="00F540D9" w:rsidRDefault="00E66665">
            <w:pPr>
              <w:spacing w:after="0" w:line="264" w:lineRule="auto"/>
            </w:pPr>
            <w:r>
              <w:rPr>
                <w:rFonts w:ascii="Calibri" w:hAnsi="Calibri"/>
                <w:color w:val="222222"/>
                <w:sz w:val="19"/>
              </w:rPr>
              <w:t>Scikit-learn (&gt;=1.2.0)</w:t>
            </w:r>
          </w:p>
        </w:tc>
        <w:tc>
          <w:tcPr>
            <w:tcW w:w="2592" w:type="dxa"/>
            <w:shd w:val="clear" w:color="auto" w:fill="F4F7FA"/>
            <w:tcMar>
              <w:top w:w="100" w:type="dxa"/>
              <w:left w:w="160" w:type="dxa"/>
              <w:bottom w:w="100" w:type="dxa"/>
              <w:right w:w="160" w:type="dxa"/>
            </w:tcMar>
          </w:tcPr>
          <w:p w14:paraId="63630BD5" w14:textId="77777777" w:rsidR="00F540D9" w:rsidRDefault="00E66665">
            <w:pPr>
              <w:spacing w:after="0" w:line="264" w:lineRule="auto"/>
            </w:pPr>
            <w:r>
              <w:rPr>
                <w:rFonts w:ascii="Calibri" w:hAnsi="Calibri"/>
                <w:color w:val="222222"/>
                <w:sz w:val="19"/>
              </w:rPr>
              <w:t>Machine Learning Framework</w:t>
            </w:r>
          </w:p>
        </w:tc>
        <w:tc>
          <w:tcPr>
            <w:tcW w:w="4176" w:type="dxa"/>
            <w:shd w:val="clear" w:color="auto" w:fill="F4F7FA"/>
            <w:tcMar>
              <w:top w:w="100" w:type="dxa"/>
              <w:left w:w="160" w:type="dxa"/>
              <w:bottom w:w="100" w:type="dxa"/>
              <w:right w:w="160" w:type="dxa"/>
            </w:tcMar>
          </w:tcPr>
          <w:p w14:paraId="69C9E269" w14:textId="77777777" w:rsidR="00F540D9" w:rsidRDefault="00E66665">
            <w:pPr>
              <w:spacing w:after="0" w:line="264" w:lineRule="auto"/>
            </w:pPr>
            <w:r>
              <w:rPr>
                <w:rFonts w:ascii="Calibri" w:hAnsi="Calibri"/>
                <w:color w:val="222222"/>
                <w:sz w:val="19"/>
              </w:rPr>
              <w:t>Pipelines, StandardScaler, LabelEncoder, train_test_split, LinearRegression, RandomForestRegressor, GradientBoostingRegressor, and metrics (MAE, MSE, R²).</w:t>
            </w:r>
          </w:p>
        </w:tc>
      </w:tr>
      <w:tr w:rsidR="00F540D9" w14:paraId="0A089C1A" w14:textId="77777777">
        <w:trPr>
          <w:jc w:val="center"/>
        </w:trPr>
        <w:tc>
          <w:tcPr>
            <w:tcW w:w="2592" w:type="dxa"/>
            <w:shd w:val="clear" w:color="auto" w:fill="FFFFFF"/>
            <w:tcMar>
              <w:top w:w="100" w:type="dxa"/>
              <w:left w:w="160" w:type="dxa"/>
              <w:bottom w:w="100" w:type="dxa"/>
              <w:right w:w="160" w:type="dxa"/>
            </w:tcMar>
          </w:tcPr>
          <w:p w14:paraId="71BDA6C7" w14:textId="77777777" w:rsidR="00F540D9" w:rsidRDefault="00E66665">
            <w:pPr>
              <w:spacing w:after="0" w:line="264" w:lineRule="auto"/>
            </w:pPr>
            <w:r>
              <w:rPr>
                <w:rFonts w:ascii="Calibri" w:hAnsi="Calibri"/>
                <w:color w:val="222222"/>
                <w:sz w:val="19"/>
              </w:rPr>
              <w:t>XGBoost (&gt;=2.0.0)</w:t>
            </w:r>
          </w:p>
        </w:tc>
        <w:tc>
          <w:tcPr>
            <w:tcW w:w="2592" w:type="dxa"/>
            <w:shd w:val="clear" w:color="auto" w:fill="FFFFFF"/>
            <w:tcMar>
              <w:top w:w="100" w:type="dxa"/>
              <w:left w:w="160" w:type="dxa"/>
              <w:bottom w:w="100" w:type="dxa"/>
              <w:right w:w="160" w:type="dxa"/>
            </w:tcMar>
          </w:tcPr>
          <w:p w14:paraId="13B4126A" w14:textId="77777777" w:rsidR="00F540D9" w:rsidRDefault="00E66665">
            <w:pPr>
              <w:spacing w:after="0" w:line="264" w:lineRule="auto"/>
            </w:pPr>
            <w:r>
              <w:rPr>
                <w:rFonts w:ascii="Calibri" w:hAnsi="Calibri"/>
                <w:color w:val="222222"/>
                <w:sz w:val="19"/>
              </w:rPr>
              <w:t>Regularized Gradient Boosting</w:t>
            </w:r>
          </w:p>
        </w:tc>
        <w:tc>
          <w:tcPr>
            <w:tcW w:w="4176" w:type="dxa"/>
            <w:shd w:val="clear" w:color="auto" w:fill="FFFFFF"/>
            <w:tcMar>
              <w:top w:w="100" w:type="dxa"/>
              <w:left w:w="160" w:type="dxa"/>
              <w:bottom w:w="100" w:type="dxa"/>
              <w:right w:w="160" w:type="dxa"/>
            </w:tcMar>
          </w:tcPr>
          <w:p w14:paraId="7E331DBB" w14:textId="77777777" w:rsidR="00F540D9" w:rsidRDefault="00E66665">
            <w:pPr>
              <w:spacing w:after="0" w:line="264" w:lineRule="auto"/>
            </w:pPr>
            <w:r>
              <w:rPr>
                <w:rFonts w:ascii="Calibri" w:hAnsi="Calibri"/>
                <w:color w:val="222222"/>
                <w:sz w:val="19"/>
              </w:rPr>
              <w:t>XGBRegressor implementation for high-performance boosted tree regression.</w:t>
            </w:r>
          </w:p>
        </w:tc>
      </w:tr>
      <w:tr w:rsidR="00F540D9" w14:paraId="7B79CA1B" w14:textId="77777777">
        <w:trPr>
          <w:jc w:val="center"/>
        </w:trPr>
        <w:tc>
          <w:tcPr>
            <w:tcW w:w="2592" w:type="dxa"/>
            <w:shd w:val="clear" w:color="auto" w:fill="F4F7FA"/>
            <w:tcMar>
              <w:top w:w="100" w:type="dxa"/>
              <w:left w:w="160" w:type="dxa"/>
              <w:bottom w:w="100" w:type="dxa"/>
              <w:right w:w="160" w:type="dxa"/>
            </w:tcMar>
          </w:tcPr>
          <w:p w14:paraId="07594D04" w14:textId="77777777" w:rsidR="00F540D9" w:rsidRDefault="00E66665">
            <w:pPr>
              <w:spacing w:after="0" w:line="264" w:lineRule="auto"/>
            </w:pPr>
            <w:r>
              <w:rPr>
                <w:rFonts w:ascii="Calibri" w:hAnsi="Calibri"/>
                <w:color w:val="222222"/>
                <w:sz w:val="19"/>
              </w:rPr>
              <w:t>Joblib (&gt;=1.3.0)</w:t>
            </w:r>
          </w:p>
        </w:tc>
        <w:tc>
          <w:tcPr>
            <w:tcW w:w="2592" w:type="dxa"/>
            <w:shd w:val="clear" w:color="auto" w:fill="F4F7FA"/>
            <w:tcMar>
              <w:top w:w="100" w:type="dxa"/>
              <w:left w:w="160" w:type="dxa"/>
              <w:bottom w:w="100" w:type="dxa"/>
              <w:right w:w="160" w:type="dxa"/>
            </w:tcMar>
          </w:tcPr>
          <w:p w14:paraId="07EC5571" w14:textId="77777777" w:rsidR="00F540D9" w:rsidRDefault="00E66665">
            <w:pPr>
              <w:spacing w:after="0" w:line="264" w:lineRule="auto"/>
            </w:pPr>
            <w:r>
              <w:rPr>
                <w:rFonts w:ascii="Calibri" w:hAnsi="Calibri"/>
                <w:color w:val="222222"/>
                <w:sz w:val="19"/>
              </w:rPr>
              <w:t>Pipeline Serialization</w:t>
            </w:r>
          </w:p>
        </w:tc>
        <w:tc>
          <w:tcPr>
            <w:tcW w:w="4176" w:type="dxa"/>
            <w:shd w:val="clear" w:color="auto" w:fill="F4F7FA"/>
            <w:tcMar>
              <w:top w:w="100" w:type="dxa"/>
              <w:left w:w="160" w:type="dxa"/>
              <w:bottom w:w="100" w:type="dxa"/>
              <w:right w:w="160" w:type="dxa"/>
            </w:tcMar>
          </w:tcPr>
          <w:p w14:paraId="1096925E" w14:textId="77777777" w:rsidR="00F540D9" w:rsidRDefault="00E66665">
            <w:pPr>
              <w:spacing w:after="0" w:line="264" w:lineRule="auto"/>
            </w:pPr>
            <w:r>
              <w:rPr>
                <w:rFonts w:ascii="Calibri" w:hAnsi="Calibri"/>
                <w:color w:val="222222"/>
                <w:sz w:val="19"/>
              </w:rPr>
              <w:t>Serializing trained machine learning pipelines to models/best_model.pkl and deserializing for web inference.</w:t>
            </w:r>
          </w:p>
        </w:tc>
      </w:tr>
      <w:tr w:rsidR="00F540D9" w14:paraId="5B6B065A" w14:textId="77777777">
        <w:trPr>
          <w:jc w:val="center"/>
        </w:trPr>
        <w:tc>
          <w:tcPr>
            <w:tcW w:w="2592" w:type="dxa"/>
            <w:shd w:val="clear" w:color="auto" w:fill="FFFFFF"/>
            <w:tcMar>
              <w:top w:w="100" w:type="dxa"/>
              <w:left w:w="160" w:type="dxa"/>
              <w:bottom w:w="100" w:type="dxa"/>
              <w:right w:w="160" w:type="dxa"/>
            </w:tcMar>
          </w:tcPr>
          <w:p w14:paraId="0A4B633A" w14:textId="77777777" w:rsidR="00F540D9" w:rsidRDefault="00E66665">
            <w:pPr>
              <w:spacing w:after="0" w:line="264" w:lineRule="auto"/>
            </w:pPr>
            <w:r>
              <w:rPr>
                <w:rFonts w:ascii="Calibri" w:hAnsi="Calibri"/>
                <w:color w:val="222222"/>
                <w:sz w:val="19"/>
              </w:rPr>
              <w:t>Streamlit (&gt;=1.28.0)</w:t>
            </w:r>
          </w:p>
        </w:tc>
        <w:tc>
          <w:tcPr>
            <w:tcW w:w="2592" w:type="dxa"/>
            <w:shd w:val="clear" w:color="auto" w:fill="FFFFFF"/>
            <w:tcMar>
              <w:top w:w="100" w:type="dxa"/>
              <w:left w:w="160" w:type="dxa"/>
              <w:bottom w:w="100" w:type="dxa"/>
              <w:right w:w="160" w:type="dxa"/>
            </w:tcMar>
          </w:tcPr>
          <w:p w14:paraId="092A4D77" w14:textId="77777777" w:rsidR="00F540D9" w:rsidRDefault="00E66665">
            <w:pPr>
              <w:spacing w:after="0" w:line="264" w:lineRule="auto"/>
            </w:pPr>
            <w:r>
              <w:rPr>
                <w:rFonts w:ascii="Calibri" w:hAnsi="Calibri"/>
                <w:color w:val="222222"/>
                <w:sz w:val="19"/>
              </w:rPr>
              <w:t>Interactive Web Framework</w:t>
            </w:r>
          </w:p>
        </w:tc>
        <w:tc>
          <w:tcPr>
            <w:tcW w:w="4176" w:type="dxa"/>
            <w:shd w:val="clear" w:color="auto" w:fill="FFFFFF"/>
            <w:tcMar>
              <w:top w:w="100" w:type="dxa"/>
              <w:left w:w="160" w:type="dxa"/>
              <w:bottom w:w="100" w:type="dxa"/>
              <w:right w:w="160" w:type="dxa"/>
            </w:tcMar>
          </w:tcPr>
          <w:p w14:paraId="36EA73D8" w14:textId="77777777" w:rsidR="00F540D9" w:rsidRDefault="00E66665">
            <w:pPr>
              <w:spacing w:after="0" w:line="264" w:lineRule="auto"/>
            </w:pPr>
            <w:r>
              <w:rPr>
                <w:rFonts w:ascii="Calibri" w:hAnsi="Calibri"/>
                <w:color w:val="222222"/>
                <w:sz w:val="19"/>
              </w:rPr>
              <w:t>5-page interactive web application, UI widgets, session caching, and client dashboard.</w:t>
            </w:r>
          </w:p>
        </w:tc>
      </w:tr>
      <w:tr w:rsidR="00F540D9" w14:paraId="37D69BE1" w14:textId="77777777">
        <w:trPr>
          <w:jc w:val="center"/>
        </w:trPr>
        <w:tc>
          <w:tcPr>
            <w:tcW w:w="2592" w:type="dxa"/>
            <w:shd w:val="clear" w:color="auto" w:fill="F4F7FA"/>
            <w:tcMar>
              <w:top w:w="100" w:type="dxa"/>
              <w:left w:w="160" w:type="dxa"/>
              <w:bottom w:w="100" w:type="dxa"/>
              <w:right w:w="160" w:type="dxa"/>
            </w:tcMar>
          </w:tcPr>
          <w:p w14:paraId="33DF7F37" w14:textId="77777777" w:rsidR="00F540D9" w:rsidRDefault="00E66665">
            <w:pPr>
              <w:spacing w:after="0" w:line="264" w:lineRule="auto"/>
            </w:pPr>
            <w:r>
              <w:rPr>
                <w:rFonts w:ascii="Calibri" w:hAnsi="Calibri"/>
                <w:color w:val="222222"/>
                <w:sz w:val="19"/>
              </w:rPr>
              <w:t>Git &amp; GitHub</w:t>
            </w:r>
          </w:p>
        </w:tc>
        <w:tc>
          <w:tcPr>
            <w:tcW w:w="2592" w:type="dxa"/>
            <w:shd w:val="clear" w:color="auto" w:fill="F4F7FA"/>
            <w:tcMar>
              <w:top w:w="100" w:type="dxa"/>
              <w:left w:w="160" w:type="dxa"/>
              <w:bottom w:w="100" w:type="dxa"/>
              <w:right w:w="160" w:type="dxa"/>
            </w:tcMar>
          </w:tcPr>
          <w:p w14:paraId="202036A0" w14:textId="77777777" w:rsidR="00F540D9" w:rsidRDefault="00E66665">
            <w:pPr>
              <w:spacing w:after="0" w:line="264" w:lineRule="auto"/>
            </w:pPr>
            <w:r>
              <w:rPr>
                <w:rFonts w:ascii="Calibri" w:hAnsi="Calibri"/>
                <w:color w:val="222222"/>
                <w:sz w:val="19"/>
              </w:rPr>
              <w:t>Version Control</w:t>
            </w:r>
          </w:p>
        </w:tc>
        <w:tc>
          <w:tcPr>
            <w:tcW w:w="4176" w:type="dxa"/>
            <w:shd w:val="clear" w:color="auto" w:fill="F4F7FA"/>
            <w:tcMar>
              <w:top w:w="100" w:type="dxa"/>
              <w:left w:w="160" w:type="dxa"/>
              <w:bottom w:w="100" w:type="dxa"/>
              <w:right w:w="160" w:type="dxa"/>
            </w:tcMar>
          </w:tcPr>
          <w:p w14:paraId="0EDC6335" w14:textId="77777777" w:rsidR="00F540D9" w:rsidRDefault="00E66665">
            <w:pPr>
              <w:spacing w:after="0" w:line="264" w:lineRule="auto"/>
            </w:pPr>
            <w:r>
              <w:rPr>
                <w:rFonts w:ascii="Calibri" w:hAnsi="Calibri"/>
                <w:color w:val="222222"/>
                <w:sz w:val="19"/>
              </w:rPr>
              <w:t>Source code tracking, versioning, and collaborative repository hosting.</w:t>
            </w:r>
          </w:p>
        </w:tc>
      </w:tr>
    </w:tbl>
    <w:p w14:paraId="3F26E659" w14:textId="77777777" w:rsidR="00F540D9" w:rsidRDefault="00E66665">
      <w:pPr>
        <w:pStyle w:val="Heading1"/>
        <w:spacing w:before="320" w:after="120"/>
      </w:pPr>
      <w:r>
        <w:rPr>
          <w:rFonts w:ascii="Calibri" w:hAnsi="Calibri"/>
          <w:color w:val="1B365D"/>
          <w:sz w:val="30"/>
        </w:rPr>
        <w:t>20. Project Structure</w:t>
      </w:r>
    </w:p>
    <w:p w14:paraId="525FB57B" w14:textId="77777777" w:rsidR="00F540D9" w:rsidRDefault="00E66665">
      <w:pPr>
        <w:spacing w:after="80"/>
      </w:pPr>
      <w:r>
        <w:rPr>
          <w:rFonts w:ascii="Calibri" w:hAnsi="Calibri"/>
          <w:color w:val="222222"/>
          <w:sz w:val="21"/>
        </w:rPr>
        <w:t>The project is structured according to professional software engineering standards, separating data, source code, serialized models, visual artifacts, and application presentation layers:</w:t>
      </w:r>
    </w:p>
    <w:tbl>
      <w:tblPr>
        <w:tblW w:w="0" w:type="auto"/>
        <w:jc w:val="center"/>
        <w:tblLayout w:type="fixed"/>
        <w:tblLook w:val="04A0" w:firstRow="1" w:lastRow="0" w:firstColumn="1" w:lastColumn="0" w:noHBand="0" w:noVBand="1"/>
      </w:tblPr>
      <w:tblGrid>
        <w:gridCol w:w="9360"/>
      </w:tblGrid>
      <w:tr w:rsidR="00F540D9" w14:paraId="79535E1A" w14:textId="77777777">
        <w:trPr>
          <w:jc w:val="center"/>
        </w:trPr>
        <w:tc>
          <w:tcPr>
            <w:tcW w:w="9360" w:type="dxa"/>
            <w:shd w:val="clear" w:color="auto" w:fill="F4F7FA"/>
            <w:tcMar>
              <w:top w:w="100" w:type="dxa"/>
              <w:left w:w="140" w:type="dxa"/>
              <w:bottom w:w="100" w:type="dxa"/>
              <w:right w:w="140" w:type="dxa"/>
            </w:tcMar>
          </w:tcPr>
          <w:p w14:paraId="3CC1FEA9" w14:textId="77777777" w:rsidR="00F540D9" w:rsidRDefault="00E66665">
            <w:pPr>
              <w:spacing w:before="40" w:after="40" w:line="252" w:lineRule="auto"/>
            </w:pPr>
            <w:r>
              <w:rPr>
                <w:rFonts w:ascii="Consolas" w:hAnsi="Consolas"/>
                <w:color w:val="222222"/>
                <w:sz w:val="17"/>
              </w:rPr>
              <w:lastRenderedPageBreak/>
              <w:t>House-Price-Prediction-IBM-SkillsBuild/</w:t>
            </w:r>
            <w:r>
              <w:rPr>
                <w:rFonts w:ascii="Consolas" w:hAnsi="Consolas"/>
                <w:color w:val="222222"/>
                <w:sz w:val="17"/>
              </w:rPr>
              <w:br/>
              <w:t>├── .gitignore                      # Git exclusion rules (__pycache__, venv, IDE configs)</w:t>
            </w:r>
            <w:r>
              <w:rPr>
                <w:rFonts w:ascii="Consolas" w:hAnsi="Consolas"/>
                <w:color w:val="222222"/>
                <w:sz w:val="17"/>
              </w:rPr>
              <w:br/>
              <w:t>├── README.md                       # Comprehensive project documentation</w:t>
            </w:r>
            <w:r>
              <w:rPr>
                <w:rFonts w:ascii="Consolas" w:hAnsi="Consolas"/>
                <w:color w:val="222222"/>
                <w:sz w:val="17"/>
              </w:rPr>
              <w:br/>
              <w:t>├── requirements.txt                # Exact Python library dependencies</w:t>
            </w:r>
            <w:r>
              <w:rPr>
                <w:rFonts w:ascii="Consolas" w:hAnsi="Consolas"/>
                <w:color w:val="222222"/>
                <w:sz w:val="17"/>
              </w:rPr>
              <w:br/>
            </w:r>
            <w:r>
              <w:rPr>
                <w:rFonts w:ascii="Consolas" w:hAnsi="Consolas"/>
                <w:color w:val="222222"/>
                <w:sz w:val="17"/>
              </w:rPr>
              <w:t>├── main.py                         # Master training pipeline execution entry point</w:t>
            </w:r>
            <w:r>
              <w:rPr>
                <w:rFonts w:ascii="Consolas" w:hAnsi="Consolas"/>
                <w:color w:val="222222"/>
                <w:sz w:val="17"/>
              </w:rPr>
              <w:br/>
              <w:t>├── app/</w:t>
            </w:r>
            <w:r>
              <w:rPr>
                <w:rFonts w:ascii="Consolas" w:hAnsi="Consolas"/>
                <w:color w:val="222222"/>
                <w:sz w:val="17"/>
              </w:rPr>
              <w:br/>
              <w:t>│   └── streamlit_app.py            # 5-page interactive Streamlit web dashboard</w:t>
            </w:r>
            <w:r>
              <w:rPr>
                <w:rFonts w:ascii="Consolas" w:hAnsi="Consolas"/>
                <w:color w:val="222222"/>
                <w:sz w:val="17"/>
              </w:rPr>
              <w:br/>
              <w:t>├── data/</w:t>
            </w:r>
            <w:r>
              <w:rPr>
                <w:rFonts w:ascii="Consolas" w:hAnsi="Consolas"/>
                <w:color w:val="222222"/>
                <w:sz w:val="17"/>
              </w:rPr>
              <w:br/>
              <w:t>│   └── data.csv                    # King County housing dataset (4,600 records)</w:t>
            </w:r>
            <w:r>
              <w:rPr>
                <w:rFonts w:ascii="Consolas" w:hAnsi="Consolas"/>
                <w:color w:val="222222"/>
                <w:sz w:val="17"/>
              </w:rPr>
              <w:br/>
              <w:t>├── models/</w:t>
            </w:r>
            <w:r>
              <w:rPr>
                <w:rFonts w:ascii="Consolas" w:hAnsi="Consolas"/>
                <w:color w:val="222222"/>
                <w:sz w:val="17"/>
              </w:rPr>
              <w:br/>
              <w:t>│   ├── best_model.pkl              # Serialized XGBoost regression pipeline artifact (1.55 MB)</w:t>
            </w:r>
            <w:r>
              <w:rPr>
                <w:rFonts w:ascii="Consolas" w:hAnsi="Consolas"/>
                <w:color w:val="222222"/>
                <w:sz w:val="17"/>
              </w:rPr>
              <w:br/>
              <w:t>│   ├── eval_results.json           # Evaluation metrics for all 4 trained models</w:t>
            </w:r>
            <w:r>
              <w:rPr>
                <w:rFonts w:ascii="Consolas" w:hAnsi="Consolas"/>
                <w:color w:val="222222"/>
                <w:sz w:val="17"/>
              </w:rPr>
              <w:br/>
            </w:r>
            <w:r>
              <w:rPr>
                <w:rFonts w:ascii="Consolas" w:hAnsi="Consolas"/>
                <w:color w:val="222222"/>
                <w:sz w:val="17"/>
              </w:rPr>
              <w:t>│   ├── feature_columns.json        # 22-feature column ordering schema</w:t>
            </w:r>
            <w:r>
              <w:rPr>
                <w:rFonts w:ascii="Consolas" w:hAnsi="Consolas"/>
                <w:color w:val="222222"/>
                <w:sz w:val="17"/>
              </w:rPr>
              <w:br/>
              <w:t>│   └── feature_importance.json     # Feature importance weights from the best model</w:t>
            </w:r>
            <w:r>
              <w:rPr>
                <w:rFonts w:ascii="Consolas" w:hAnsi="Consolas"/>
                <w:color w:val="222222"/>
                <w:sz w:val="17"/>
              </w:rPr>
              <w:br/>
              <w:t>├── notebooks/</w:t>
            </w:r>
            <w:r>
              <w:rPr>
                <w:rFonts w:ascii="Consolas" w:hAnsi="Consolas"/>
                <w:color w:val="222222"/>
                <w:sz w:val="17"/>
              </w:rPr>
              <w:br/>
              <w:t>│   └── .gitkeep                    # Directory placeholder for experimental notebooks</w:t>
            </w:r>
            <w:r>
              <w:rPr>
                <w:rFonts w:ascii="Consolas" w:hAnsi="Consolas"/>
                <w:color w:val="222222"/>
                <w:sz w:val="17"/>
              </w:rPr>
              <w:br/>
              <w:t>├── src/</w:t>
            </w:r>
            <w:r>
              <w:rPr>
                <w:rFonts w:ascii="Consolas" w:hAnsi="Consolas"/>
                <w:color w:val="222222"/>
                <w:sz w:val="17"/>
              </w:rPr>
              <w:br/>
              <w:t>│   ├── data_understanding.py       # Step 1: Statistical inspection and profiling</w:t>
            </w:r>
            <w:r>
              <w:rPr>
                <w:rFonts w:ascii="Consolas" w:hAnsi="Consolas"/>
                <w:color w:val="222222"/>
                <w:sz w:val="17"/>
              </w:rPr>
              <w:br/>
              <w:t>│   ├── data_cleaning.py            # Steps 2 &amp; 4: Cleaning &amp; feature engineering pipeline</w:t>
            </w:r>
            <w:r>
              <w:rPr>
                <w:rFonts w:ascii="Consolas" w:hAnsi="Consolas"/>
                <w:color w:val="222222"/>
                <w:sz w:val="17"/>
              </w:rPr>
              <w:br/>
            </w:r>
            <w:r>
              <w:rPr>
                <w:rFonts w:ascii="Consolas" w:hAnsi="Consolas"/>
                <w:color w:val="222222"/>
                <w:sz w:val="17"/>
              </w:rPr>
              <w:t>│   ├── eda.py                      # Step 3: 10 publication-quality EDA visualizations</w:t>
            </w:r>
            <w:r>
              <w:rPr>
                <w:rFonts w:ascii="Consolas" w:hAnsi="Consolas"/>
                <w:color w:val="222222"/>
                <w:sz w:val="17"/>
              </w:rPr>
              <w:br/>
              <w:t>│   └── model_training.py           # Steps 5 &amp; 6: Training, evaluation &amp; diagnostic plots</w:t>
            </w:r>
            <w:r>
              <w:rPr>
                <w:rFonts w:ascii="Consolas" w:hAnsi="Consolas"/>
                <w:color w:val="222222"/>
                <w:sz w:val="17"/>
              </w:rPr>
              <w:br/>
              <w:t>└── visualizations/                 # 14 generated project chart artifacts (01 to 14)</w:t>
            </w:r>
            <w:r>
              <w:rPr>
                <w:rFonts w:ascii="Consolas" w:hAnsi="Consolas"/>
                <w:color w:val="222222"/>
                <w:sz w:val="17"/>
              </w:rPr>
              <w:br/>
            </w:r>
          </w:p>
        </w:tc>
      </w:tr>
    </w:tbl>
    <w:p w14:paraId="0E4DFAF1" w14:textId="77777777" w:rsidR="00F540D9" w:rsidRDefault="00E66665">
      <w:r>
        <w:br w:type="page"/>
      </w:r>
    </w:p>
    <w:p w14:paraId="60A0ADD1" w14:textId="77777777" w:rsidR="00F540D9" w:rsidRDefault="00E66665">
      <w:pPr>
        <w:pStyle w:val="Heading1"/>
        <w:spacing w:before="320" w:after="120"/>
      </w:pPr>
      <w:r>
        <w:rPr>
          <w:rFonts w:ascii="Calibri" w:hAnsi="Calibri"/>
          <w:color w:val="1B365D"/>
          <w:sz w:val="30"/>
        </w:rPr>
        <w:lastRenderedPageBreak/>
        <w:t>21. How to Run the Project</w:t>
      </w:r>
    </w:p>
    <w:p w14:paraId="0F390298" w14:textId="77777777" w:rsidR="00F540D9" w:rsidRDefault="00E66665">
      <w:pPr>
        <w:spacing w:after="80"/>
      </w:pPr>
      <w:r>
        <w:rPr>
          <w:rFonts w:ascii="Calibri" w:hAnsi="Calibri"/>
          <w:color w:val="222222"/>
          <w:sz w:val="21"/>
        </w:rPr>
        <w:t>The project can be reproduced and executed in any standard Python environment following the commands below:</w:t>
      </w:r>
    </w:p>
    <w:p w14:paraId="192548A1" w14:textId="77777777" w:rsidR="00F540D9" w:rsidRDefault="00E66665">
      <w:pPr>
        <w:pStyle w:val="Heading2"/>
        <w:spacing w:before="240" w:after="80"/>
      </w:pPr>
      <w:r>
        <w:rPr>
          <w:rFonts w:ascii="Calibri" w:hAnsi="Calibri"/>
          <w:color w:val="316B9E"/>
          <w:sz w:val="25"/>
        </w:rPr>
        <w:t>21.1 Environment Setup &amp; Installation</w:t>
      </w:r>
    </w:p>
    <w:p w14:paraId="465FFFEF" w14:textId="77777777" w:rsidR="00F540D9" w:rsidRDefault="00E66665">
      <w:pPr>
        <w:spacing w:after="80"/>
      </w:pPr>
      <w:r>
        <w:rPr>
          <w:rFonts w:ascii="Calibri" w:hAnsi="Calibri"/>
          <w:color w:val="222222"/>
          <w:sz w:val="21"/>
        </w:rPr>
        <w:t>1. Clone the repository and navigate to the project directory:</w:t>
      </w:r>
    </w:p>
    <w:p w14:paraId="6BEA5D8C" w14:textId="77777777" w:rsidR="00F540D9" w:rsidRDefault="00E66665">
      <w:pPr>
        <w:spacing w:after="80"/>
      </w:pPr>
      <w:r>
        <w:rPr>
          <w:rFonts w:ascii="Calibri" w:hAnsi="Calibri"/>
          <w:b/>
          <w:color w:val="222222"/>
          <w:sz w:val="21"/>
        </w:rPr>
        <w:t xml:space="preserve">Command: </w:t>
      </w:r>
      <w:r>
        <w:rPr>
          <w:rFonts w:ascii="Calibri" w:hAnsi="Calibri"/>
          <w:color w:val="222222"/>
          <w:sz w:val="21"/>
        </w:rPr>
        <w:t>git clone https://github.com/mahammedsathyala/House-Price-Prediction-IBM-SkillsBuild.git</w:t>
      </w:r>
      <w:r>
        <w:rPr>
          <w:rFonts w:ascii="Calibri" w:hAnsi="Calibri"/>
          <w:color w:val="222222"/>
          <w:sz w:val="21"/>
        </w:rPr>
        <w:br/>
        <w:t>cd House-Price-Prediction-IBM-SkillsBuild</w:t>
      </w:r>
    </w:p>
    <w:p w14:paraId="1913A904" w14:textId="77777777" w:rsidR="00F540D9" w:rsidRDefault="00E66665">
      <w:pPr>
        <w:spacing w:after="80"/>
      </w:pPr>
      <w:r>
        <w:rPr>
          <w:rFonts w:ascii="Calibri" w:hAnsi="Calibri"/>
          <w:color w:val="222222"/>
          <w:sz w:val="21"/>
        </w:rPr>
        <w:t>2. Create and activate a virtual environment:</w:t>
      </w:r>
    </w:p>
    <w:p w14:paraId="2247BA53" w14:textId="77777777" w:rsidR="00F540D9" w:rsidRDefault="00E66665">
      <w:pPr>
        <w:spacing w:after="80"/>
      </w:pPr>
      <w:r>
        <w:rPr>
          <w:rFonts w:ascii="Calibri" w:hAnsi="Calibri"/>
          <w:b/>
          <w:color w:val="222222"/>
          <w:sz w:val="21"/>
        </w:rPr>
        <w:t xml:space="preserve">Command: </w:t>
      </w:r>
      <w:r>
        <w:rPr>
          <w:rFonts w:ascii="Calibri" w:hAnsi="Calibri"/>
          <w:color w:val="222222"/>
          <w:sz w:val="21"/>
        </w:rPr>
        <w:t>python -m venv venv</w:t>
      </w:r>
      <w:r>
        <w:rPr>
          <w:rFonts w:ascii="Calibri" w:hAnsi="Calibri"/>
          <w:color w:val="222222"/>
          <w:sz w:val="21"/>
        </w:rPr>
        <w:br/>
        <w:t>.\venv\Scripts\activate  (Windows)  OR  source venv/bin/activate  (Linux/macOS)</w:t>
      </w:r>
    </w:p>
    <w:p w14:paraId="34C3BAA6" w14:textId="77777777" w:rsidR="00F540D9" w:rsidRDefault="00E66665">
      <w:pPr>
        <w:spacing w:after="80"/>
      </w:pPr>
      <w:r>
        <w:rPr>
          <w:rFonts w:ascii="Calibri" w:hAnsi="Calibri"/>
          <w:color w:val="222222"/>
          <w:sz w:val="21"/>
        </w:rPr>
        <w:t>3. Install required library dependencies:</w:t>
      </w:r>
    </w:p>
    <w:p w14:paraId="53DC4A7F" w14:textId="77777777" w:rsidR="00F540D9" w:rsidRDefault="00E66665">
      <w:pPr>
        <w:spacing w:after="80"/>
      </w:pPr>
      <w:r>
        <w:rPr>
          <w:rFonts w:ascii="Calibri" w:hAnsi="Calibri"/>
          <w:b/>
          <w:color w:val="222222"/>
          <w:sz w:val="21"/>
        </w:rPr>
        <w:t xml:space="preserve">Command: </w:t>
      </w:r>
      <w:r>
        <w:rPr>
          <w:rFonts w:ascii="Calibri" w:hAnsi="Calibri"/>
          <w:color w:val="222222"/>
          <w:sz w:val="21"/>
        </w:rPr>
        <w:t>pip install -r requirements.txt</w:t>
      </w:r>
    </w:p>
    <w:p w14:paraId="4522BBF5" w14:textId="77777777" w:rsidR="00F540D9" w:rsidRDefault="00E66665">
      <w:pPr>
        <w:pStyle w:val="Heading2"/>
        <w:spacing w:before="240" w:after="80"/>
      </w:pPr>
      <w:r>
        <w:rPr>
          <w:rFonts w:ascii="Calibri" w:hAnsi="Calibri"/>
          <w:color w:val="316B9E"/>
          <w:sz w:val="25"/>
        </w:rPr>
        <w:t>21.2 Running the Master Training Pipeline</w:t>
      </w:r>
    </w:p>
    <w:p w14:paraId="60918D54" w14:textId="77777777" w:rsidR="00F540D9" w:rsidRDefault="00E66665">
      <w:pPr>
        <w:spacing w:after="80"/>
      </w:pPr>
      <w:r>
        <w:rPr>
          <w:rFonts w:ascii="Calibri" w:hAnsi="Calibri"/>
          <w:color w:val="222222"/>
          <w:sz w:val="21"/>
        </w:rPr>
        <w:t>To execute the complete pipeline (data understanding, cleaning, EDA chart generation, training 4 models, evaluation, and artifact saving):</w:t>
      </w:r>
    </w:p>
    <w:p w14:paraId="4AE7BBDD" w14:textId="77777777" w:rsidR="00F540D9" w:rsidRDefault="00E66665">
      <w:pPr>
        <w:spacing w:after="80"/>
      </w:pPr>
      <w:r>
        <w:rPr>
          <w:rFonts w:ascii="Calibri" w:hAnsi="Calibri"/>
          <w:b/>
          <w:color w:val="222222"/>
          <w:sz w:val="21"/>
        </w:rPr>
        <w:t xml:space="preserve">Command: </w:t>
      </w:r>
      <w:r>
        <w:rPr>
          <w:rFonts w:ascii="Calibri" w:hAnsi="Calibri"/>
          <w:color w:val="222222"/>
          <w:sz w:val="21"/>
        </w:rPr>
        <w:t>python main.py</w:t>
      </w:r>
    </w:p>
    <w:p w14:paraId="371ED9CA" w14:textId="77777777" w:rsidR="00F540D9" w:rsidRDefault="00E66665">
      <w:pPr>
        <w:pStyle w:val="Heading2"/>
        <w:spacing w:before="240" w:after="80"/>
      </w:pPr>
      <w:r>
        <w:rPr>
          <w:rFonts w:ascii="Calibri" w:hAnsi="Calibri"/>
          <w:color w:val="316B9E"/>
          <w:sz w:val="25"/>
        </w:rPr>
        <w:t>21.3 Launching the Interactive Streamlit Web Application</w:t>
      </w:r>
    </w:p>
    <w:p w14:paraId="3595DF51" w14:textId="77777777" w:rsidR="00F540D9" w:rsidRDefault="00E66665">
      <w:pPr>
        <w:spacing w:after="80"/>
      </w:pPr>
      <w:r>
        <w:rPr>
          <w:rFonts w:ascii="Calibri" w:hAnsi="Calibri"/>
          <w:color w:val="222222"/>
          <w:sz w:val="21"/>
        </w:rPr>
        <w:t>To launch the web interface:</w:t>
      </w:r>
    </w:p>
    <w:p w14:paraId="51A50476" w14:textId="77777777" w:rsidR="00F540D9" w:rsidRDefault="00E66665">
      <w:pPr>
        <w:spacing w:after="80"/>
      </w:pPr>
      <w:r>
        <w:rPr>
          <w:rFonts w:ascii="Calibri" w:hAnsi="Calibri"/>
          <w:b/>
          <w:color w:val="222222"/>
          <w:sz w:val="21"/>
        </w:rPr>
        <w:t xml:space="preserve">Command: </w:t>
      </w:r>
      <w:r>
        <w:rPr>
          <w:rFonts w:ascii="Calibri" w:hAnsi="Calibri"/>
          <w:color w:val="222222"/>
          <w:sz w:val="21"/>
        </w:rPr>
        <w:t>streamlit run app/streamlit_app.py</w:t>
      </w:r>
    </w:p>
    <w:p w14:paraId="42A8FB22" w14:textId="77777777" w:rsidR="00F540D9" w:rsidRDefault="00E66665">
      <w:pPr>
        <w:spacing w:after="80"/>
      </w:pPr>
      <w:r>
        <w:rPr>
          <w:rFonts w:ascii="Calibri" w:hAnsi="Calibri"/>
          <w:color w:val="222222"/>
          <w:sz w:val="21"/>
        </w:rPr>
        <w:t>Upon launch, navigate to http://localhost:8501 in any modern web browser to access all 5 pages.</w:t>
      </w:r>
    </w:p>
    <w:p w14:paraId="67B72024" w14:textId="77777777" w:rsidR="00F540D9" w:rsidRDefault="00E66665">
      <w:r>
        <w:br w:type="page"/>
      </w:r>
    </w:p>
    <w:p w14:paraId="7758E848" w14:textId="77777777" w:rsidR="00F540D9" w:rsidRDefault="00E66665">
      <w:pPr>
        <w:pStyle w:val="Heading1"/>
        <w:spacing w:before="320" w:after="120"/>
      </w:pPr>
      <w:r>
        <w:rPr>
          <w:rFonts w:ascii="Calibri" w:hAnsi="Calibri"/>
          <w:color w:val="1B365D"/>
          <w:sz w:val="30"/>
        </w:rPr>
        <w:lastRenderedPageBreak/>
        <w:t>22. Conclusion</w:t>
      </w:r>
    </w:p>
    <w:p w14:paraId="28D3FEE1" w14:textId="77777777" w:rsidR="00F540D9" w:rsidRDefault="00E66665">
      <w:pPr>
        <w:spacing w:after="80"/>
      </w:pPr>
      <w:r>
        <w:rPr>
          <w:rFonts w:ascii="Calibri" w:hAnsi="Calibri"/>
          <w:color w:val="222222"/>
          <w:sz w:val="21"/>
        </w:rPr>
        <w:t>This project successfully developed, evaluated, and deployed a production-grade Automated Valuation Model (AVM) for residential real estate in King County, Washington. By following a structured engineering lifecycle—from exploratory data profiling and multi-stage cleaning to feature engineering, pipeline-based model benchmarking, and web deployment—the project demonstrates the efficacy of machine learning in capturing complex property pricing dynamics.</w:t>
      </w:r>
    </w:p>
    <w:p w14:paraId="67E5C6CB" w14:textId="77777777" w:rsidR="00F540D9" w:rsidRDefault="00E66665">
      <w:pPr>
        <w:spacing w:after="80"/>
      </w:pPr>
      <w:r>
        <w:rPr>
          <w:rFonts w:ascii="Calibri" w:hAnsi="Calibri"/>
          <w:color w:val="222222"/>
          <w:sz w:val="21"/>
        </w:rPr>
        <w:t>The empirical findings conclusively establish that non-linear tree-based ensembles (XGBoost R² = 0.6213 and Gradient Boosting R² = 0.6127) substantially outperform traditional linear regression baselines (R² = 0.4698). Feature importance and correlation analyses confirmed that interior living dimensions (total_sqft, sqft_living) and structural basement presence govern over 53% of valuation decisions, with location and scenic views providing critical secondary value multipliers.</w:t>
      </w:r>
    </w:p>
    <w:p w14:paraId="75083767" w14:textId="77777777" w:rsidR="00F540D9" w:rsidRDefault="00E66665">
      <w:pPr>
        <w:spacing w:after="80"/>
      </w:pPr>
      <w:r>
        <w:rPr>
          <w:rFonts w:ascii="Calibri" w:hAnsi="Calibri"/>
          <w:color w:val="222222"/>
          <w:sz w:val="21"/>
        </w:rPr>
        <w:t>The delivery of a responsive 5-page Streamlit web dashboard demonstrates the translation of statistical models into functional software tools accessible to real estate professionals, homebuyers, and financial analysts. This work fully satisfies all academic, technical, and analytical mandates of the AICTE | IBM SkillsBuild Data Analytics with AI Academic Internship 2026.</w:t>
      </w:r>
    </w:p>
    <w:p w14:paraId="57426C91" w14:textId="77777777" w:rsidR="00F540D9" w:rsidRDefault="00E66665">
      <w:pPr>
        <w:pStyle w:val="Heading1"/>
        <w:spacing w:before="320" w:after="120"/>
      </w:pPr>
      <w:r>
        <w:rPr>
          <w:rFonts w:ascii="Calibri" w:hAnsi="Calibri"/>
          <w:color w:val="1B365D"/>
          <w:sz w:val="30"/>
        </w:rPr>
        <w:t>23. References</w:t>
      </w:r>
    </w:p>
    <w:p w14:paraId="2A4BE426" w14:textId="77777777" w:rsidR="00F540D9" w:rsidRDefault="00E66665">
      <w:pPr>
        <w:spacing w:after="80"/>
      </w:pPr>
      <w:r>
        <w:rPr>
          <w:rFonts w:ascii="Calibri" w:hAnsi="Calibri"/>
          <w:b/>
          <w:color w:val="222222"/>
          <w:sz w:val="21"/>
        </w:rPr>
        <w:t xml:space="preserve">1. King County Department of Assessments: </w:t>
      </w:r>
      <w:r>
        <w:rPr>
          <w:rFonts w:ascii="Calibri" w:hAnsi="Calibri"/>
          <w:color w:val="222222"/>
          <w:sz w:val="21"/>
        </w:rPr>
        <w:t>Official residential property sales registry and housing assessment records, King County, Washington (data.csv).</w:t>
      </w:r>
    </w:p>
    <w:p w14:paraId="3C7C47BE" w14:textId="77777777" w:rsidR="00F540D9" w:rsidRDefault="00E66665">
      <w:pPr>
        <w:spacing w:after="80"/>
      </w:pPr>
      <w:r>
        <w:rPr>
          <w:rFonts w:ascii="Calibri" w:hAnsi="Calibri"/>
          <w:b/>
          <w:color w:val="222222"/>
          <w:sz w:val="21"/>
        </w:rPr>
        <w:t xml:space="preserve">2. Pedregosa, F., et al.: </w:t>
      </w:r>
      <w:r>
        <w:rPr>
          <w:rFonts w:ascii="Calibri" w:hAnsi="Calibri"/>
          <w:color w:val="222222"/>
          <w:sz w:val="21"/>
        </w:rPr>
        <w:t>Scikit-learn: Machine Learning in Python, Journal of Machine Learning Research (JMLR), Vol. 12, pp. 2825-2830, 2011.</w:t>
      </w:r>
    </w:p>
    <w:p w14:paraId="06D917DF" w14:textId="77777777" w:rsidR="00F540D9" w:rsidRDefault="00E66665">
      <w:pPr>
        <w:spacing w:after="80"/>
      </w:pPr>
      <w:r>
        <w:rPr>
          <w:rFonts w:ascii="Calibri" w:hAnsi="Calibri"/>
          <w:b/>
          <w:color w:val="222222"/>
          <w:sz w:val="21"/>
        </w:rPr>
        <w:t xml:space="preserve">3. Chen, T., &amp; Guestrin, C.: </w:t>
      </w:r>
      <w:r>
        <w:rPr>
          <w:rFonts w:ascii="Calibri" w:hAnsi="Calibri"/>
          <w:color w:val="222222"/>
          <w:sz w:val="21"/>
        </w:rPr>
        <w:t>XGBoost: A Scalable Tree Boosting System, Proceedings of the 22nd ACM SIGKDD International Conference on Knowledge Discovery and Data Mining (KDD '16), pp. 785-794, 2016.</w:t>
      </w:r>
    </w:p>
    <w:p w14:paraId="5175834D" w14:textId="77777777" w:rsidR="00F540D9" w:rsidRDefault="00E66665">
      <w:pPr>
        <w:spacing w:after="80"/>
      </w:pPr>
      <w:r>
        <w:rPr>
          <w:rFonts w:ascii="Calibri" w:hAnsi="Calibri"/>
          <w:b/>
          <w:color w:val="222222"/>
          <w:sz w:val="21"/>
        </w:rPr>
        <w:t xml:space="preserve">4. Breiman, L.: </w:t>
      </w:r>
      <w:r>
        <w:rPr>
          <w:rFonts w:ascii="Calibri" w:hAnsi="Calibri"/>
          <w:color w:val="222222"/>
          <w:sz w:val="21"/>
        </w:rPr>
        <w:t>Random Forests, Machine Learning, Vol. 45, No. 1, pp. 5-32, 2001.</w:t>
      </w:r>
    </w:p>
    <w:p w14:paraId="243B1124" w14:textId="77777777" w:rsidR="00F540D9" w:rsidRDefault="00E66665">
      <w:pPr>
        <w:spacing w:after="80"/>
      </w:pPr>
      <w:r>
        <w:rPr>
          <w:rFonts w:ascii="Calibri" w:hAnsi="Calibri"/>
          <w:b/>
          <w:color w:val="222222"/>
          <w:sz w:val="21"/>
        </w:rPr>
        <w:t xml:space="preserve">5. Friedman, J. H.: </w:t>
      </w:r>
      <w:r>
        <w:rPr>
          <w:rFonts w:ascii="Calibri" w:hAnsi="Calibri"/>
          <w:color w:val="222222"/>
          <w:sz w:val="21"/>
        </w:rPr>
        <w:t>Greedy Function Approximation: A Gradient Boosting Machine, The Annals of Statistics, Vol. 29, No. 5, pp. 1189-1232, 2001.</w:t>
      </w:r>
    </w:p>
    <w:p w14:paraId="090D68B3" w14:textId="77777777" w:rsidR="00F540D9" w:rsidRDefault="00E66665">
      <w:pPr>
        <w:spacing w:after="80"/>
      </w:pPr>
      <w:r>
        <w:rPr>
          <w:rFonts w:ascii="Calibri" w:hAnsi="Calibri"/>
          <w:b/>
          <w:color w:val="222222"/>
          <w:sz w:val="21"/>
        </w:rPr>
        <w:t xml:space="preserve">6. Streamlit Documentation: </w:t>
      </w:r>
      <w:r>
        <w:rPr>
          <w:rFonts w:ascii="Calibri" w:hAnsi="Calibri"/>
          <w:color w:val="222222"/>
          <w:sz w:val="21"/>
        </w:rPr>
        <w:t>Streamlit Open-Source Framework for Machine Learning and Data Science Web Applications. Available online: https://docs.streamlit.io/</w:t>
      </w:r>
    </w:p>
    <w:p w14:paraId="62764D9A" w14:textId="77777777" w:rsidR="00F540D9" w:rsidRDefault="00E66665">
      <w:pPr>
        <w:spacing w:after="80"/>
      </w:pPr>
      <w:r>
        <w:rPr>
          <w:rFonts w:ascii="Calibri" w:hAnsi="Calibri"/>
          <w:b/>
          <w:color w:val="222222"/>
          <w:sz w:val="21"/>
        </w:rPr>
        <w:t xml:space="preserve">7. McKinney, W.: </w:t>
      </w:r>
      <w:r>
        <w:rPr>
          <w:rFonts w:ascii="Calibri" w:hAnsi="Calibri"/>
          <w:color w:val="222222"/>
          <w:sz w:val="21"/>
        </w:rPr>
        <w:t>Data Structures for Statistical Computing in Python, Proceedings of the 9th Python in Science Conference (SciPy 2010), pp. 51-56, 2010.</w:t>
      </w:r>
    </w:p>
    <w:p w14:paraId="6F8BFE16" w14:textId="77777777" w:rsidR="00F540D9" w:rsidRDefault="00E66665">
      <w:pPr>
        <w:spacing w:after="80"/>
      </w:pPr>
      <w:r>
        <w:rPr>
          <w:rFonts w:ascii="Calibri" w:hAnsi="Calibri"/>
          <w:b/>
          <w:color w:val="222222"/>
          <w:sz w:val="21"/>
        </w:rPr>
        <w:t xml:space="preserve">8. AICTE &amp; IBM SkillsBuild: </w:t>
      </w:r>
      <w:r>
        <w:rPr>
          <w:rFonts w:ascii="Calibri" w:hAnsi="Calibri"/>
          <w:color w:val="222222"/>
          <w:sz w:val="21"/>
        </w:rPr>
        <w:t>Data Analytics with AI Academic Internship Curriculum, Guidelines, and Competency Standards, BharatCares &amp; All India Council for Technical Education, 2026.</w:t>
      </w:r>
    </w:p>
    <w:sectPr w:rsidR="00F540D9"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2A014" w14:textId="77777777" w:rsidR="00E66665" w:rsidRDefault="00E66665">
      <w:pPr>
        <w:spacing w:after="0" w:line="240" w:lineRule="auto"/>
      </w:pPr>
      <w:r>
        <w:separator/>
      </w:r>
    </w:p>
  </w:endnote>
  <w:endnote w:type="continuationSeparator" w:id="0">
    <w:p w14:paraId="21F9830D" w14:textId="77777777" w:rsidR="00E66665" w:rsidRDefault="00E66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A2AE" w14:textId="77777777" w:rsidR="00105C3B" w:rsidRDefault="00105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67E9" w14:textId="77777777" w:rsidR="00F540D9" w:rsidRDefault="00E66665">
    <w:pPr>
      <w:pStyle w:val="Footer"/>
      <w:spacing w:before="80"/>
      <w:jc w:val="center"/>
    </w:pPr>
    <w:r>
      <w:rPr>
        <w:rFonts w:ascii="Calibri" w:hAnsi="Calibri"/>
        <w:color w:val="646464"/>
        <w:sz w:val="18"/>
      </w:rPr>
      <w:t xml:space="preserve">Page </w:t>
    </w:r>
    <w:r>
      <w:fldChar w:fldCharType="begin"/>
    </w:r>
    <w:r>
      <w:instrText>PAGE</w:instrText>
    </w:r>
    <w:r>
      <w:fldChar w:fldCharType="separate"/>
    </w:r>
    <w:r w:rsidR="00105C3B">
      <w:rPr>
        <w:noProof/>
      </w:rPr>
      <w:t>1</w:t>
    </w:r>
    <w:r>
      <w:fldChar w:fldCharType="end"/>
    </w:r>
    <w:r>
      <w:rPr>
        <w:rFonts w:ascii="Calibri" w:hAnsi="Calibri"/>
        <w:color w:val="646464"/>
        <w:sz w:val="18"/>
      </w:rPr>
      <w:t xml:space="preserve"> of </w:t>
    </w:r>
    <w:r>
      <w:fldChar w:fldCharType="begin"/>
    </w:r>
    <w:r>
      <w:instrText>NUMPAGES</w:instrText>
    </w:r>
    <w:r>
      <w:fldChar w:fldCharType="separate"/>
    </w:r>
    <w:r w:rsidR="00105C3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37B" w14:textId="77777777" w:rsidR="00105C3B" w:rsidRDefault="00105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8C3D" w14:textId="77777777" w:rsidR="00E66665" w:rsidRDefault="00E66665">
      <w:pPr>
        <w:spacing w:after="0" w:line="240" w:lineRule="auto"/>
      </w:pPr>
      <w:r>
        <w:separator/>
      </w:r>
    </w:p>
  </w:footnote>
  <w:footnote w:type="continuationSeparator" w:id="0">
    <w:p w14:paraId="6384676D" w14:textId="77777777" w:rsidR="00E66665" w:rsidRDefault="00E66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160D" w14:textId="77777777" w:rsidR="00105C3B" w:rsidRDefault="00105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80B0" w14:textId="77777777" w:rsidR="00F540D9" w:rsidRDefault="00E66665">
    <w:pPr>
      <w:pStyle w:val="Header"/>
      <w:jc w:val="right"/>
    </w:pPr>
    <w:r>
      <w:rPr>
        <w:rFonts w:ascii="Calibri" w:hAnsi="Calibri"/>
        <w:color w:val="646464"/>
        <w:sz w:val="17"/>
      </w:rPr>
      <w:t>House Price Prediction Using Machine Learning | AICTE - IBM SkillsBuild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8B9" w14:textId="77777777" w:rsidR="00105C3B" w:rsidRDefault="00105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15911">
    <w:abstractNumId w:val="8"/>
  </w:num>
  <w:num w:numId="2" w16cid:durableId="90395178">
    <w:abstractNumId w:val="6"/>
  </w:num>
  <w:num w:numId="3" w16cid:durableId="369306831">
    <w:abstractNumId w:val="5"/>
  </w:num>
  <w:num w:numId="4" w16cid:durableId="1237668003">
    <w:abstractNumId w:val="4"/>
  </w:num>
  <w:num w:numId="5" w16cid:durableId="242573137">
    <w:abstractNumId w:val="7"/>
  </w:num>
  <w:num w:numId="6" w16cid:durableId="1504082776">
    <w:abstractNumId w:val="3"/>
  </w:num>
  <w:num w:numId="7" w16cid:durableId="1581214506">
    <w:abstractNumId w:val="2"/>
  </w:num>
  <w:num w:numId="8" w16cid:durableId="336808297">
    <w:abstractNumId w:val="1"/>
  </w:num>
  <w:num w:numId="9" w16cid:durableId="148944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C3B"/>
    <w:rsid w:val="0015074B"/>
    <w:rsid w:val="0029639D"/>
    <w:rsid w:val="00326F90"/>
    <w:rsid w:val="0076489B"/>
    <w:rsid w:val="00AA1D8D"/>
    <w:rsid w:val="00B47730"/>
    <w:rsid w:val="00CB0664"/>
    <w:rsid w:val="00E66665"/>
    <w:rsid w:val="00F540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50A0CB"/>
  <w14:defaultImageDpi w14:val="300"/>
  <w15:docId w15:val="{E9BB016E-F942-48B8-8CAE-6FCE0CCB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7634</Words>
  <Characters>51455</Characters>
  <Application>Microsoft Office Word</Application>
  <DocSecurity>0</DocSecurity>
  <Lines>1094</Lines>
  <Paragraphs>687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Mahammed Sathyala</cp:lastModifiedBy>
  <cp:revision>2</cp:revision>
  <dcterms:created xsi:type="dcterms:W3CDTF">2013-12-23T23:15:00Z</dcterms:created>
  <dcterms:modified xsi:type="dcterms:W3CDTF">2026-09-23T15:56:00Z</dcterms:modified>
  <cp:category/>
</cp:coreProperties>
</file>