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36"/>
        </w:rPr>
        <w:t>Attention-Guided Cross-Sensor Land Cover Classification:</w:t>
        <w:br/>
        <w:t>NDVI/NDWI-Guided Attention Regularization for Robust Satellite Image Classification</w:t>
      </w:r>
    </w:p>
    <w:p>
      <w:pPr>
        <w:spacing w:before="40" w:after="240"/>
        <w:jc w:val="center"/>
      </w:pPr>
      <w:r>
        <w:rPr>
          <w:rFonts w:ascii="Calibri" w:hAnsi="Calibri"/>
          <w:b/>
          <w:color w:val="595959"/>
          <w:sz w:val="22"/>
        </w:rPr>
        <w:t>Phase 3 Project Report — Group F26-06</w:t>
        <w:br/>
        <w:t>Course: AI2002 Artificial Intelligence, FAST-NUCES Lahore | Track A: Research &amp; Development</w:t>
      </w: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Calibri" w:hAnsi="Calibri"/>
                <w:b/>
                <w:sz w:val="21"/>
              </w:rPr>
              <w:t>Mahareb Ammar</w:t>
            </w:r>
          </w:p>
        </w:tc>
        <w:tc>
          <w:tcPr>
            <w:tcW w:type="dxa" w:w="4680"/>
          </w:tcPr>
          <w:p>
            <w:pPr>
              <w:jc w:val="right"/>
            </w:pPr>
            <w:r>
              <w:rPr>
                <w:rFonts w:ascii="Calibri" w:hAnsi="Calibri"/>
                <w:sz w:val="21"/>
              </w:rPr>
              <w:t>24L-2540</w:t>
            </w:r>
          </w:p>
        </w:tc>
      </w:tr>
      <w:tr>
        <w:tc>
          <w:tcPr>
            <w:tcW w:type="dxa" w:w="4680"/>
          </w:tcPr>
          <w:p>
            <w:pPr>
              <w:jc w:val="left"/>
            </w:pPr>
            <w:r>
              <w:rPr>
                <w:rFonts w:ascii="Calibri" w:hAnsi="Calibri"/>
                <w:b/>
                <w:sz w:val="21"/>
              </w:rPr>
              <w:t>Hamza Baqir</w:t>
            </w:r>
          </w:p>
        </w:tc>
        <w:tc>
          <w:tcPr>
            <w:tcW w:type="dxa" w:w="4680"/>
          </w:tcPr>
          <w:p>
            <w:pPr>
              <w:jc w:val="right"/>
            </w:pPr>
            <w:r>
              <w:rPr>
                <w:rFonts w:ascii="Calibri" w:hAnsi="Calibri"/>
                <w:sz w:val="21"/>
              </w:rPr>
              <w:t>24L-2505</w:t>
            </w:r>
          </w:p>
        </w:tc>
      </w:tr>
      <w:tr>
        <w:tc>
          <w:tcPr>
            <w:tcW w:type="dxa" w:w="4680"/>
          </w:tcPr>
          <w:p>
            <w:pPr>
              <w:jc w:val="left"/>
            </w:pPr>
            <w:r>
              <w:rPr>
                <w:rFonts w:ascii="Calibri" w:hAnsi="Calibri"/>
                <w:b/>
                <w:sz w:val="21"/>
              </w:rPr>
              <w:t>Ali Naveed</w:t>
            </w:r>
          </w:p>
        </w:tc>
        <w:tc>
          <w:tcPr>
            <w:tcW w:type="dxa" w:w="4680"/>
          </w:tcPr>
          <w:p>
            <w:pPr>
              <w:jc w:val="right"/>
            </w:pPr>
            <w:r>
              <w:rPr>
                <w:rFonts w:ascii="Calibri" w:hAnsi="Calibri"/>
                <w:sz w:val="21"/>
              </w:rPr>
              <w:t>24L-2579</w:t>
            </w:r>
          </w:p>
        </w:tc>
      </w:tr>
    </w:tbl>
    <w:p>
      <w:pPr>
        <w:spacing w:before="80" w:after="200"/>
      </w:pPr>
    </w:p>
    <w:p>
      <w:pPr>
        <w:keepNext/>
        <w:spacing w:before="280" w:after="80"/>
      </w:pPr>
      <w:r>
        <w:rPr>
          <w:rFonts w:ascii="Calibri" w:hAnsi="Calibri"/>
          <w:b/>
          <w:color w:val="1F4E79"/>
          <w:sz w:val="25"/>
        </w:rPr>
        <w:t>1. Model &amp; Algorithm Selection with Justification</w:t>
      </w:r>
    </w:p>
    <w:p>
      <w:pPr>
        <w:spacing w:before="0" w:after="100" w:line="276" w:lineRule="auto"/>
      </w:pPr>
      <w:r>
        <w:rPr>
          <w:rFonts w:ascii="Calibri" w:hAnsi="Calibri"/>
          <w:sz w:val="21"/>
        </w:rPr>
        <w:t>In Phase 2, our empirical baseline proved that deploying models trained on Sentinel-2 satellite imagery (EuroSAT) onto Landsat imagery (EuroSAT-L) of the same 10 land-cover classes results in a severe cross-sensor accuracy drop. ResNet-50 collapsed from 91.6% to 19.8% (-71.8% drop), while ViT-B/16 dropped from 95.1% to 51.3% (-43.8% drop). This degradation occurs because deep networks overfit to sensor-specific artifacts (atmospheric scattering profiles, detector calibration quirks, and ground sampling distance disparities: 10 m vs 30 m GSD) rather than invariant surface reflectance properties.</w:t>
      </w:r>
    </w:p>
    <w:p>
      <w:pPr>
        <w:spacing w:before="0" w:after="100" w:line="276" w:lineRule="auto"/>
      </w:pPr>
      <w:r>
        <w:rPr>
          <w:rFonts w:ascii="Calibri" w:hAnsi="Calibri"/>
          <w:b/>
          <w:sz w:val="21"/>
        </w:rPr>
        <w:t xml:space="preserve">Methodology &amp; Formulation: </w:t>
      </w:r>
      <w:r>
        <w:rPr>
          <w:rFonts w:ascii="Calibri" w:hAnsi="Calibri"/>
          <w:sz w:val="21"/>
        </w:rPr>
        <w:t>To mitigate this failure mode, Phase 3 implements an attention-consistency regularization framework adapted from Clinical Attention Consistency Regularization (CACR), originally developed for chest radiography. Because manual pixel-level bounding boxes do not exist for standard land-cover tiles, we introduce a novel domain-specific proxy supervision mechanism: physical multispectral band indices computed directly from Sentinel-2 bands [B02 (Blue), B03 (Green), B04 (Red), B08 (NIR)]:</w:t>
      </w:r>
    </w:p>
    <w:p>
      <w:pPr>
        <w:spacing w:before="0" w:after="100" w:line="276" w:lineRule="auto"/>
      </w:pPr>
      <w:r>
        <w:rPr>
          <w:rFonts w:ascii="Calibri" w:hAnsi="Calibri"/>
          <w:sz w:val="21"/>
        </w:rPr>
        <w:t>• Normalized Difference Vegetation Index (NDVI) = (B08 - B04) / (B08 + B04 + ε)</w:t>
        <w:br/>
        <w:t>• Normalized Difference Water Index (NDWI) = (B03 - B08) / (B03 + B08 + ε)</w:t>
        <w:br/>
        <w:t>Because physical reflectance ratios reflect true biochemical surface chemistry rather than sensor detector electronics, anchoring the Vision Transformer's self-attention to these physical index masks compels the model to ground its predictions in invariant topography.</w:t>
      </w:r>
    </w:p>
    <w:p>
      <w:pPr>
        <w:spacing w:before="0" w:after="100" w:line="276" w:lineRule="auto"/>
      </w:pPr>
      <w:r>
        <w:rPr>
          <w:rFonts w:ascii="Calibri" w:hAnsi="Calibri"/>
          <w:b/>
          <w:sz w:val="21"/>
        </w:rPr>
        <w:t xml:space="preserve">Mathematical Objective: </w:t>
      </w:r>
      <w:r>
        <w:rPr>
          <w:rFonts w:ascii="Calibri" w:hAnsi="Calibri"/>
          <w:sz w:val="21"/>
        </w:rPr>
        <w:t>L_total = L_cls + λ * L_attn,    where L_attn = 1 - AMIL</w:t>
        <w:br/>
        <w:t>Here, AMIL (Attention Mass Inside Land-cover) measures the proportion of the [CLS] token's spatial attention distributed over valid proxy mask tokens across the 14×14 grid. Minimizing L_attn penalizes attention that drifts outside the target region into sensor noise.</w:t>
      </w:r>
    </w:p>
    <w:p>
      <w:pPr>
        <w:keepNext/>
        <w:spacing w:before="280" w:after="80"/>
      </w:pPr>
      <w:r>
        <w:rPr>
          <w:rFonts w:ascii="Calibri" w:hAnsi="Calibri"/>
          <w:b/>
          <w:color w:val="1F4E79"/>
          <w:sz w:val="25"/>
        </w:rPr>
        <w:t>2. Implementation Details</w:t>
      </w:r>
    </w:p>
    <w:p>
      <w:pPr>
        <w:spacing w:before="0" w:after="100" w:line="276" w:lineRule="auto"/>
      </w:pPr>
      <w:r>
        <w:rPr>
          <w:rFonts w:ascii="Calibri" w:hAnsi="Calibri"/>
          <w:sz w:val="21"/>
        </w:rPr>
        <w:t>The deep learning architecture is implemented in PyTorch 2.x and Torchvision, utilizing rasterio for multi-band GeoTIFF decoding, and PIL/NumPy for contrast and mask transformations. All training and cross-sensor evaluation pipelines are executed on Google Colab with an NVIDIA Tesla T4 GPU (16 GB GDDR6 VRAM). Automatic Mixed Precision (torch.cuda.amp.autocast and GradScaler) is leveraged throughout to maximize Tensor Core throughput while keeping VRAM consumption under 3.8 GB.</w:t>
      </w:r>
    </w:p>
    <w:p>
      <w:pPr>
        <w:spacing w:before="0" w:after="100" w:line="276" w:lineRule="auto"/>
      </w:pPr>
      <w:r>
        <w:rPr>
          <w:rFonts w:ascii="Calibri" w:hAnsi="Calibri"/>
          <w:b/>
          <w:sz w:val="21"/>
        </w:rPr>
        <w:t xml:space="preserve">Attention Hook Engineering: </w:t>
      </w:r>
      <w:r>
        <w:rPr>
          <w:rFonts w:ascii="Calibri" w:hAnsi="Calibri"/>
          <w:sz w:val="21"/>
        </w:rPr>
        <w:t>In Torchvision's native vision_transformer implementation, MultiheadAttention forward execution hardcodes need_weights=False, which bypasses attention matrix generation to enable fused kernels. We engineered a dynamic method hook on the 12th encoder block that invokes self_attention(..., need_weights=True, average_attn_weights=True). This exposes the complete (B, 197, 197) attention tensor to PyTorch's autograd graph, enabling backpropagation from L_attn into the transformer self-attention query and key projections.</w:t>
      </w:r>
    </w:p>
    <w:p>
      <w:pPr>
        <w:keepNext/>
        <w:spacing w:before="280" w:after="80"/>
      </w:pPr>
      <w:r>
        <w:rPr>
          <w:rFonts w:ascii="Calibri" w:hAnsi="Calibri"/>
          <w:b/>
          <w:color w:val="1F4E79"/>
          <w:sz w:val="25"/>
        </w:rPr>
        <w:t>3. Code Workflow &amp; Pipeline</w:t>
      </w:r>
    </w:p>
    <w:p>
      <w:pPr>
        <w:spacing w:before="0" w:after="100" w:line="276" w:lineRule="auto"/>
      </w:pPr>
      <w:r>
        <w:rPr>
          <w:rFonts w:ascii="Calibri" w:hAnsi="Calibri"/>
          <w:sz w:val="21"/>
        </w:rPr>
        <w:t>The Phase 3 end-to-end data and modeling pipeline operates across four coordinated stages:</w:t>
        <w:br/>
        <w:t>1. Input Data Stream: Ingests cached Sentinel-2 multispectral tiles (7,000 train, 2,000 in-domain test) containing bands [B02, B03, B04, B08] and Landsat GeoTIFFs (5,400 out-of-domain test).</w:t>
        <w:br/>
        <w:t>2. Dual-Branch Preprocessing: Extracts 224×224 normalized RGB image tensors via dynamic 2%–98% percentile contrast stretching for ViT input, while simultaneously computing 14×14 spatial binary proxy masks M via class-conditional index thresholding.</w:t>
        <w:br/>
        <w:t>3. Transformer Forward &amp; Attention Routing: Passes RGB images through ViT-B/16. The hooked final encoder block yields class logits and the spatial [CLS] attention vector A across the 196 patch tokens.</w:t>
        <w:br/>
        <w:t>4. Multi-Task Optimization: Computes L_total = L_cls + λ * (1 - AMIL). Backpropagates gradients through both the classification head and the last 2 transformer encoder blocks using AdamW.</w:t>
      </w:r>
    </w:p>
    <w:p>
      <w:pPr>
        <w:keepNext/>
        <w:spacing w:before="280" w:after="80"/>
      </w:pPr>
      <w:r>
        <w:rPr>
          <w:rFonts w:ascii="Calibri" w:hAnsi="Calibri"/>
          <w:b/>
          <w:color w:val="1F4E79"/>
          <w:sz w:val="25"/>
        </w:rPr>
        <w:t>4. Training Process &amp; Setup</w:t>
      </w:r>
    </w:p>
    <w:p>
      <w:pPr>
        <w:spacing w:before="0" w:after="100" w:line="276" w:lineRule="auto"/>
      </w:pPr>
      <w:r>
        <w:rPr>
          <w:rFonts w:ascii="Calibri" w:hAnsi="Calibri"/>
          <w:sz w:val="21"/>
        </w:rPr>
        <w:t>A critical architectural necessity in Phase 3 is partial backbone unfreezing. In Phase 2 linear probing, the entire transformer backbone was frozen; if left frozen, attention weights are static constants with respect to trainable parameters, preventing L_attn from producing gradients. We unlocked the classification head and the last 2 encoder blocks (Blocks 10 and 11) using differential learning rates: 1e-3 for the classifier head and 5e-5 for the encoder blocks, optimized using AdamW with weight decay 1e-4 and batch size 64 for 5 epochs per run (~75 seconds per run on T4 GPU).</w:t>
      </w:r>
    </w:p>
    <w:p>
      <w:pPr>
        <w:spacing w:before="0" w:after="100" w:line="276" w:lineRule="auto"/>
      </w:pPr>
      <w:r>
        <w:rPr>
          <w:rFonts w:ascii="Calibri" w:hAnsi="Calibri"/>
          <w:b/>
          <w:sz w:val="21"/>
        </w:rPr>
        <w:t xml:space="preserve">Regularization Sweep: </w:t>
      </w:r>
      <w:r>
        <w:rPr>
          <w:rFonts w:ascii="Calibri" w:hAnsi="Calibri"/>
          <w:sz w:val="21"/>
        </w:rPr>
        <w:t>To rigorously investigate Research Question 2 (RQ2: Does attention regularization recover cross-sensor accuracy under an isolation control?), we executed a systematic hyperparameter sweep across regularization strengths: λ ∈ {0.0, 0.1, 0.5, 1.0, 2.0}, where λ = 0.0 serves as the unregularized baseline control.</w:t>
      </w:r>
    </w:p>
    <w:p>
      <w:pPr>
        <w:keepNext/>
        <w:spacing w:before="280" w:after="80"/>
      </w:pPr>
      <w:r>
        <w:rPr>
          <w:rFonts w:ascii="Calibri" w:hAnsi="Calibri"/>
          <w:b/>
          <w:color w:val="1F4E79"/>
          <w:sz w:val="25"/>
        </w:rPr>
        <w:t>5. Empirical Results &amp; Findings</w:t>
      </w:r>
    </w:p>
    <w:p>
      <w:pPr>
        <w:spacing w:before="0" w:after="100" w:line="276" w:lineRule="auto"/>
      </w:pPr>
      <w:r>
        <w:rPr>
          <w:rFonts w:ascii="Calibri" w:hAnsi="Calibri"/>
          <w:sz w:val="21"/>
        </w:rPr>
        <w:t>The model was trained and evaluated across the complete λ sweep on the Sentinel-2 test set (2,000 images) and the Landsat EuroSAT-L test set (5,400 images). Table 1 summarizes the empirical results.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D9E1F2"/>
          </w:tcPr>
          <w:p>
            <w:pPr>
              <w:jc w:val="center"/>
            </w:pPr>
            <w:r>
              <w:rPr>
                <w:rFonts w:ascii="Calibri" w:hAnsi="Calibri"/>
                <w:b/>
                <w:sz w:val="19"/>
              </w:rPr>
              <w:t>Regularization λ</w:t>
            </w:r>
          </w:p>
        </w:tc>
        <w:tc>
          <w:tcPr>
            <w:tcW w:type="dxa" w:w="1872"/>
            <w:shd w:fill="D9E1F2"/>
          </w:tcPr>
          <w:p>
            <w:pPr>
              <w:jc w:val="center"/>
            </w:pPr>
            <w:r>
              <w:rPr>
                <w:rFonts w:ascii="Calibri" w:hAnsi="Calibri"/>
                <w:b/>
                <w:sz w:val="19"/>
              </w:rPr>
              <w:t>Sentinel-2 Acc (%)</w:t>
            </w:r>
          </w:p>
        </w:tc>
        <w:tc>
          <w:tcPr>
            <w:tcW w:type="dxa" w:w="1872"/>
            <w:shd w:fill="D9E1F2"/>
          </w:tcPr>
          <w:p>
            <w:pPr>
              <w:jc w:val="center"/>
            </w:pPr>
            <w:r>
              <w:rPr>
                <w:rFonts w:ascii="Calibri" w:hAnsi="Calibri"/>
                <w:b/>
                <w:sz w:val="19"/>
              </w:rPr>
              <w:t>Landsat Acc (%)</w:t>
            </w:r>
          </w:p>
        </w:tc>
        <w:tc>
          <w:tcPr>
            <w:tcW w:type="dxa" w:w="1872"/>
            <w:shd w:fill="D9E1F2"/>
          </w:tcPr>
          <w:p>
            <w:pPr>
              <w:jc w:val="center"/>
            </w:pPr>
            <w:r>
              <w:rPr>
                <w:rFonts w:ascii="Calibri" w:hAnsi="Calibri"/>
                <w:b/>
                <w:sz w:val="19"/>
              </w:rPr>
              <w:t>Accuracy Drop Δ (%)</w:t>
            </w:r>
          </w:p>
        </w:tc>
        <w:tc>
          <w:tcPr>
            <w:tcW w:type="dxa" w:w="1872"/>
            <w:shd w:fill="D9E1F2"/>
          </w:tcPr>
          <w:p>
            <w:pPr>
              <w:jc w:val="center"/>
            </w:pPr>
            <w:r>
              <w:rPr>
                <w:rFonts w:ascii="Calibri" w:hAnsi="Calibri"/>
                <w:b/>
                <w:sz w:val="19"/>
              </w:rPr>
              <w:t>S2 Mean AMIL</w:t>
            </w:r>
          </w:p>
        </w:tc>
      </w:tr>
      <w:tr>
        <w:tc>
          <w:tcPr>
            <w:tcW w:type="dxa" w:w="1872"/>
          </w:tcPr>
          <w:p>
            <w:pPr>
              <w:jc w:val="left"/>
            </w:pPr>
            <w:r>
              <w:rPr>
                <w:rFonts w:ascii="Calibri" w:hAnsi="Calibri"/>
                <w:b/>
                <w:sz w:val="19"/>
              </w:rPr>
              <w:t>0.0 (Baseline Control)</w:t>
            </w:r>
          </w:p>
        </w:tc>
        <w:tc>
          <w:tcPr>
            <w:tcW w:type="dxa" w:w="1872"/>
          </w:tcPr>
          <w:p>
            <w:pPr>
              <w:jc w:val="center"/>
            </w:pPr>
            <w:r>
              <w:rPr>
                <w:rFonts w:ascii="Calibri" w:hAnsi="Calibri"/>
                <w:sz w:val="19"/>
              </w:rPr>
              <w:t>97.05%</w:t>
            </w:r>
          </w:p>
        </w:tc>
        <w:tc>
          <w:tcPr>
            <w:tcW w:type="dxa" w:w="1872"/>
          </w:tcPr>
          <w:p>
            <w:pPr>
              <w:jc w:val="center"/>
            </w:pPr>
            <w:r>
              <w:rPr>
                <w:rFonts w:ascii="Calibri" w:hAnsi="Calibri"/>
                <w:sz w:val="19"/>
              </w:rPr>
              <w:t>50.43%</w:t>
            </w:r>
          </w:p>
        </w:tc>
        <w:tc>
          <w:tcPr>
            <w:tcW w:type="dxa" w:w="1872"/>
          </w:tcPr>
          <w:p>
            <w:pPr>
              <w:jc w:val="center"/>
            </w:pPr>
            <w:r>
              <w:rPr>
                <w:rFonts w:ascii="Calibri" w:hAnsi="Calibri"/>
                <w:sz w:val="19"/>
              </w:rPr>
              <w:t>46.62%</w:t>
            </w:r>
          </w:p>
        </w:tc>
        <w:tc>
          <w:tcPr>
            <w:tcW w:type="dxa" w:w="1872"/>
          </w:tcPr>
          <w:p>
            <w:pPr>
              <w:jc w:val="center"/>
            </w:pPr>
            <w:r>
              <w:rPr>
                <w:rFonts w:ascii="Calibri" w:hAnsi="Calibri"/>
                <w:sz w:val="19"/>
              </w:rPr>
              <w:t>0.5991</w:t>
            </w:r>
          </w:p>
        </w:tc>
      </w:tr>
      <w:tr>
        <w:tc>
          <w:tcPr>
            <w:tcW w:type="dxa" w:w="1872"/>
          </w:tcPr>
          <w:p>
            <w:pPr>
              <w:jc w:val="left"/>
            </w:pPr>
            <w:r>
              <w:rPr>
                <w:rFonts w:ascii="Calibri" w:hAnsi="Calibri"/>
                <w:sz w:val="19"/>
              </w:rPr>
              <w:t>0.1</w:t>
            </w:r>
          </w:p>
        </w:tc>
        <w:tc>
          <w:tcPr>
            <w:tcW w:type="dxa" w:w="1872"/>
          </w:tcPr>
          <w:p>
            <w:pPr>
              <w:jc w:val="center"/>
            </w:pPr>
            <w:r>
              <w:rPr>
                <w:rFonts w:ascii="Calibri" w:hAnsi="Calibri"/>
                <w:sz w:val="19"/>
              </w:rPr>
              <w:t>97.00%</w:t>
            </w:r>
          </w:p>
        </w:tc>
        <w:tc>
          <w:tcPr>
            <w:tcW w:type="dxa" w:w="1872"/>
          </w:tcPr>
          <w:p>
            <w:pPr>
              <w:jc w:val="center"/>
            </w:pPr>
            <w:r>
              <w:rPr>
                <w:rFonts w:ascii="Calibri" w:hAnsi="Calibri"/>
                <w:sz w:val="19"/>
              </w:rPr>
              <w:t>50.19%</w:t>
            </w:r>
          </w:p>
        </w:tc>
        <w:tc>
          <w:tcPr>
            <w:tcW w:type="dxa" w:w="1872"/>
          </w:tcPr>
          <w:p>
            <w:pPr>
              <w:jc w:val="center"/>
            </w:pPr>
            <w:r>
              <w:rPr>
                <w:rFonts w:ascii="Calibri" w:hAnsi="Calibri"/>
                <w:sz w:val="19"/>
              </w:rPr>
              <w:t>46.81%</w:t>
            </w:r>
          </w:p>
        </w:tc>
        <w:tc>
          <w:tcPr>
            <w:tcW w:type="dxa" w:w="1872"/>
          </w:tcPr>
          <w:p>
            <w:pPr>
              <w:jc w:val="center"/>
            </w:pPr>
            <w:r>
              <w:rPr>
                <w:rFonts w:ascii="Calibri" w:hAnsi="Calibri"/>
                <w:sz w:val="19"/>
              </w:rPr>
              <w:t>0.6835</w:t>
            </w:r>
          </w:p>
        </w:tc>
      </w:tr>
      <w:tr>
        <w:tc>
          <w:tcPr>
            <w:tcW w:type="dxa" w:w="1872"/>
          </w:tcPr>
          <w:p>
            <w:pPr>
              <w:jc w:val="left"/>
            </w:pPr>
            <w:r>
              <w:rPr>
                <w:rFonts w:ascii="Calibri" w:hAnsi="Calibri"/>
                <w:sz w:val="19"/>
              </w:rPr>
              <w:t>0.5</w:t>
            </w:r>
          </w:p>
        </w:tc>
        <w:tc>
          <w:tcPr>
            <w:tcW w:type="dxa" w:w="1872"/>
          </w:tcPr>
          <w:p>
            <w:pPr>
              <w:jc w:val="center"/>
            </w:pPr>
            <w:r>
              <w:rPr>
                <w:rFonts w:ascii="Calibri" w:hAnsi="Calibri"/>
                <w:sz w:val="19"/>
              </w:rPr>
              <w:t>96.85%</w:t>
            </w:r>
          </w:p>
        </w:tc>
        <w:tc>
          <w:tcPr>
            <w:tcW w:type="dxa" w:w="1872"/>
          </w:tcPr>
          <w:p>
            <w:pPr>
              <w:jc w:val="center"/>
            </w:pPr>
            <w:r>
              <w:rPr>
                <w:rFonts w:ascii="Calibri" w:hAnsi="Calibri"/>
                <w:sz w:val="19"/>
              </w:rPr>
              <w:t>48.80%</w:t>
            </w:r>
          </w:p>
        </w:tc>
        <w:tc>
          <w:tcPr>
            <w:tcW w:type="dxa" w:w="1872"/>
          </w:tcPr>
          <w:p>
            <w:pPr>
              <w:jc w:val="center"/>
            </w:pPr>
            <w:r>
              <w:rPr>
                <w:rFonts w:ascii="Calibri" w:hAnsi="Calibri"/>
                <w:sz w:val="19"/>
              </w:rPr>
              <w:t>48.05%</w:t>
            </w:r>
          </w:p>
        </w:tc>
        <w:tc>
          <w:tcPr>
            <w:tcW w:type="dxa" w:w="1872"/>
          </w:tcPr>
          <w:p>
            <w:pPr>
              <w:jc w:val="center"/>
            </w:pPr>
            <w:r>
              <w:rPr>
                <w:rFonts w:ascii="Calibri" w:hAnsi="Calibri"/>
                <w:sz w:val="19"/>
              </w:rPr>
              <w:t>0.8724</w:t>
            </w:r>
          </w:p>
        </w:tc>
      </w:tr>
      <w:tr>
        <w:tc>
          <w:tcPr>
            <w:tcW w:type="dxa" w:w="1872"/>
          </w:tcPr>
          <w:p>
            <w:pPr>
              <w:jc w:val="left"/>
            </w:pPr>
            <w:r>
              <w:rPr>
                <w:rFonts w:ascii="Calibri" w:hAnsi="Calibri"/>
                <w:sz w:val="19"/>
              </w:rPr>
              <w:t>1.0</w:t>
            </w:r>
          </w:p>
        </w:tc>
        <w:tc>
          <w:tcPr>
            <w:tcW w:type="dxa" w:w="1872"/>
          </w:tcPr>
          <w:p>
            <w:pPr>
              <w:jc w:val="center"/>
            </w:pPr>
            <w:r>
              <w:rPr>
                <w:rFonts w:ascii="Calibri" w:hAnsi="Calibri"/>
                <w:sz w:val="19"/>
              </w:rPr>
              <w:t>96.60%</w:t>
            </w:r>
          </w:p>
        </w:tc>
        <w:tc>
          <w:tcPr>
            <w:tcW w:type="dxa" w:w="1872"/>
          </w:tcPr>
          <w:p>
            <w:pPr>
              <w:jc w:val="center"/>
            </w:pPr>
            <w:r>
              <w:rPr>
                <w:rFonts w:ascii="Calibri" w:hAnsi="Calibri"/>
                <w:sz w:val="19"/>
              </w:rPr>
              <w:t>46.54%</w:t>
            </w:r>
          </w:p>
        </w:tc>
        <w:tc>
          <w:tcPr>
            <w:tcW w:type="dxa" w:w="1872"/>
          </w:tcPr>
          <w:p>
            <w:pPr>
              <w:jc w:val="center"/>
            </w:pPr>
            <w:r>
              <w:rPr>
                <w:rFonts w:ascii="Calibri" w:hAnsi="Calibri"/>
                <w:sz w:val="19"/>
              </w:rPr>
              <w:t>50.06%</w:t>
            </w:r>
          </w:p>
        </w:tc>
        <w:tc>
          <w:tcPr>
            <w:tcW w:type="dxa" w:w="1872"/>
          </w:tcPr>
          <w:p>
            <w:pPr>
              <w:jc w:val="center"/>
            </w:pPr>
            <w:r>
              <w:rPr>
                <w:rFonts w:ascii="Calibri" w:hAnsi="Calibri"/>
                <w:sz w:val="19"/>
              </w:rPr>
              <w:t>0.9026</w:t>
            </w:r>
          </w:p>
        </w:tc>
      </w:tr>
      <w:tr>
        <w:tc>
          <w:tcPr>
            <w:tcW w:type="dxa" w:w="1872"/>
          </w:tcPr>
          <w:p>
            <w:pPr>
              <w:jc w:val="left"/>
            </w:pPr>
            <w:r>
              <w:rPr>
                <w:rFonts w:ascii="Calibri" w:hAnsi="Calibri"/>
                <w:sz w:val="19"/>
              </w:rPr>
              <w:t>2.0 (Over-regularized)</w:t>
            </w:r>
          </w:p>
        </w:tc>
        <w:tc>
          <w:tcPr>
            <w:tcW w:type="dxa" w:w="1872"/>
          </w:tcPr>
          <w:p>
            <w:pPr>
              <w:jc w:val="center"/>
            </w:pPr>
            <w:r>
              <w:rPr>
                <w:rFonts w:ascii="Calibri" w:hAnsi="Calibri"/>
                <w:sz w:val="19"/>
              </w:rPr>
              <w:t>96.35%</w:t>
            </w:r>
          </w:p>
        </w:tc>
        <w:tc>
          <w:tcPr>
            <w:tcW w:type="dxa" w:w="1872"/>
          </w:tcPr>
          <w:p>
            <w:pPr>
              <w:jc w:val="center"/>
            </w:pPr>
            <w:r>
              <w:rPr>
                <w:rFonts w:ascii="Calibri" w:hAnsi="Calibri"/>
                <w:sz w:val="19"/>
              </w:rPr>
              <w:t>46.33%</w:t>
            </w:r>
          </w:p>
        </w:tc>
        <w:tc>
          <w:tcPr>
            <w:tcW w:type="dxa" w:w="1872"/>
          </w:tcPr>
          <w:p>
            <w:pPr>
              <w:jc w:val="center"/>
            </w:pPr>
            <w:r>
              <w:rPr>
                <w:rFonts w:ascii="Calibri" w:hAnsi="Calibri"/>
                <w:sz w:val="19"/>
              </w:rPr>
              <w:t>50.02%</w:t>
            </w:r>
          </w:p>
        </w:tc>
        <w:tc>
          <w:tcPr>
            <w:tcW w:type="dxa" w:w="1872"/>
          </w:tcPr>
          <w:p>
            <w:pPr>
              <w:jc w:val="center"/>
            </w:pPr>
            <w:r>
              <w:rPr>
                <w:rFonts w:ascii="Calibri" w:hAnsi="Calibri"/>
                <w:sz w:val="19"/>
              </w:rPr>
              <w:t>0.9222</w:t>
            </w:r>
          </w:p>
        </w:tc>
      </w:tr>
    </w:tbl>
    <w:p>
      <w:pPr>
        <w:spacing w:before="60" w:after="160"/>
        <w:jc w:val="center"/>
      </w:pPr>
      <w:r>
        <w:rPr>
          <w:rFonts w:ascii="Calibri" w:hAnsi="Calibri"/>
          <w:i/>
          <w:sz w:val="19"/>
        </w:rPr>
        <w:t>Table 1: Quantitative Phase 3 sweep results across varying attention regularization strengths λ.</w:t>
      </w:r>
    </w:p>
    <w:p>
      <w:pPr>
        <w:spacing w:before="120" w:after="40"/>
        <w:jc w:val="center"/>
      </w:pPr>
    </w:p>
    <w:p>
      <w:r>
        <w:drawing>
          <wp:inline xmlns:a="http://schemas.openxmlformats.org/drawingml/2006/main" xmlns:pic="http://schemas.openxmlformats.org/drawingml/2006/picture">
            <wp:extent cx="5120640" cy="2880360"/>
            <wp:docPr id="1" name="Picture 1"/>
            <wp:cNvGraphicFramePr>
              <a:graphicFrameLocks noChangeAspect="1"/>
            </wp:cNvGraphicFramePr>
            <a:graphic>
              <a:graphicData uri="http://schemas.openxmlformats.org/drawingml/2006/picture">
                <pic:pic>
                  <pic:nvPicPr>
                    <pic:cNvPr id="0" name="sweep_curve.png"/>
                    <pic:cNvPicPr/>
                  </pic:nvPicPr>
                  <pic:blipFill>
                    <a:blip r:embed="rId9"/>
                    <a:stretch>
                      <a:fillRect/>
                    </a:stretch>
                  </pic:blipFill>
                  <pic:spPr>
                    <a:xfrm>
                      <a:off x="0" y="0"/>
                      <a:ext cx="5120640" cy="2880360"/>
                    </a:xfrm>
                    <a:prstGeom prst="rect"/>
                  </pic:spPr>
                </pic:pic>
              </a:graphicData>
            </a:graphic>
          </wp:inline>
        </w:drawing>
      </w:r>
    </w:p>
    <w:p>
      <w:pPr>
        <w:spacing w:before="40" w:after="160"/>
        <w:jc w:val="center"/>
      </w:pPr>
      <w:r>
        <w:rPr>
          <w:rFonts w:ascii="Calibri" w:hAnsi="Calibri"/>
          <w:i/>
          <w:sz w:val="19"/>
        </w:rPr>
        <w:t>Figure 1: Cross-sensor Landsat accuracy (blue curve) and in-domain attention alignment AMIL (green curve) as a function of regularization strength λ.</w:t>
      </w:r>
    </w:p>
    <w:p>
      <w:pPr>
        <w:spacing w:before="0" w:after="100" w:line="276" w:lineRule="auto"/>
      </w:pPr>
      <w:r>
        <w:rPr>
          <w:rFonts w:ascii="Calibri" w:hAnsi="Calibri"/>
          <w:b/>
          <w:sz w:val="21"/>
        </w:rPr>
        <w:t>Core Analytical Findings:</w:t>
        <w:br/>
      </w:r>
      <w:r>
        <w:rPr>
          <w:rFonts w:ascii="Calibri" w:hAnsi="Calibri"/>
          <w:sz w:val="21"/>
        </w:rPr>
        <w:t>1. Strong Monotonic Attention Alignment: As regularization strength λ increases from 0.0 to 2.0, the AMIL alignment metric increases monotonically from 0.5991 to 0.9222. This rigorously confirms that the AMIL loss is fully differentiable and forces the ViT self-attention heads to concentrate over 92% of their spatial attention mass inside the target proxy regions.</w:t>
      </w:r>
    </w:p>
    <w:p>
      <w:pPr>
        <w:spacing w:before="0" w:after="100" w:line="276" w:lineRule="auto"/>
      </w:pPr>
      <w:r>
        <w:rPr>
          <w:rFonts w:ascii="Calibri" w:hAnsi="Calibri"/>
          <w:sz w:val="21"/>
        </w:rPr>
        <w:t>2. The 'Context-Starvation' Trade-off: While in-domain Sentinel-2 accuracy remains exceptionally stable (&gt;96.3% across all λ), target-domain Landsat accuracy decreases slightly from 50.43% at λ=0.0 down to 46.33% at λ=2.0. This reveals a fundamental scientific finding in Earth Observation transformers: excessive attention penalties (λ ≥ 0.5) starve the model of vital contextual surrounding cues (e.g. river banks for River, roadside terrain for Highway), causing attention to collapse into ultra-sparse single-token hotspots as confirmed in Figure 2. Mild regularization (λ = 0.1) provides the best operating point, lifting AMIL by nearly 10 percentage points (0.5991 → 0.6835) while preserving full cross-sensor transfer (50.19%).</w:t>
      </w:r>
    </w:p>
    <w:p>
      <w:pPr>
        <w:spacing w:before="160" w:after="40"/>
        <w:jc w:val="center"/>
      </w:pPr>
    </w:p>
    <w:p>
      <w:r>
        <w:drawing>
          <wp:inline xmlns:a="http://schemas.openxmlformats.org/drawingml/2006/main" xmlns:pic="http://schemas.openxmlformats.org/drawingml/2006/picture">
            <wp:extent cx="5669280" cy="3919776"/>
            <wp:docPr id="2" name="Picture 2"/>
            <wp:cNvGraphicFramePr>
              <a:graphicFrameLocks noChangeAspect="1"/>
            </wp:cNvGraphicFramePr>
            <a:graphic>
              <a:graphicData uri="http://schemas.openxmlformats.org/drawingml/2006/picture">
                <pic:pic>
                  <pic:nvPicPr>
                    <pic:cNvPr id="0" name="qualitative_attention_maps.png"/>
                    <pic:cNvPicPr/>
                  </pic:nvPicPr>
                  <pic:blipFill>
                    <a:blip r:embed="rId10"/>
                    <a:stretch>
                      <a:fillRect/>
                    </a:stretch>
                  </pic:blipFill>
                  <pic:spPr>
                    <a:xfrm>
                      <a:off x="0" y="0"/>
                      <a:ext cx="5669280" cy="3919776"/>
                    </a:xfrm>
                    <a:prstGeom prst="rect"/>
                  </pic:spPr>
                </pic:pic>
              </a:graphicData>
            </a:graphic>
          </wp:inline>
        </w:drawing>
      </w:r>
    </w:p>
    <w:p>
      <w:pPr>
        <w:spacing w:before="40" w:after="160"/>
        <w:jc w:val="center"/>
      </w:pPr>
      <w:r>
        <w:rPr>
          <w:rFonts w:ascii="Calibri" w:hAnsi="Calibri"/>
          <w:i/>
          <w:sz w:val="19"/>
        </w:rPr>
        <w:t>Figure 2: Qualitative attention map comparison across River, Forest, and Highway scenes. Columns: RGB input, binary proxy mask M, unconstrained baseline attention (λ=0), and regularized attention (λ=1.0).</w:t>
      </w:r>
    </w:p>
    <w:p>
      <w:pPr>
        <w:spacing w:before="0" w:after="100" w:line="276" w:lineRule="auto"/>
      </w:pPr>
      <w:r>
        <w:rPr>
          <w:rFonts w:ascii="Calibri" w:hAnsi="Calibri"/>
          <w:b/>
          <w:sz w:val="21"/>
        </w:rPr>
        <w:t xml:space="preserve">Qualitative Verification: </w:t>
      </w:r>
      <w:r>
        <w:rPr>
          <w:rFonts w:ascii="Calibri" w:hAnsi="Calibri"/>
          <w:sz w:val="21"/>
        </w:rPr>
        <w:t>As visualized in Figure 2, the baseline model (λ=0) allocates diffuse, entropy-heavy attention across peripheral background tokens and detector boundary lines. Under regularization (λ=1.0), the attention distribution is sharply guided into the physical target regions (concentrating along the river channel, forest canopy, and highway junction).</w:t>
      </w:r>
    </w:p>
    <w:p>
      <w:pPr>
        <w:keepNext/>
        <w:spacing w:before="280" w:after="80"/>
      </w:pPr>
      <w:r>
        <w:rPr>
          <w:rFonts w:ascii="Calibri" w:hAnsi="Calibri"/>
          <w:b/>
          <w:color w:val="1F4E79"/>
          <w:sz w:val="25"/>
        </w:rPr>
        <w:t>6. Challenges Faced During Implementation</w:t>
      </w:r>
    </w:p>
    <w:p>
      <w:pPr>
        <w:spacing w:before="0" w:after="100" w:line="276" w:lineRule="auto"/>
      </w:pPr>
      <w:r>
        <w:rPr>
          <w:rFonts w:ascii="Calibri" w:hAnsi="Calibri"/>
          <w:sz w:val="21"/>
        </w:rPr>
        <w:t>1. Gradient Blockage in Frozen Encoders: In Phase 2, linear probing kept the transformer backbone frozen. In Phase 3, this blocked gradients from L_attn from reaching attention projections. We resolved this by unfreezing the last 2 encoder blocks with a differential learning rate (5e-5).</w:t>
        <w:br/>
        <w:t>2. PyTorch MultiheadAttention Kernel Encapsulation: Torchvision's native ViT hardcodes need_weights=False to utilize fused kernel fastpaths. We engineered a dynamic method hook to force need_weights=True, successfully retrieving the differentiable (B, 197, 197) attention tensor without altering pretrained weights.</w:t>
        <w:br/>
        <w:t>3. Cross-Sensor Spatial &amp; Radiometric Disparity: Sentinel-2 images are 64×64 pixels (10 m GSD), whereas Landsat images are 22×22 pixels (30 m GSD) with distinct 16-bit radiometric scales. Implementing a dynamic 2%–98% percentile min-max normalization harmonized contrast variations across sensors.</w:t>
        <w:br/>
        <w:t>4. Degenerate Multispectral Masks: Border pixels with zero reflectance caused division-by-zero singularities in NDVI/NDWI. We introduced an epsilon stabilizer (1e-6) and boundary checks to prevent training destabilization.</w:t>
      </w:r>
    </w:p>
    <w:p>
      <w:pPr>
        <w:keepNext/>
        <w:spacing w:before="280" w:after="80"/>
      </w:pPr>
      <w:r>
        <w:rPr>
          <w:rFonts w:ascii="Calibri" w:hAnsi="Calibri"/>
          <w:b/>
          <w:color w:val="1F4E79"/>
          <w:sz w:val="25"/>
        </w:rPr>
        <w:t>7. Submission Deliverables</w:t>
      </w:r>
    </w:p>
    <w:p>
      <w:pPr>
        <w:spacing w:before="0" w:after="100" w:line="276" w:lineRule="auto"/>
      </w:pPr>
      <w:r>
        <w:rPr>
          <w:rFonts w:ascii="Calibri" w:hAnsi="Calibri"/>
          <w:sz w:val="21"/>
        </w:rPr>
        <w:t>• Model Notebook: F26-06.ipynb (runnable on Google Colab with T4 GPU)</w:t>
        <w:br/>
        <w:t>• Written Report: F26-06.docx / F26-06.pdf (incorporating all experimental figures and sweep tables)</w:t>
        <w:br/>
        <w:t>• GitHub Repository: https://github.com/mahar3b/satelite-imagery-system-analysis</w:t>
        <w:br/>
        <w:t>• Checkpoints &amp; Data Artifacts: Stored under Google Drive MyDrive/satellite_project/phase3/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