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36" w:after="120"/>
      </w:pPr>
      <w:r>
        <w:rPr>
          <w:rFonts w:ascii="Aptos Display" w:hAnsi="Aptos Display"/>
          <w:b/>
          <w:color w:val="E6812A"/>
          <w:sz w:val="28"/>
        </w:rPr>
        <w:t>GLOBAL 3PL</w:t>
      </w:r>
    </w:p>
    <w:p>
      <w:pPr>
        <w:pStyle w:val="Title"/>
        <w:spacing w:after="80"/>
      </w:pPr>
      <w:r>
        <w:rPr>
          <w:rFonts w:ascii="Aptos Display" w:hAnsi="Aptos Display"/>
          <w:b/>
          <w:color w:val="16324F"/>
          <w:sz w:val="60"/>
        </w:rPr>
        <w:t>International Shipping Software</w:t>
      </w:r>
    </w:p>
    <w:p>
      <w:pPr>
        <w:spacing w:after="360"/>
      </w:pPr>
      <w:r>
        <w:rPr>
          <w:rFonts w:ascii="Aptos Display" w:hAnsi="Aptos Display"/>
          <w:color w:val="0F6B78"/>
          <w:sz w:val="34"/>
        </w:rPr>
        <w:t>Master Rules, Regulations &amp; Implementation Requirements Specification</w:t>
      </w:r>
    </w:p>
    <w:tbl>
      <w:tblPr>
        <w:tblW w:type="dxa" w:w="9504"/>
        <w:tblLayout w:type="fixed"/>
        <w:tblLook w:firstColumn="1" w:firstRow="1" w:lastColumn="0" w:lastRow="0" w:noHBand="0" w:noVBand="1" w:val="04A0"/>
        <w:jc w:val="left"/>
        <w:tblInd w:w="130" w:type="dxa"/>
      </w:tblPr>
      <w:tblGrid>
        <w:gridCol w:w="3168"/>
        <w:gridCol w:w="3168"/>
        <w:gridCol w:w="3168"/>
      </w:tblGrid>
      <w:tr>
        <w:trPr>
          <w:tblHeader w:val="true"/>
        </w:trPr>
        <w:tc>
          <w:tcPr>
            <w:tcW w:type="dxa" w:w="3168"/>
            <w:shd w:fill="16324F"/>
            <w:tcMar>
              <w:top w:w="130" w:type="dxa"/>
              <w:start w:w="130" w:type="dxa"/>
              <w:bottom w:w="130" w:type="dxa"/>
              <w:end w:w="130" w:type="dxa"/>
            </w:tcMar>
          </w:tcPr>
          <w:p>
            <w:pPr>
              <w:spacing w:before="0" w:after="80" w:line="240" w:lineRule="auto"/>
              <w:jc w:val="center"/>
            </w:pPr>
            <w:r>
              <w:rPr>
                <w:rFonts w:ascii="Aptos" w:hAnsi="Aptos"/>
                <w:b/>
                <w:color w:val="FFFFFF"/>
                <w:sz w:val="16"/>
              </w:rPr>
              <w:t>MODES</w:t>
            </w:r>
          </w:p>
          <w:p>
            <w:pPr>
              <w:spacing w:before="0" w:after="0" w:line="252" w:lineRule="auto"/>
              <w:jc w:val="center"/>
            </w:pPr>
            <w:r>
              <w:rPr>
                <w:rFonts w:ascii="Aptos" w:hAnsi="Aptos"/>
                <w:color w:val="FFFFFF"/>
                <w:sz w:val="20"/>
              </w:rPr>
              <w:t>Parcel / Express</w:t>
              <w:br/>
              <w:t>Postal packets</w:t>
              <w:br/>
              <w:t>Air freight</w:t>
            </w:r>
          </w:p>
        </w:tc>
        <w:tc>
          <w:tcPr>
            <w:tcW w:type="dxa" w:w="3168"/>
            <w:shd w:fill="0F6B78"/>
            <w:tcMar>
              <w:top w:w="130" w:type="dxa"/>
              <w:start w:w="130" w:type="dxa"/>
              <w:bottom w:w="130" w:type="dxa"/>
              <w:end w:w="130" w:type="dxa"/>
            </w:tcMar>
          </w:tcPr>
          <w:p>
            <w:pPr>
              <w:spacing w:before="0" w:after="80" w:line="240" w:lineRule="auto"/>
              <w:jc w:val="center"/>
            </w:pPr>
            <w:r>
              <w:rPr>
                <w:rFonts w:ascii="Aptos" w:hAnsi="Aptos"/>
                <w:b/>
                <w:color w:val="FFFFFF"/>
                <w:sz w:val="16"/>
              </w:rPr>
              <w:t>OPERATING MODEL</w:t>
            </w:r>
          </w:p>
          <w:p>
            <w:pPr>
              <w:spacing w:before="0" w:after="0" w:line="252" w:lineRule="auto"/>
              <w:jc w:val="center"/>
            </w:pPr>
            <w:r>
              <w:rPr>
                <w:rFonts w:ascii="Aptos" w:hAnsi="Aptos"/>
                <w:color w:val="FFFFFF"/>
                <w:sz w:val="20"/>
              </w:rPr>
              <w:t>Multi-tenant SaaS</w:t>
              <w:br/>
              <w:t>Worldwide 3PLs</w:t>
              <w:br/>
              <w:t>Tenant-selected region</w:t>
            </w:r>
          </w:p>
        </w:tc>
        <w:tc>
          <w:tcPr>
            <w:tcW w:type="dxa" w:w="3168"/>
            <w:shd w:fill="E6812A"/>
            <w:tcMar>
              <w:top w:w="130" w:type="dxa"/>
              <w:start w:w="130" w:type="dxa"/>
              <w:bottom w:w="130" w:type="dxa"/>
              <w:end w:w="130" w:type="dxa"/>
            </w:tcMar>
          </w:tcPr>
          <w:p>
            <w:pPr>
              <w:spacing w:before="0" w:after="80" w:line="240" w:lineRule="auto"/>
              <w:jc w:val="center"/>
            </w:pPr>
            <w:r>
              <w:rPr>
                <w:rFonts w:ascii="Aptos" w:hAnsi="Aptos"/>
                <w:b/>
                <w:color w:val="FFFFFF"/>
                <w:sz w:val="16"/>
              </w:rPr>
              <w:t>REGULATED SCOPE</w:t>
            </w:r>
          </w:p>
          <w:p>
            <w:pPr>
              <w:spacing w:before="0" w:after="0" w:line="252" w:lineRule="auto"/>
              <w:jc w:val="center"/>
            </w:pPr>
            <w:r>
              <w:rPr>
                <w:rFonts w:ascii="Aptos" w:hAnsi="Aptos"/>
                <w:color w:val="FFFFFF"/>
                <w:sz w:val="20"/>
              </w:rPr>
              <w:t>All approved commodities</w:t>
              <w:br/>
              <w:t>Human + external approvals</w:t>
              <w:br/>
              <w:t>Fail-closed rules</w:t>
            </w:r>
          </w:p>
        </w:tc>
      </w:tr>
    </w:tbl>
    <w:p/>
    <w:tbl>
      <w:tblPr>
        <w:tblW w:type="dxa" w:w="9504"/>
        <w:tblLayout w:type="fixed"/>
        <w:tblLook w:firstColumn="1" w:firstRow="1" w:lastColumn="0" w:lastRow="0" w:noHBand="0" w:noVBand="1" w:val="04A0"/>
        <w:tblBorders>
          <w:top w:val="single" w:sz="8" w:space="0" w:color="E6812A"/>
          <w:left w:val="single" w:sz="8" w:space="0" w:color="E6812A"/>
          <w:bottom w:val="single" w:sz="8" w:space="0" w:color="E6812A"/>
          <w:right w:val="single" w:sz="8" w:space="0" w:color="E6812A"/>
          <w:insideH w:val="single" w:sz="8" w:space="0" w:color="E6812A"/>
          <w:insideV w:val="single" w:sz="8" w:space="0" w:color="E6812A"/>
        </w:tblBorders>
        <w:jc w:val="left"/>
        <w:tblInd w:w="140" w:type="dxa"/>
      </w:tblPr>
      <w:tblGrid>
        <w:gridCol w:w="9504"/>
      </w:tblGrid>
      <w:tr>
        <w:trPr>
          <w:tblHeader w:val="true"/>
        </w:trPr>
        <w:tc>
          <w:tcPr>
            <w:tcW w:type="dxa" w:w="9504"/>
            <w:shd w:fill="E6812A"/>
            <w:tcMar>
              <w:top w:w="90" w:type="dxa"/>
              <w:start w:w="140" w:type="dxa"/>
              <w:bottom w:w="90" w:type="dxa"/>
              <w:end w:w="140" w:type="dxa"/>
            </w:tcMar>
          </w:tcPr>
          <w:p>
            <w:pPr>
              <w:spacing w:before="0" w:after="0" w:line="240" w:lineRule="auto"/>
            </w:pPr>
            <w:r>
              <w:rPr>
                <w:rFonts w:ascii="Aptos Display" w:hAnsi="Aptos Display"/>
                <w:b/>
                <w:color w:val="FFFFFF"/>
                <w:sz w:val="20"/>
              </w:rPr>
              <w:t>Release interpretation</w:t>
            </w:r>
          </w:p>
        </w:tc>
      </w:tr>
      <w:tr>
        <w:tc>
          <w:tcPr>
            <w:tcW w:type="dxa" w:w="9504"/>
            <w:shd w:fill="FFF0E2"/>
            <w:tcMar>
              <w:top w:w="90" w:type="dxa"/>
              <w:start w:w="140" w:type="dxa"/>
              <w:bottom w:w="90" w:type="dxa"/>
              <w:end w:w="140" w:type="dxa"/>
            </w:tcMar>
          </w:tcPr>
          <w:p>
            <w:pPr>
              <w:spacing w:before="0" w:after="0" w:line="252" w:lineRule="auto"/>
            </w:pPr>
            <w:r>
              <w:rPr>
                <w:rFonts w:ascii="Aptos" w:hAnsi="Aptos"/>
                <w:color w:val="24313D"/>
                <w:sz w:val="18"/>
              </w:rPr>
              <w:t>Worldwide coverage means every country and territory is represented by a governed, effective-dated country pack. It does not mean every lane is automatically enabled. The production decision is BLOCKED unless the exact origin, destination, transit, mode, carrier service, commodity, customer flow and tenant/site permission are current and approved.</w:t>
            </w:r>
          </w:p>
        </w:tc>
      </w:tr>
    </w:tbl>
    <w:p>
      <w:pPr>
        <w:spacing w:after="0"/>
      </w:pP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232"/>
        <w:gridCol w:w="7272"/>
      </w:tblGrid>
      <w:tr>
        <w:trPr>
          <w:tblHeader w:val="true"/>
        </w:trPr>
        <w:tc>
          <w:tcPr>
            <w:tcW w:type="dxa" w:w="2232"/>
            <w:shd w:fill="16324F"/>
            <w:tcMar>
              <w:top w:w="70" w:type="dxa"/>
              <w:start w:w="90" w:type="dxa"/>
              <w:bottom w:w="70" w:type="dxa"/>
              <w:end w:w="90" w:type="dxa"/>
            </w:tcMar>
            <w:vAlign w:val="center"/>
          </w:tcPr>
          <w:p>
            <w:pPr>
              <w:spacing w:before="0" w:after="0" w:line="240" w:lineRule="auto"/>
            </w:pPr>
            <w:r>
              <w:rPr>
                <w:rFonts w:ascii="Aptos" w:hAnsi="Aptos"/>
                <w:b/>
                <w:color w:val="FFFFFF"/>
                <w:sz w:val="17"/>
              </w:rPr>
              <w:t>Document</w:t>
            </w:r>
          </w:p>
        </w:tc>
        <w:tc>
          <w:tcPr>
            <w:tcW w:type="dxa" w:w="7272"/>
            <w:shd w:fill="16324F"/>
            <w:tcMar>
              <w:top w:w="70" w:type="dxa"/>
              <w:start w:w="90" w:type="dxa"/>
              <w:bottom w:w="70" w:type="dxa"/>
              <w:end w:w="90" w:type="dxa"/>
            </w:tcMar>
            <w:vAlign w:val="center"/>
          </w:tcPr>
          <w:p>
            <w:pPr>
              <w:spacing w:before="0" w:after="0" w:line="240" w:lineRule="auto"/>
            </w:pPr>
            <w:r>
              <w:rPr>
                <w:rFonts w:ascii="Aptos" w:hAnsi="Aptos"/>
                <w:b/>
                <w:color w:val="FFFFFF"/>
                <w:sz w:val="17"/>
              </w:rPr>
              <w:t>Value</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7"/>
              </w:rPr>
              <w:t>Version / status</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7"/>
              </w:rPr>
              <w:t>1.0 • implementation baseline • not a substitute for jurisdiction-specific legal advice</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7"/>
              </w:rPr>
              <w:t>As-of date</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7"/>
              </w:rPr>
              <w:t>2026-07-25</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7"/>
              </w:rPr>
              <w:t>Product</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7"/>
              </w:rPr>
              <w:t>Completely new multi-tenant SaaS for independent warehouse and fulfilment 3PL operators</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7"/>
              </w:rPr>
              <w:t>Coverage inventory</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7"/>
              </w:rPr>
              <w:t>249 officially assigned ISO 3166-1 entries + 1 operational XK override</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7"/>
              </w:rPr>
              <w:t>Normative controls</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7"/>
              </w:rPr>
              <w:t>225 traceable requirements in this document and companion register</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7"/>
              </w:rPr>
              <w:t>Source baseline</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7"/>
              </w:rPr>
              <w:t>94 official/primary source entries; licensed rule content must be acquired where required</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7"/>
              </w:rPr>
              <w:t>Companion register</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7"/>
              </w:rPr>
              <w:t>Global_3PL_International_Shipping_Rule_Register.xlsx</w:t>
            </w:r>
          </w:p>
        </w:tc>
      </w:tr>
    </w:tbl>
    <w:p>
      <w:pPr>
        <w:spacing w:before="240"/>
        <w:jc w:val="right"/>
      </w:pPr>
      <w:r>
        <w:rPr>
          <w:i/>
          <w:color w:val="52616B"/>
          <w:sz w:val="17"/>
        </w:rPr>
        <w:t>Prepared as a product, engineering, compliance and operational design baseline</w:t>
      </w:r>
    </w:p>
    <w:p>
      <w:r>
        <w:br w:type="page"/>
      </w:r>
    </w:p>
    <w:p>
      <w:pPr>
        <w:pStyle w:val="Heading1"/>
        <w:keepNext/>
      </w:pPr>
      <w:r>
        <w:t>Document control</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376"/>
        <w:gridCol w:w="7128"/>
      </w:tblGrid>
      <w:tr>
        <w:trPr>
          <w:tblHeader w:val="true"/>
        </w:trPr>
        <w:tc>
          <w:tcPr>
            <w:tcW w:type="dxa" w:w="237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Item</w:t>
            </w:r>
          </w:p>
        </w:tc>
        <w:tc>
          <w:tcPr>
            <w:tcW w:type="dxa" w:w="712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Specification</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b/>
                <w:color w:val="24313D"/>
                <w:sz w:val="16"/>
              </w:rPr>
              <w:t>Owner</w:t>
            </w:r>
          </w:p>
        </w:tc>
        <w:tc>
          <w:tcPr>
            <w:tcW w:type="dxa" w:w="7128"/>
            <w:tcMar>
              <w:top w:w="70" w:type="dxa"/>
              <w:start w:w="90" w:type="dxa"/>
              <w:bottom w:w="70" w:type="dxa"/>
              <w:end w:w="90" w:type="dxa"/>
            </w:tcMar>
            <w:vAlign w:val="top"/>
          </w:tcPr>
          <w:p>
            <w:pPr>
              <w:spacing w:before="0" w:after="0" w:line="240" w:lineRule="auto"/>
            </w:pPr>
            <w:r>
              <w:rPr>
                <w:rFonts w:ascii="Aptos" w:hAnsi="Aptos"/>
                <w:color w:val="24313D"/>
                <w:sz w:val="16"/>
              </w:rPr>
              <w:t>Product compliance architecture</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b/>
                <w:color w:val="24313D"/>
                <w:sz w:val="16"/>
              </w:rPr>
              <w:t>Required approvers</w:t>
            </w:r>
          </w:p>
        </w:tc>
        <w:tc>
          <w:tcPr>
            <w:tcW w:type="dxa" w:w="7128"/>
            <w:tcMar>
              <w:top w:w="70" w:type="dxa"/>
              <w:start w:w="90" w:type="dxa"/>
              <w:bottom w:w="70" w:type="dxa"/>
              <w:end w:w="90" w:type="dxa"/>
            </w:tcMar>
            <w:vAlign w:val="top"/>
            <w:shd w:fill="F5F7F8"/>
          </w:tcPr>
          <w:p>
            <w:pPr>
              <w:spacing w:before="0" w:after="0" w:line="240" w:lineRule="auto"/>
            </w:pPr>
            <w:r>
              <w:rPr>
                <w:rFonts w:ascii="Aptos" w:hAnsi="Aptos"/>
                <w:color w:val="24313D"/>
                <w:sz w:val="16"/>
              </w:rPr>
              <w:t>Product, legal/compliance, customs, export controls, DG, life sciences/food, privacy, security, warehouse operations and carrier integrations</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b/>
                <w:color w:val="24313D"/>
                <w:sz w:val="16"/>
              </w:rPr>
              <w:t>Change method</w:t>
            </w:r>
          </w:p>
        </w:tc>
        <w:tc>
          <w:tcPr>
            <w:tcW w:type="dxa" w:w="7128"/>
            <w:tcMar>
              <w:top w:w="70" w:type="dxa"/>
              <w:start w:w="90" w:type="dxa"/>
              <w:bottom w:w="70" w:type="dxa"/>
              <w:end w:w="90" w:type="dxa"/>
            </w:tcMar>
            <w:vAlign w:val="top"/>
          </w:tcPr>
          <w:p>
            <w:pPr>
              <w:spacing w:before="0" w:after="0" w:line="240" w:lineRule="auto"/>
            </w:pPr>
            <w:r>
              <w:rPr>
                <w:rFonts w:ascii="Aptos" w:hAnsi="Aptos"/>
                <w:color w:val="24313D"/>
                <w:sz w:val="16"/>
              </w:rPr>
              <w:t>Versioned change request with source diff, effective time, affected-scope report, independent approval and regression evidence</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b/>
                <w:color w:val="24313D"/>
                <w:sz w:val="16"/>
              </w:rPr>
              <w:t>Rule authority</w:t>
            </w:r>
          </w:p>
        </w:tc>
        <w:tc>
          <w:tcPr>
            <w:tcW w:type="dxa" w:w="7128"/>
            <w:tcMar>
              <w:top w:w="70" w:type="dxa"/>
              <w:start w:w="90" w:type="dxa"/>
              <w:bottom w:w="70" w:type="dxa"/>
              <w:end w:w="90" w:type="dxa"/>
            </w:tcMar>
            <w:vAlign w:val="top"/>
            <w:shd w:fill="F5F7F8"/>
          </w:tcPr>
          <w:p>
            <w:pPr>
              <w:spacing w:before="0" w:after="0" w:line="240" w:lineRule="auto"/>
            </w:pPr>
            <w:r>
              <w:rPr>
                <w:rFonts w:ascii="Aptos" w:hAnsi="Aptos"/>
                <w:color w:val="24313D"/>
                <w:sz w:val="16"/>
              </w:rPr>
              <w:t>Executable rules require official primary sources or properly licensed authoritative content; commentary and carrier marketing pages cannot independently authorize shipment</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b/>
                <w:color w:val="24313D"/>
                <w:sz w:val="16"/>
              </w:rPr>
              <w:t>Conflict resolution</w:t>
            </w:r>
          </w:p>
        </w:tc>
        <w:tc>
          <w:tcPr>
            <w:tcW w:type="dxa" w:w="7128"/>
            <w:tcMar>
              <w:top w:w="70" w:type="dxa"/>
              <w:start w:w="90" w:type="dxa"/>
              <w:bottom w:w="70" w:type="dxa"/>
              <w:end w:w="90" w:type="dxa"/>
            </w:tcMar>
            <w:vAlign w:val="top"/>
          </w:tcPr>
          <w:p>
            <w:pPr>
              <w:spacing w:before="0" w:after="0" w:line="240" w:lineRule="auto"/>
            </w:pPr>
            <w:r>
              <w:rPr>
                <w:rFonts w:ascii="Aptos" w:hAnsi="Aptos"/>
                <w:color w:val="24313D"/>
                <w:sz w:val="16"/>
              </w:rPr>
              <w:t>Higher legal/authority rule wins; otherwise stricter applicable rule wins until a named legal/compliance reviewer resolves the conflict</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b/>
                <w:color w:val="24313D"/>
                <w:sz w:val="16"/>
              </w:rPr>
              <w:t>Companion workbook</w:t>
            </w:r>
          </w:p>
        </w:tc>
        <w:tc>
          <w:tcPr>
            <w:tcW w:type="dxa" w:w="7128"/>
            <w:tcMar>
              <w:top w:w="70" w:type="dxa"/>
              <w:start w:w="90" w:type="dxa"/>
              <w:bottom w:w="70" w:type="dxa"/>
              <w:end w:w="90" w:type="dxa"/>
            </w:tcMar>
            <w:vAlign w:val="top"/>
            <w:shd w:fill="F5F7F8"/>
          </w:tcPr>
          <w:p>
            <w:pPr>
              <w:spacing w:before="0" w:after="0" w:line="240" w:lineRule="auto"/>
            </w:pPr>
            <w:r>
              <w:rPr>
                <w:rFonts w:ascii="Aptos" w:hAnsi="Aptos"/>
                <w:color w:val="24313D"/>
                <w:sz w:val="16"/>
              </w:rPr>
              <w:t>Country packs, special-territory overrides, rule catalog, data dictionary, adapter matrix, source register and release checklist</w:t>
            </w:r>
          </w:p>
        </w:tc>
      </w:tr>
    </w:tbl>
    <w:p>
      <w:pPr>
        <w:pStyle w:val="Heading2"/>
        <w:keepNext/>
      </w:pPr>
      <w:r>
        <w:t>Normative language</w:t>
      </w:r>
    </w:p>
    <w:p>
      <w:pPr>
        <w:spacing w:before="0" w:after="80" w:line="259" w:lineRule="auto"/>
      </w:pPr>
      <w:r>
        <w:t>SHALL and MUST identify mandatory release requirements. SHOULD identifies a recommended control that requires a documented risk acceptance if omitted. MAY identifies an optional capability. “External approval” means an authenticated decision from a carrier, postal operator, air carrier/forwarder, customs broker/filer, competent authority or other properly licensed party; an internal user cannot manufacture that approval.</w:t>
      </w:r>
    </w:p>
    <w:tbl>
      <w:tblPr>
        <w:tblW w:type="dxa" w:w="9504"/>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jc w:val="left"/>
        <w:tblInd w:w="140" w:type="dxa"/>
      </w:tblPr>
      <w:tblGrid>
        <w:gridCol w:w="9504"/>
      </w:tblGrid>
      <w:tr>
        <w:trPr>
          <w:tblHeader w:val="true"/>
        </w:trPr>
        <w:tc>
          <w:tcPr>
            <w:tcW w:type="dxa" w:w="9504"/>
            <w:shd w:fill="B42318"/>
            <w:tcMar>
              <w:top w:w="90" w:type="dxa"/>
              <w:start w:w="140" w:type="dxa"/>
              <w:bottom w:w="90" w:type="dxa"/>
              <w:end w:w="140" w:type="dxa"/>
            </w:tcMar>
          </w:tcPr>
          <w:p>
            <w:pPr>
              <w:spacing w:before="0" w:after="0" w:line="240" w:lineRule="auto"/>
            </w:pPr>
            <w:r>
              <w:rPr>
                <w:rFonts w:ascii="Aptos Display" w:hAnsi="Aptos Display"/>
                <w:b/>
                <w:color w:val="FFFFFF"/>
                <w:sz w:val="20"/>
              </w:rPr>
              <w:t>Legal and operating boundary</w:t>
            </w:r>
          </w:p>
        </w:tc>
      </w:tr>
      <w:tr>
        <w:tc>
          <w:tcPr>
            <w:tcW w:type="dxa" w:w="9504"/>
            <w:shd w:fill="FDE7E5"/>
            <w:tcMar>
              <w:top w:w="90" w:type="dxa"/>
              <w:start w:w="140" w:type="dxa"/>
              <w:bottom w:w="90" w:type="dxa"/>
              <w:end w:w="140" w:type="dxa"/>
            </w:tcMar>
          </w:tcPr>
          <w:p>
            <w:pPr>
              <w:spacing w:before="0" w:after="0" w:line="252" w:lineRule="auto"/>
            </w:pPr>
            <w:r>
              <w:rPr>
                <w:rFonts w:ascii="Aptos" w:hAnsi="Aptos"/>
                <w:color w:val="24313D"/>
                <w:sz w:val="18"/>
              </w:rPr>
              <w:t>The tenant role in this specification is warehouse and fulfilment operator. The product must not describe the tenant or SaaS provider as a carrier, designated postal operator, customs broker, freight forwarder, declarant, importer/exporter of record, aviation regulated agent, dangerous-goods competent authority or screening authority unless that legal entity separately holds the required authorization and a distinct licensed role has been reviewed and configured.</w:t>
            </w:r>
          </w:p>
        </w:tc>
      </w:tr>
    </w:tbl>
    <w:p>
      <w:pPr>
        <w:spacing w:after="0"/>
      </w:pPr>
    </w:p>
    <w:p>
      <w:pPr>
        <w:pStyle w:val="Heading2"/>
        <w:keepNext/>
      </w:pPr>
      <w:r>
        <w:t>Authoritative-source and licensed-content policy</w:t>
      </w:r>
    </w:p>
    <w:p>
      <w:pPr>
        <w:pStyle w:val="ListBullet"/>
        <w:spacing w:before="0" w:after="40" w:line="254" w:lineRule="auto"/>
        <w:ind w:left="259" w:hanging="173"/>
      </w:pPr>
      <w:r>
        <w:t>Country packs must cite current national or territorial customs, tax, sanctions, export-control, product-regulatory, privacy and electronic-transaction sources. WTO, WCO, UPU, ICAO, UN and other global sources provide structure but do not replace national implementation.</w:t>
      </w:r>
    </w:p>
    <w:p>
      <w:pPr>
        <w:pStyle w:val="ListBullet"/>
        <w:spacing w:before="0" w:after="40" w:line="254" w:lineRule="auto"/>
        <w:ind w:left="259" w:hanging="173"/>
      </w:pPr>
      <w:r>
        <w:t>Carrier, postal and air-partner contracts and API capabilities are part of the applicable rule stack. A legal permission does not compel a carrier to accept a product, and a carrier product code does not establish legal permission.</w:t>
      </w:r>
    </w:p>
    <w:p>
      <w:pPr>
        <w:pStyle w:val="ListBullet"/>
        <w:spacing w:before="0" w:after="40" w:line="254" w:lineRule="auto"/>
        <w:ind w:left="259" w:hanging="173"/>
      </w:pPr>
      <w:r>
        <w:t>IATA manuals, national tariff content and commercial regulatory datasets may be licensed. Store permitted identifiers and derived rules; do not redistribute protected text beyond the licence.</w:t>
      </w:r>
    </w:p>
    <w:p>
      <w:pPr>
        <w:pStyle w:val="ListBullet"/>
        <w:spacing w:before="0" w:after="40" w:line="254" w:lineRule="auto"/>
        <w:ind w:left="259" w:hanging="173"/>
      </w:pPr>
      <w:r>
        <w:t>Translations must record source language, translator/machine method, reviewer and confidence. A translation must not silently replace the original.</w:t>
      </w:r>
    </w:p>
    <w:p>
      <w:pPr>
        <w:pStyle w:val="ListBullet"/>
        <w:spacing w:before="0" w:after="40" w:line="254" w:lineRule="auto"/>
        <w:ind w:left="259" w:hanging="173"/>
      </w:pPr>
      <w:r>
        <w:t>Every high-risk rule requires effective dates, source checksum/snapshot metadata, owner, review date, independent approval and regression test pack.</w:t>
      </w:r>
    </w:p>
    <w:p>
      <w:pPr>
        <w:pStyle w:val="Heading2"/>
        <w:keepNext/>
      </w:pPr>
      <w:r>
        <w:t>How to use this specification</w:t>
      </w:r>
    </w:p>
    <w:p>
      <w:pPr>
        <w:pStyle w:val="ListNumber"/>
        <w:spacing w:before="0" w:after="60" w:line="254" w:lineRule="auto"/>
      </w:pPr>
      <w:r>
        <w:t>Engineering uses Chapters 4–18 and the canonical data/API appendices to design services and state machines.</w:t>
      </w:r>
    </w:p>
    <w:p>
      <w:pPr>
        <w:pStyle w:val="ListNumber"/>
        <w:spacing w:before="0" w:after="60" w:line="254" w:lineRule="auto"/>
      </w:pPr>
      <w:r>
        <w:t>Compliance teams turn authoritative laws, carrier variations and licensed content into country-pack rules using Chapter 6.</w:t>
      </w:r>
    </w:p>
    <w:p>
      <w:pPr>
        <w:pStyle w:val="ListNumber"/>
        <w:spacing w:before="0" w:after="60" w:line="254" w:lineRule="auto"/>
      </w:pPr>
      <w:r>
        <w:t>Country-pack owners use the companion workbook to activate direction × mode × commodity × carrier capabilities only after the release checklist passes.</w:t>
      </w:r>
    </w:p>
    <w:p>
      <w:pPr>
        <w:pStyle w:val="ListNumber"/>
        <w:spacing w:before="0" w:after="60" w:line="254" w:lineRule="auto"/>
      </w:pPr>
      <w:r>
        <w:t>Warehouse operations map system gates to site SOPs, physical zones, training, calibrated devices, custody scans and incident procedures.</w:t>
      </w:r>
    </w:p>
    <w:p>
      <w:pPr>
        <w:pStyle w:val="ListNumber"/>
        <w:spacing w:before="0" w:after="60" w:line="254" w:lineRule="auto"/>
      </w:pPr>
      <w:r>
        <w:t>Quality assurance maps every requirement ID to automated or evidenced manual tests; production release is prohibited while any applicable MUST control is unverified.</w:t>
      </w:r>
    </w:p>
    <w:p>
      <w:r>
        <w:br w:type="page"/>
      </w:r>
    </w:p>
    <w:p>
      <w:pPr>
        <w:pStyle w:val="Heading1"/>
        <w:keepNext/>
      </w:pPr>
      <w:r>
        <w:t>Contents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080"/>
        <w:gridCol w:w="8424"/>
      </w:tblGrid>
      <w:tr>
        <w:trPr>
          <w:tblHeader w:val="true"/>
        </w:trPr>
        <w:tc>
          <w:tcPr>
            <w:tcW w:type="dxa" w:w="108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Section</w:t>
            </w:r>
          </w:p>
        </w:tc>
        <w:tc>
          <w:tcPr>
            <w:tcW w:type="dxa" w:w="842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Title</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1</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Executive specification</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2</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Roles, responsibilities and approvals</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3</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Regulatory operating model</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4</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Reference architecture</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5</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Canonical shipment lifecycle</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6</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Country and territory pack system</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7</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Parties, screening and export controls</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8</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Commodity, customs, tax and documents</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9</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Parcel and express</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10</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Postal packets and UPU-compatible flows</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11</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Air freight and aviation security</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12</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Dangerous goods and lithium batteries</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13</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Regulated and special commodities</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14</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Warehouse and fulfilment execution</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15</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Partner adapter framework</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16</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Privacy, regional hosting and security</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17</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Canonical data, APIs and events</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18</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Audit, testing and operations</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19</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Implementation and release plan</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20</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Detailed normative requirement catalog — 225 traceable controls</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A</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Canonical decision and error codes</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B</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Release checklist</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C</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Country-pack activation dossier</w:t>
            </w:r>
          </w:p>
        </w:tc>
      </w:tr>
      <w:tr>
        <w:trPr>
          <w:cantSplit/>
        </w:trPr>
        <w:tc>
          <w:tcPr>
            <w:tcW w:type="dxa" w:w="1080"/>
            <w:tcMar>
              <w:top w:w="70" w:type="dxa"/>
              <w:start w:w="90" w:type="dxa"/>
              <w:bottom w:w="70" w:type="dxa"/>
              <w:end w:w="90" w:type="dxa"/>
            </w:tcMar>
            <w:vAlign w:val="top"/>
            <w:shd w:fill="F5F7F8"/>
          </w:tcPr>
          <w:p>
            <w:pPr>
              <w:spacing w:before="0" w:after="0" w:line="240" w:lineRule="auto"/>
            </w:pPr>
            <w:r>
              <w:rPr>
                <w:rFonts w:ascii="Aptos" w:hAnsi="Aptos"/>
                <w:b/>
                <w:color w:val="24313D"/>
                <w:sz w:val="16"/>
              </w:rPr>
              <w:t>D</w:t>
            </w:r>
          </w:p>
        </w:tc>
        <w:tc>
          <w:tcPr>
            <w:tcW w:type="dxa" w:w="8424"/>
            <w:tcMar>
              <w:top w:w="70" w:type="dxa"/>
              <w:start w:w="90" w:type="dxa"/>
              <w:bottom w:w="70" w:type="dxa"/>
              <w:end w:w="90" w:type="dxa"/>
            </w:tcMar>
            <w:vAlign w:val="top"/>
            <w:shd w:fill="F5F7F8"/>
          </w:tcPr>
          <w:p>
            <w:pPr>
              <w:spacing w:before="0" w:after="0" w:line="240" w:lineRule="auto"/>
            </w:pPr>
            <w:r>
              <w:rPr>
                <w:rFonts w:ascii="Aptos" w:hAnsi="Aptos"/>
                <w:color w:val="24313D"/>
                <w:sz w:val="16"/>
              </w:rPr>
              <w:t>Authoritative source index — 94 official/primary entries</w:t>
            </w:r>
          </w:p>
        </w:tc>
      </w:tr>
      <w:tr>
        <w:trPr>
          <w:cantSplit/>
        </w:trPr>
        <w:tc>
          <w:tcPr>
            <w:tcW w:type="dxa" w:w="1080"/>
            <w:tcMar>
              <w:top w:w="70" w:type="dxa"/>
              <w:start w:w="90" w:type="dxa"/>
              <w:bottom w:w="70" w:type="dxa"/>
              <w:end w:w="90" w:type="dxa"/>
            </w:tcMar>
            <w:vAlign w:val="top"/>
          </w:tcPr>
          <w:p>
            <w:pPr>
              <w:spacing w:before="0" w:after="0" w:line="240" w:lineRule="auto"/>
            </w:pPr>
            <w:r>
              <w:rPr>
                <w:rFonts w:ascii="Aptos" w:hAnsi="Aptos"/>
                <w:b/>
                <w:color w:val="24313D"/>
                <w:sz w:val="16"/>
              </w:rPr>
              <w:t>E</w:t>
            </w:r>
          </w:p>
        </w:tc>
        <w:tc>
          <w:tcPr>
            <w:tcW w:type="dxa" w:w="8424"/>
            <w:tcMar>
              <w:top w:w="70" w:type="dxa"/>
              <w:start w:w="90" w:type="dxa"/>
              <w:bottom w:w="70" w:type="dxa"/>
              <w:end w:w="90" w:type="dxa"/>
            </w:tcMar>
            <w:vAlign w:val="top"/>
          </w:tcPr>
          <w:p>
            <w:pPr>
              <w:spacing w:before="0" w:after="0" w:line="240" w:lineRule="auto"/>
            </w:pPr>
            <w:r>
              <w:rPr>
                <w:rFonts w:ascii="Aptos" w:hAnsi="Aptos"/>
                <w:color w:val="24313D"/>
                <w:sz w:val="16"/>
              </w:rPr>
              <w:t>Requirement traceability summary</w:t>
            </w:r>
          </w:p>
        </w:tc>
      </w:tr>
    </w:tbl>
    <w:p>
      <w:pPr>
        <w:spacing w:before="120" w:after="0" w:line="240" w:lineRule="auto"/>
      </w:pPr>
      <w:r>
        <w:rPr>
          <w:i/>
          <w:color w:val="52616B"/>
          <w:sz w:val="16"/>
        </w:rPr>
        <w:t>Chapter 20 is the normative traceability core; Chapters 1–19 provide architecture and operational interpretation.</w:t>
      </w:r>
    </w:p>
    <w:p>
      <w:r>
        <w:br w:type="page"/>
      </w:r>
    </w:p>
    <w:p>
      <w:pPr>
        <w:pStyle w:val="Heading1"/>
        <w:keepNext/>
      </w:pPr>
      <w:r>
        <w:t>1. Executive specification</w:t>
      </w:r>
    </w:p>
    <w:p>
      <w:pPr>
        <w:pStyle w:val="Heading2"/>
        <w:keepNext/>
      </w:pPr>
      <w:r>
        <w:t>1.1 Required outcome</w:t>
      </w:r>
    </w:p>
    <w:p>
      <w:pPr>
        <w:spacing w:before="0" w:after="80" w:line="259" w:lineRule="auto"/>
      </w:pPr>
      <w:r>
        <w:t>Build a new, multi-tenant, region-selectable SaaS that allows independent 3PL warehouse and fulfilment operators to plan, validate, prepare, label, document, manifest, tender and track international parcel/express, postal-packet and air-freight shipments from any supported origin to any supported destination through partner carriers, postal operators and air/forwarder platforms.</w:t>
      </w:r>
    </w:p>
    <w:p>
      <w:pPr>
        <w:spacing w:before="0" w:after="80" w:line="259" w:lineRule="auto"/>
      </w:pPr>
      <w:r>
        <w:t>The platform supports B2C, B2B, C2C/personal, returns, DDP, DAP, temporary export/re-import, gifts and samples. It accepts the commodity families listed in scope only where exact country, carrier, service, tenant, site and approval conditions pass.</w:t>
      </w:r>
    </w:p>
    <w:p>
      <w:pPr>
        <w:pStyle w:val="Heading2"/>
        <w:keepNext/>
      </w:pPr>
      <w:r>
        <w:t>1.2 Non-negotiable design principles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936"/>
        <w:gridCol w:w="2088"/>
        <w:gridCol w:w="6480"/>
      </w:tblGrid>
      <w:tr>
        <w:trPr>
          <w:tblHeader w:val="true"/>
        </w:trPr>
        <w:tc>
          <w:tcPr>
            <w:tcW w:type="dxa" w:w="93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ID</w:t>
            </w:r>
          </w:p>
        </w:tc>
        <w:tc>
          <w:tcPr>
            <w:tcW w:type="dxa" w:w="208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Principle</w:t>
            </w:r>
          </w:p>
        </w:tc>
        <w:tc>
          <w:tcPr>
            <w:tcW w:type="dxa" w:w="648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Mandatory interpretation</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b/>
                <w:color w:val="24313D"/>
                <w:sz w:val="16"/>
              </w:rPr>
              <w:t>P-01</w:t>
            </w:r>
          </w:p>
        </w:tc>
        <w:tc>
          <w:tcPr>
            <w:tcW w:type="dxa" w:w="2088"/>
            <w:tcMar>
              <w:top w:w="70" w:type="dxa"/>
              <w:start w:w="90" w:type="dxa"/>
              <w:bottom w:w="70" w:type="dxa"/>
              <w:end w:w="90" w:type="dxa"/>
            </w:tcMar>
            <w:vAlign w:val="top"/>
          </w:tcPr>
          <w:p>
            <w:pPr>
              <w:spacing w:before="0" w:after="0" w:line="240" w:lineRule="auto"/>
            </w:pPr>
            <w:r>
              <w:rPr>
                <w:rFonts w:ascii="Aptos" w:hAnsi="Aptos"/>
                <w:color w:val="24313D"/>
                <w:sz w:val="16"/>
              </w:rPr>
              <w:t>Fail closed</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Unknown, stale, missing, contradictory or unapproved information becomes UNKNOWN_BLOCKED.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b/>
                <w:color w:val="24313D"/>
                <w:sz w:val="16"/>
              </w:rPr>
              <w:t>P-02</w:t>
            </w:r>
          </w:p>
        </w:tc>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6"/>
              </w:rPr>
              <w:t>Exact scope</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Decisions use origin site, customs territories, transit, date/time, parties, commodity, package, mode, carrier, service, account and tenant permissions.</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b/>
                <w:color w:val="24313D"/>
                <w:sz w:val="16"/>
              </w:rPr>
              <w:t>P-03</w:t>
            </w:r>
          </w:p>
        </w:tc>
        <w:tc>
          <w:tcPr>
            <w:tcW w:type="dxa" w:w="2088"/>
            <w:tcMar>
              <w:top w:w="70" w:type="dxa"/>
              <w:start w:w="90" w:type="dxa"/>
              <w:bottom w:w="70" w:type="dxa"/>
              <w:end w:w="90" w:type="dxa"/>
            </w:tcMar>
            <w:vAlign w:val="top"/>
          </w:tcPr>
          <w:p>
            <w:pPr>
              <w:spacing w:before="0" w:after="0" w:line="240" w:lineRule="auto"/>
            </w:pPr>
            <w:r>
              <w:rPr>
                <w:rFonts w:ascii="Aptos" w:hAnsi="Aptos"/>
                <w:color w:val="24313D"/>
                <w:sz w:val="16"/>
              </w:rPr>
              <w:t>Indirect filing</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Customs/government data is submitted only through approved carrier, postal or filing-partner APIs.</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b/>
                <w:color w:val="24313D"/>
                <w:sz w:val="16"/>
              </w:rPr>
              <w:t>P-04</w:t>
            </w:r>
          </w:p>
        </w:tc>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6"/>
              </w:rPr>
              <w:t>Human accountability</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DG, export-control, sanctions-match and other regulated decisions require in-scope certified or qualified approval where the rule says so.</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b/>
                <w:color w:val="24313D"/>
                <w:sz w:val="16"/>
              </w:rPr>
              <w:t>P-05</w:t>
            </w:r>
          </w:p>
        </w:tc>
        <w:tc>
          <w:tcPr>
            <w:tcW w:type="dxa" w:w="2088"/>
            <w:tcMar>
              <w:top w:w="70" w:type="dxa"/>
              <w:start w:w="90" w:type="dxa"/>
              <w:bottom w:w="70" w:type="dxa"/>
              <w:end w:w="90" w:type="dxa"/>
            </w:tcMar>
            <w:vAlign w:val="top"/>
          </w:tcPr>
          <w:p>
            <w:pPr>
              <w:spacing w:before="0" w:after="0" w:line="240" w:lineRule="auto"/>
            </w:pPr>
            <w:r>
              <w:rPr>
                <w:rFonts w:ascii="Aptos" w:hAnsi="Aptos"/>
                <w:color w:val="24313D"/>
                <w:sz w:val="16"/>
              </w:rPr>
              <w:t>External authority</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Documents may be generated internally, but carrier/authority/partner acceptance must be externally evidenced.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b/>
                <w:color w:val="24313D"/>
                <w:sz w:val="16"/>
              </w:rPr>
              <w:t>P-06</w:t>
            </w:r>
          </w:p>
        </w:tc>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6"/>
              </w:rPr>
              <w:t>Temporal truth</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Current, future and historical rules coexist without applying a future rule early or erasing prior decisions.</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b/>
                <w:color w:val="24313D"/>
                <w:sz w:val="16"/>
              </w:rPr>
              <w:t>P-07</w:t>
            </w:r>
          </w:p>
        </w:tc>
        <w:tc>
          <w:tcPr>
            <w:tcW w:type="dxa" w:w="2088"/>
            <w:tcMar>
              <w:top w:w="70" w:type="dxa"/>
              <w:start w:w="90" w:type="dxa"/>
              <w:bottom w:w="70" w:type="dxa"/>
              <w:end w:w="90" w:type="dxa"/>
            </w:tcMar>
            <w:vAlign w:val="top"/>
          </w:tcPr>
          <w:p>
            <w:pPr>
              <w:spacing w:before="0" w:after="0" w:line="240" w:lineRule="auto"/>
            </w:pPr>
            <w:r>
              <w:rPr>
                <w:rFonts w:ascii="Aptos" w:hAnsi="Aptos"/>
                <w:color w:val="24313D"/>
                <w:sz w:val="16"/>
              </w:rPr>
              <w:t>Traceability</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Every decision is replayable from immutable inputs, rule/source versions, approvals, partner responses and custody events.</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b/>
                <w:color w:val="24313D"/>
                <w:sz w:val="16"/>
              </w:rPr>
              <w:t>P-08</w:t>
            </w:r>
          </w:p>
        </w:tc>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6"/>
              </w:rPr>
              <w:t>Tenant isolation</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Data, credentials, rates, rules, documents, keys and logs remain tenant-scoped.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b/>
                <w:color w:val="24313D"/>
                <w:sz w:val="16"/>
              </w:rPr>
              <w:t>P-09</w:t>
            </w:r>
          </w:p>
        </w:tc>
        <w:tc>
          <w:tcPr>
            <w:tcW w:type="dxa" w:w="2088"/>
            <w:tcMar>
              <w:top w:w="70" w:type="dxa"/>
              <w:start w:w="90" w:type="dxa"/>
              <w:bottom w:w="70" w:type="dxa"/>
              <w:end w:w="90" w:type="dxa"/>
            </w:tcMar>
            <w:vAlign w:val="top"/>
          </w:tcPr>
          <w:p>
            <w:pPr>
              <w:spacing w:before="0" w:after="0" w:line="240" w:lineRule="auto"/>
            </w:pPr>
            <w:r>
              <w:rPr>
                <w:rFonts w:ascii="Aptos" w:hAnsi="Aptos"/>
                <w:color w:val="24313D"/>
                <w:sz w:val="16"/>
              </w:rPr>
              <w:t>Regional control</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Tenant-selected hosting governs data placement while necessary cross-border delivery and regulatory disclosures remain transparent.</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b/>
                <w:color w:val="24313D"/>
                <w:sz w:val="16"/>
              </w:rPr>
              <w:t>P-10</w:t>
            </w:r>
          </w:p>
        </w:tc>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6"/>
              </w:rPr>
              <w:t>No false legal role</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The system never implies the 3PL or SaaS performed a licensed activity it did not perform.</w:t>
            </w:r>
          </w:p>
        </w:tc>
      </w:tr>
    </w:tbl>
    <w:p>
      <w:pPr>
        <w:pStyle w:val="Heading2"/>
        <w:keepNext/>
      </w:pPr>
      <w:r>
        <w:t>1.3 Baseline scope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800"/>
        <w:gridCol w:w="3528"/>
        <w:gridCol w:w="4176"/>
      </w:tblGrid>
      <w:tr>
        <w:trPr>
          <w:tblHeader w:val="true"/>
        </w:trPr>
        <w:tc>
          <w:tcPr>
            <w:tcW w:type="dxa" w:w="180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Dimension</w:t>
            </w:r>
          </w:p>
        </w:tc>
        <w:tc>
          <w:tcPr>
            <w:tcW w:type="dxa" w:w="352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Included</w:t>
            </w:r>
          </w:p>
        </w:tc>
        <w:tc>
          <w:tcPr>
            <w:tcW w:type="dxa" w:w="417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Qualification</w:t>
            </w:r>
          </w:p>
        </w:tc>
      </w:tr>
      <w:tr>
        <w:trPr>
          <w:cantSplit/>
        </w:trPr>
        <w:tc>
          <w:tcPr>
            <w:tcW w:type="dxa" w:w="1800"/>
            <w:tcMar>
              <w:top w:w="70" w:type="dxa"/>
              <w:start w:w="90" w:type="dxa"/>
              <w:bottom w:w="70" w:type="dxa"/>
              <w:end w:w="90" w:type="dxa"/>
            </w:tcMar>
            <w:vAlign w:val="top"/>
          </w:tcPr>
          <w:p>
            <w:pPr>
              <w:spacing w:before="0" w:after="0" w:line="240" w:lineRule="auto"/>
            </w:pPr>
            <w:r>
              <w:rPr>
                <w:rFonts w:ascii="Aptos" w:hAnsi="Aptos"/>
                <w:b/>
                <w:color w:val="24313D"/>
                <w:sz w:val="16"/>
              </w:rPr>
              <w:t>Transport</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Parcel/express; postal packets; air freight</w:t>
            </w:r>
          </w:p>
        </w:tc>
        <w:tc>
          <w:tcPr>
            <w:tcW w:type="dxa" w:w="4176"/>
            <w:tcMar>
              <w:top w:w="70" w:type="dxa"/>
              <w:start w:w="90" w:type="dxa"/>
              <w:bottom w:w="70" w:type="dxa"/>
              <w:end w:w="90" w:type="dxa"/>
            </w:tcMar>
            <w:vAlign w:val="top"/>
          </w:tcPr>
          <w:p>
            <w:pPr>
              <w:spacing w:before="0" w:after="0" w:line="240" w:lineRule="auto"/>
            </w:pPr>
            <w:r>
              <w:rPr>
                <w:rFonts w:ascii="Aptos" w:hAnsi="Aptos"/>
                <w:color w:val="24313D"/>
                <w:sz w:val="16"/>
              </w:rPr>
              <w:t>Road/rail/ocean may appear as carrier legs but are not separately sold modes in this release</w:t>
            </w:r>
          </w:p>
        </w:tc>
      </w:tr>
      <w:tr>
        <w:trPr>
          <w:cantSplit/>
        </w:trPr>
        <w:tc>
          <w:tcPr>
            <w:tcW w:type="dxa" w:w="1800"/>
            <w:tcMar>
              <w:top w:w="70" w:type="dxa"/>
              <w:start w:w="90" w:type="dxa"/>
              <w:bottom w:w="70" w:type="dxa"/>
              <w:end w:w="90" w:type="dxa"/>
            </w:tcMar>
            <w:vAlign w:val="top"/>
            <w:shd w:fill="F5F7F8"/>
          </w:tcPr>
          <w:p>
            <w:pPr>
              <w:spacing w:before="0" w:after="0" w:line="240" w:lineRule="auto"/>
            </w:pPr>
            <w:r>
              <w:rPr>
                <w:rFonts w:ascii="Aptos" w:hAnsi="Aptos"/>
                <w:b/>
                <w:color w:val="24313D"/>
                <w:sz w:val="16"/>
              </w:rPr>
              <w:t>Origins/destinations</w:t>
            </w:r>
          </w:p>
        </w:tc>
        <w:tc>
          <w:tcPr>
            <w:tcW w:type="dxa" w:w="3528"/>
            <w:tcMar>
              <w:top w:w="70" w:type="dxa"/>
              <w:start w:w="90" w:type="dxa"/>
              <w:bottom w:w="70" w:type="dxa"/>
              <w:end w:w="90" w:type="dxa"/>
            </w:tcMar>
            <w:vAlign w:val="top"/>
            <w:shd w:fill="F5F7F8"/>
          </w:tcPr>
          <w:p>
            <w:pPr>
              <w:spacing w:before="0" w:after="0" w:line="240" w:lineRule="auto"/>
            </w:pPr>
            <w:r>
              <w:rPr>
                <w:rFonts w:ascii="Aptos" w:hAnsi="Aptos"/>
                <w:color w:val="24313D"/>
                <w:sz w:val="16"/>
              </w:rPr>
              <w:t>All ISO countries and territories plus provider-required operational overrides</w:t>
            </w:r>
          </w:p>
        </w:tc>
        <w:tc>
          <w:tcPr>
            <w:tcW w:type="dxa" w:w="4176"/>
            <w:tcMar>
              <w:top w:w="70" w:type="dxa"/>
              <w:start w:w="90" w:type="dxa"/>
              <w:bottom w:w="70" w:type="dxa"/>
              <w:end w:w="90" w:type="dxa"/>
            </w:tcMar>
            <w:vAlign w:val="top"/>
            <w:shd w:fill="F5F7F8"/>
          </w:tcPr>
          <w:p>
            <w:pPr>
              <w:spacing w:before="0" w:after="0" w:line="240" w:lineRule="auto"/>
            </w:pPr>
            <w:r>
              <w:rPr>
                <w:rFonts w:ascii="Aptos" w:hAnsi="Aptos"/>
                <w:color w:val="24313D"/>
                <w:sz w:val="16"/>
              </w:rPr>
              <w:t>Capability remains blocked until the corresponding pack is approved</w:t>
            </w:r>
          </w:p>
        </w:tc>
      </w:tr>
      <w:tr>
        <w:trPr>
          <w:cantSplit/>
        </w:trPr>
        <w:tc>
          <w:tcPr>
            <w:tcW w:type="dxa" w:w="1800"/>
            <w:tcMar>
              <w:top w:w="70" w:type="dxa"/>
              <w:start w:w="90" w:type="dxa"/>
              <w:bottom w:w="70" w:type="dxa"/>
              <w:end w:w="90" w:type="dxa"/>
            </w:tcMar>
            <w:vAlign w:val="top"/>
          </w:tcPr>
          <w:p>
            <w:pPr>
              <w:spacing w:before="0" w:after="0" w:line="240" w:lineRule="auto"/>
            </w:pPr>
            <w:r>
              <w:rPr>
                <w:rFonts w:ascii="Aptos" w:hAnsi="Aptos"/>
                <w:b/>
                <w:color w:val="24313D"/>
                <w:sz w:val="16"/>
              </w:rPr>
              <w:t>Tenant role</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Warehouse and fulfilment operator</w:t>
            </w:r>
          </w:p>
        </w:tc>
        <w:tc>
          <w:tcPr>
            <w:tcW w:type="dxa" w:w="4176"/>
            <w:tcMar>
              <w:top w:w="70" w:type="dxa"/>
              <w:start w:w="90" w:type="dxa"/>
              <w:bottom w:w="70" w:type="dxa"/>
              <w:end w:w="90" w:type="dxa"/>
            </w:tcMar>
            <w:vAlign w:val="top"/>
          </w:tcPr>
          <w:p>
            <w:pPr>
              <w:spacing w:before="0" w:after="0" w:line="240" w:lineRule="auto"/>
            </w:pPr>
            <w:r>
              <w:rPr>
                <w:rFonts w:ascii="Aptos" w:hAnsi="Aptos"/>
                <w:color w:val="24313D"/>
                <w:sz w:val="16"/>
              </w:rPr>
              <w:t>Other roles need separate licensing, contracts, product scope and legal approval</w:t>
            </w:r>
          </w:p>
        </w:tc>
      </w:tr>
      <w:tr>
        <w:trPr>
          <w:cantSplit/>
        </w:trPr>
        <w:tc>
          <w:tcPr>
            <w:tcW w:type="dxa" w:w="1800"/>
            <w:tcMar>
              <w:top w:w="70" w:type="dxa"/>
              <w:start w:w="90" w:type="dxa"/>
              <w:bottom w:w="70" w:type="dxa"/>
              <w:end w:w="90" w:type="dxa"/>
            </w:tcMar>
            <w:vAlign w:val="top"/>
            <w:shd w:fill="F5F7F8"/>
          </w:tcPr>
          <w:p>
            <w:pPr>
              <w:spacing w:before="0" w:after="0" w:line="240" w:lineRule="auto"/>
            </w:pPr>
            <w:r>
              <w:rPr>
                <w:rFonts w:ascii="Aptos" w:hAnsi="Aptos"/>
                <w:b/>
                <w:color w:val="24313D"/>
                <w:sz w:val="16"/>
              </w:rPr>
              <w:t>Government filings</w:t>
            </w:r>
          </w:p>
        </w:tc>
        <w:tc>
          <w:tcPr>
            <w:tcW w:type="dxa" w:w="3528"/>
            <w:tcMar>
              <w:top w:w="70" w:type="dxa"/>
              <w:start w:w="90" w:type="dxa"/>
              <w:bottom w:w="70" w:type="dxa"/>
              <w:end w:w="90" w:type="dxa"/>
            </w:tcMar>
            <w:vAlign w:val="top"/>
            <w:shd w:fill="F5F7F8"/>
          </w:tcPr>
          <w:p>
            <w:pPr>
              <w:spacing w:before="0" w:after="0" w:line="240" w:lineRule="auto"/>
            </w:pPr>
            <w:r>
              <w:rPr>
                <w:rFonts w:ascii="Aptos" w:hAnsi="Aptos"/>
                <w:color w:val="24313D"/>
                <w:sz w:val="16"/>
              </w:rPr>
              <w:t>Carrier/postal/approved-partner API only</w:t>
            </w:r>
          </w:p>
        </w:tc>
        <w:tc>
          <w:tcPr>
            <w:tcW w:type="dxa" w:w="4176"/>
            <w:tcMar>
              <w:top w:w="70" w:type="dxa"/>
              <w:start w:w="90" w:type="dxa"/>
              <w:bottom w:w="70" w:type="dxa"/>
              <w:end w:w="90" w:type="dxa"/>
            </w:tcMar>
            <w:vAlign w:val="top"/>
            <w:shd w:fill="F5F7F8"/>
          </w:tcPr>
          <w:p>
            <w:pPr>
              <w:spacing w:before="0" w:after="0" w:line="240" w:lineRule="auto"/>
            </w:pPr>
            <w:r>
              <w:rPr>
                <w:rFonts w:ascii="Aptos" w:hAnsi="Aptos"/>
                <w:color w:val="24313D"/>
                <w:sz w:val="16"/>
              </w:rPr>
              <w:t>No direct customs or authority integration in this release</w:t>
            </w:r>
          </w:p>
        </w:tc>
      </w:tr>
      <w:tr>
        <w:trPr>
          <w:cantSplit/>
        </w:trPr>
        <w:tc>
          <w:tcPr>
            <w:tcW w:type="dxa" w:w="1800"/>
            <w:tcMar>
              <w:top w:w="70" w:type="dxa"/>
              <w:start w:w="90" w:type="dxa"/>
              <w:bottom w:w="70" w:type="dxa"/>
              <w:end w:w="90" w:type="dxa"/>
            </w:tcMar>
            <w:vAlign w:val="top"/>
          </w:tcPr>
          <w:p>
            <w:pPr>
              <w:spacing w:before="0" w:after="0" w:line="240" w:lineRule="auto"/>
            </w:pPr>
            <w:r>
              <w:rPr>
                <w:rFonts w:ascii="Aptos" w:hAnsi="Aptos"/>
                <w:b/>
                <w:color w:val="24313D"/>
                <w:sz w:val="16"/>
              </w:rPr>
              <w:t>Carrier families</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DHL, UPS, FedEx, postal operators, air/forwarder platforms, regional carriers/aggregators</w:t>
            </w:r>
          </w:p>
        </w:tc>
        <w:tc>
          <w:tcPr>
            <w:tcW w:type="dxa" w:w="4176"/>
            <w:tcMar>
              <w:top w:w="70" w:type="dxa"/>
              <w:start w:w="90" w:type="dxa"/>
              <w:bottom w:w="70" w:type="dxa"/>
              <w:end w:w="90" w:type="dxa"/>
            </w:tcMar>
            <w:vAlign w:val="top"/>
          </w:tcPr>
          <w:p>
            <w:pPr>
              <w:spacing w:before="0" w:after="0" w:line="240" w:lineRule="auto"/>
            </w:pPr>
            <w:r>
              <w:rPr>
                <w:rFonts w:ascii="Aptos" w:hAnsi="Aptos"/>
                <w:color w:val="24313D"/>
                <w:sz w:val="16"/>
              </w:rPr>
              <w:t>All use a vendor-neutral canonical adapter contract</w:t>
            </w:r>
          </w:p>
        </w:tc>
      </w:tr>
      <w:tr>
        <w:trPr>
          <w:cantSplit/>
        </w:trPr>
        <w:tc>
          <w:tcPr>
            <w:tcW w:type="dxa" w:w="1800"/>
            <w:tcMar>
              <w:top w:w="70" w:type="dxa"/>
              <w:start w:w="90" w:type="dxa"/>
              <w:bottom w:w="70" w:type="dxa"/>
              <w:end w:w="90" w:type="dxa"/>
            </w:tcMar>
            <w:vAlign w:val="top"/>
            <w:shd w:fill="F5F7F8"/>
          </w:tcPr>
          <w:p>
            <w:pPr>
              <w:spacing w:before="0" w:after="0" w:line="240" w:lineRule="auto"/>
            </w:pPr>
            <w:r>
              <w:rPr>
                <w:rFonts w:ascii="Aptos" w:hAnsi="Aptos"/>
                <w:b/>
                <w:color w:val="24313D"/>
                <w:sz w:val="16"/>
              </w:rPr>
              <w:t>Hosting</w:t>
            </w:r>
          </w:p>
        </w:tc>
        <w:tc>
          <w:tcPr>
            <w:tcW w:type="dxa" w:w="3528"/>
            <w:tcMar>
              <w:top w:w="70" w:type="dxa"/>
              <w:start w:w="90" w:type="dxa"/>
              <w:bottom w:w="70" w:type="dxa"/>
              <w:end w:w="90" w:type="dxa"/>
            </w:tcMar>
            <w:vAlign w:val="top"/>
            <w:shd w:fill="F5F7F8"/>
          </w:tcPr>
          <w:p>
            <w:pPr>
              <w:spacing w:before="0" w:after="0" w:line="240" w:lineRule="auto"/>
            </w:pPr>
            <w:r>
              <w:rPr>
                <w:rFonts w:ascii="Aptos" w:hAnsi="Aptos"/>
                <w:color w:val="24313D"/>
                <w:sz w:val="16"/>
              </w:rPr>
              <w:t>Tenant-selected approved region</w:t>
            </w:r>
          </w:p>
        </w:tc>
        <w:tc>
          <w:tcPr>
            <w:tcW w:type="dxa" w:w="4176"/>
            <w:tcMar>
              <w:top w:w="70" w:type="dxa"/>
              <w:start w:w="90" w:type="dxa"/>
              <w:bottom w:w="70" w:type="dxa"/>
              <w:end w:w="90" w:type="dxa"/>
            </w:tcMar>
            <w:vAlign w:val="top"/>
            <w:shd w:fill="F5F7F8"/>
          </w:tcPr>
          <w:p>
            <w:pPr>
              <w:spacing w:before="0" w:after="0" w:line="240" w:lineRule="auto"/>
            </w:pPr>
            <w:r>
              <w:rPr>
                <w:rFonts w:ascii="Aptos" w:hAnsi="Aptos"/>
                <w:color w:val="24313D"/>
                <w:sz w:val="16"/>
              </w:rPr>
              <w:t>Does not prevent legally necessary cross-border carrier/authority disclosures</w:t>
            </w:r>
          </w:p>
        </w:tc>
      </w:tr>
      <w:tr>
        <w:trPr>
          <w:cantSplit/>
        </w:trPr>
        <w:tc>
          <w:tcPr>
            <w:tcW w:type="dxa" w:w="1800"/>
            <w:tcMar>
              <w:top w:w="70" w:type="dxa"/>
              <w:start w:w="90" w:type="dxa"/>
              <w:bottom w:w="70" w:type="dxa"/>
              <w:end w:w="90" w:type="dxa"/>
            </w:tcMar>
            <w:vAlign w:val="top"/>
          </w:tcPr>
          <w:p>
            <w:pPr>
              <w:spacing w:before="0" w:after="0" w:line="240" w:lineRule="auto"/>
            </w:pPr>
            <w:r>
              <w:rPr>
                <w:rFonts w:ascii="Aptos" w:hAnsi="Aptos"/>
                <w:b/>
                <w:color w:val="24313D"/>
                <w:sz w:val="16"/>
              </w:rPr>
              <w:t>Commodities</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All listed approved families</w:t>
            </w:r>
          </w:p>
        </w:tc>
        <w:tc>
          <w:tcPr>
            <w:tcW w:type="dxa" w:w="4176"/>
            <w:tcMar>
              <w:top w:w="70" w:type="dxa"/>
              <w:start w:w="90" w:type="dxa"/>
              <w:bottom w:w="70" w:type="dxa"/>
              <w:end w:w="90" w:type="dxa"/>
            </w:tcMar>
            <w:vAlign w:val="top"/>
          </w:tcPr>
          <w:p>
            <w:pPr>
              <w:spacing w:before="0" w:after="0" w:line="240" w:lineRule="auto"/>
            </w:pPr>
            <w:r>
              <w:rPr>
                <w:rFonts w:ascii="Aptos" w:hAnsi="Aptos"/>
                <w:color w:val="24313D"/>
                <w:sz w:val="16"/>
              </w:rPr>
              <w:t>Default deny at tenant/site/lane/service level; specialist controls apply</w:t>
            </w:r>
          </w:p>
        </w:tc>
      </w:tr>
    </w:tbl>
    <w:p>
      <w:pPr>
        <w:pStyle w:val="Heading2"/>
        <w:keepNext/>
      </w:pPr>
      <w:r>
        <w:t>1.4 Explicit exclusions and separate products</w:t>
      </w:r>
    </w:p>
    <w:p>
      <w:pPr>
        <w:pStyle w:val="ListBullet"/>
        <w:spacing w:before="0" w:after="40" w:line="254" w:lineRule="auto"/>
        <w:ind w:left="259" w:hanging="173"/>
      </w:pPr>
      <w:r>
        <w:t>Direct filing to customs, tax, food/drug, export-control, excise or other government systems.</w:t>
      </w:r>
    </w:p>
    <w:p>
      <w:pPr>
        <w:pStyle w:val="ListBullet"/>
        <w:spacing w:before="0" w:after="40" w:line="254" w:lineRule="auto"/>
        <w:ind w:left="259" w:hanging="173"/>
      </w:pPr>
      <w:r>
        <w:t>A general customs brokerage, freight-forwarding, NVOCC, postal-operator or air-carrier operating platform.</w:t>
      </w:r>
    </w:p>
    <w:p>
      <w:pPr>
        <w:pStyle w:val="ListBullet"/>
        <w:spacing w:before="0" w:after="40" w:line="254" w:lineRule="auto"/>
        <w:ind w:left="259" w:hanging="173"/>
      </w:pPr>
      <w:r>
        <w:t>Passenger baggage, live animals, infectious substances, human remains, organs/tissues, standalone plant/seed trade and ocean/road/rail freight as independent modes unless separately scoped. Finished goods must still screen for CITES or other controlled materials.</w:t>
      </w:r>
    </w:p>
    <w:p>
      <w:pPr>
        <w:pStyle w:val="ListBullet"/>
        <w:spacing w:before="0" w:after="40" w:line="254" w:lineRule="auto"/>
        <w:ind w:left="259" w:hanging="173"/>
      </w:pPr>
      <w:r>
        <w:t>Automatic legal advice, automatic sanctions-match clearance, automatic export-licence determination without qualified oversight, or automatic DG certification.</w:t>
      </w:r>
    </w:p>
    <w:p>
      <w:pPr>
        <w:pStyle w:val="ListBullet"/>
        <w:spacing w:before="0" w:after="40" w:line="254" w:lineRule="auto"/>
        <w:ind w:left="259" w:hanging="173"/>
      </w:pPr>
      <w:r>
        <w:t>Unsupported cryptocurrency/payment compliance, marketplace tax-remittance accounting and full ERP/WMS replacement; integrate through defined APIs.</w:t>
      </w:r>
    </w:p>
    <w:p>
      <w:r>
        <w:br w:type="page"/>
      </w:r>
    </w:p>
    <w:p>
      <w:pPr>
        <w:pStyle w:val="Heading1"/>
        <w:keepNext/>
      </w:pPr>
      <w:r>
        <w:t>2. Roles, responsibilities and approvals</w:t>
      </w:r>
    </w:p>
    <w:p>
      <w:pPr>
        <w:pStyle w:val="Heading2"/>
        <w:keepNext/>
      </w:pPr>
      <w:r>
        <w:t>2.1 Canonical legal and operational roles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376"/>
        <w:gridCol w:w="4464"/>
        <w:gridCol w:w="2664"/>
      </w:tblGrid>
      <w:tr>
        <w:trPr>
          <w:tblHeader w:val="true"/>
        </w:trPr>
        <w:tc>
          <w:tcPr>
            <w:tcW w:type="dxa" w:w="237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Role</w:t>
            </w:r>
          </w:p>
        </w:tc>
        <w:tc>
          <w:tcPr>
            <w:tcW w:type="dxa" w:w="446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Minimum system responsibility</w:t>
            </w:r>
          </w:p>
        </w:tc>
        <w:tc>
          <w:tcPr>
            <w:tcW w:type="dxa" w:w="266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May approve / perform</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SaaS provider</w:t>
            </w:r>
          </w:p>
        </w:tc>
        <w:tc>
          <w:tcPr>
            <w:tcW w:type="dxa" w:w="4464"/>
            <w:tcMar>
              <w:top w:w="70" w:type="dxa"/>
              <w:start w:w="90" w:type="dxa"/>
              <w:bottom w:w="70" w:type="dxa"/>
              <w:end w:w="90" w:type="dxa"/>
            </w:tcMar>
            <w:vAlign w:val="top"/>
          </w:tcPr>
          <w:p>
            <w:pPr>
              <w:spacing w:before="0" w:after="0" w:line="240" w:lineRule="auto"/>
            </w:pPr>
            <w:r>
              <w:rPr>
                <w:rFonts w:ascii="Aptos" w:hAnsi="Aptos"/>
                <w:color w:val="24313D"/>
                <w:sz w:val="16"/>
              </w:rPr>
              <w:t>Operate platform, protect data, maintain core/global rules and adapters</w:t>
            </w:r>
          </w:p>
        </w:tc>
        <w:tc>
          <w:tcPr>
            <w:tcW w:type="dxa" w:w="2664"/>
            <w:tcMar>
              <w:top w:w="70" w:type="dxa"/>
              <w:start w:w="90" w:type="dxa"/>
              <w:bottom w:w="70" w:type="dxa"/>
              <w:end w:w="90" w:type="dxa"/>
            </w:tcMar>
            <w:vAlign w:val="top"/>
          </w:tcPr>
          <w:p>
            <w:pPr>
              <w:spacing w:before="0" w:after="0" w:line="240" w:lineRule="auto"/>
            </w:pPr>
            <w:r>
              <w:rPr>
                <w:rFonts w:ascii="Aptos" w:hAnsi="Aptos"/>
                <w:color w:val="24313D"/>
                <w:sz w:val="16"/>
              </w:rPr>
              <w:t>Platform releases, source-feed health, security controls; not shipment legal approval</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Tenant 3PL warehouse operator</w:t>
            </w:r>
          </w:p>
        </w:tc>
        <w:tc>
          <w:tcPr>
            <w:tcW w:type="dxa" w:w="4464"/>
            <w:tcMar>
              <w:top w:w="70" w:type="dxa"/>
              <w:start w:w="90" w:type="dxa"/>
              <w:bottom w:w="70" w:type="dxa"/>
              <w:end w:w="90" w:type="dxa"/>
            </w:tcMar>
            <w:vAlign w:val="top"/>
            <w:shd w:fill="F5F7F8"/>
          </w:tcPr>
          <w:p>
            <w:pPr>
              <w:spacing w:before="0" w:after="0" w:line="240" w:lineRule="auto"/>
            </w:pPr>
            <w:r>
              <w:rPr>
                <w:rFonts w:ascii="Aptos" w:hAnsi="Aptos"/>
                <w:color w:val="24313D"/>
                <w:sz w:val="16"/>
              </w:rPr>
              <w:t>Receive, store, pick, pack, document, hold/release and tender under customer authority</w:t>
            </w:r>
          </w:p>
        </w:tc>
        <w:tc>
          <w:tcPr>
            <w:tcW w:type="dxa" w:w="2664"/>
            <w:tcMar>
              <w:top w:w="70" w:type="dxa"/>
              <w:start w:w="90" w:type="dxa"/>
              <w:bottom w:w="70" w:type="dxa"/>
              <w:end w:w="90" w:type="dxa"/>
            </w:tcMar>
            <w:vAlign w:val="top"/>
            <w:shd w:fill="F5F7F8"/>
          </w:tcPr>
          <w:p>
            <w:pPr>
              <w:spacing w:before="0" w:after="0" w:line="240" w:lineRule="auto"/>
            </w:pPr>
            <w:r>
              <w:rPr>
                <w:rFonts w:ascii="Aptos" w:hAnsi="Aptos"/>
                <w:color w:val="24313D"/>
                <w:sz w:val="16"/>
              </w:rPr>
              <w:t>Site/tenant permissions and warehouse release within licensed scope</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Customer / shipper / consignor</w:t>
            </w:r>
          </w:p>
        </w:tc>
        <w:tc>
          <w:tcPr>
            <w:tcW w:type="dxa" w:w="4464"/>
            <w:tcMar>
              <w:top w:w="70" w:type="dxa"/>
              <w:start w:w="90" w:type="dxa"/>
              <w:bottom w:w="70" w:type="dxa"/>
              <w:end w:w="90" w:type="dxa"/>
            </w:tcMar>
            <w:vAlign w:val="top"/>
          </w:tcPr>
          <w:p>
            <w:pPr>
              <w:spacing w:before="0" w:after="0" w:line="240" w:lineRule="auto"/>
            </w:pPr>
            <w:r>
              <w:rPr>
                <w:rFonts w:ascii="Aptos" w:hAnsi="Aptos"/>
                <w:color w:val="24313D"/>
                <w:sz w:val="16"/>
              </w:rPr>
              <w:t>Provide truthful product, party, value, origin, end-use and authorization data</w:t>
            </w:r>
          </w:p>
        </w:tc>
        <w:tc>
          <w:tcPr>
            <w:tcW w:type="dxa" w:w="2664"/>
            <w:tcMar>
              <w:top w:w="70" w:type="dxa"/>
              <w:start w:w="90" w:type="dxa"/>
              <w:bottom w:w="70" w:type="dxa"/>
              <w:end w:w="90" w:type="dxa"/>
            </w:tcMar>
            <w:vAlign w:val="top"/>
          </w:tcPr>
          <w:p>
            <w:pPr>
              <w:spacing w:before="0" w:after="0" w:line="240" w:lineRule="auto"/>
            </w:pPr>
            <w:r>
              <w:rPr>
                <w:rFonts w:ascii="Aptos" w:hAnsi="Aptos"/>
                <w:color w:val="24313D"/>
                <w:sz w:val="16"/>
              </w:rPr>
              <w:t>Commercial declarations and shipper certifications as legally applicable</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Importer / IOR</w:t>
            </w:r>
          </w:p>
        </w:tc>
        <w:tc>
          <w:tcPr>
            <w:tcW w:type="dxa" w:w="4464"/>
            <w:tcMar>
              <w:top w:w="70" w:type="dxa"/>
              <w:start w:w="90" w:type="dxa"/>
              <w:bottom w:w="70" w:type="dxa"/>
              <w:end w:w="90" w:type="dxa"/>
            </w:tcMar>
            <w:vAlign w:val="top"/>
            <w:shd w:fill="F5F7F8"/>
          </w:tcPr>
          <w:p>
            <w:pPr>
              <w:spacing w:before="0" w:after="0" w:line="240" w:lineRule="auto"/>
            </w:pPr>
            <w:r>
              <w:rPr>
                <w:rFonts w:ascii="Aptos" w:hAnsi="Aptos"/>
                <w:color w:val="24313D"/>
                <w:sz w:val="16"/>
              </w:rPr>
              <w:t>Assume destination import role where eligible</w:t>
            </w:r>
          </w:p>
        </w:tc>
        <w:tc>
          <w:tcPr>
            <w:tcW w:type="dxa" w:w="2664"/>
            <w:tcMar>
              <w:top w:w="70" w:type="dxa"/>
              <w:start w:w="90" w:type="dxa"/>
              <w:bottom w:w="70" w:type="dxa"/>
              <w:end w:w="90" w:type="dxa"/>
            </w:tcMar>
            <w:vAlign w:val="top"/>
            <w:shd w:fill="F5F7F8"/>
          </w:tcPr>
          <w:p>
            <w:pPr>
              <w:spacing w:before="0" w:after="0" w:line="240" w:lineRule="auto"/>
            </w:pPr>
            <w:r>
              <w:rPr>
                <w:rFonts w:ascii="Aptos" w:hAnsi="Aptos"/>
                <w:color w:val="24313D"/>
                <w:sz w:val="16"/>
              </w:rPr>
              <w:t>Import authorization, taxes/duties and agency requirements</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Exporter / EOR</w:t>
            </w:r>
          </w:p>
        </w:tc>
        <w:tc>
          <w:tcPr>
            <w:tcW w:type="dxa" w:w="4464"/>
            <w:tcMar>
              <w:top w:w="70" w:type="dxa"/>
              <w:start w:w="90" w:type="dxa"/>
              <w:bottom w:w="70" w:type="dxa"/>
              <w:end w:w="90" w:type="dxa"/>
            </w:tcMar>
            <w:vAlign w:val="top"/>
          </w:tcPr>
          <w:p>
            <w:pPr>
              <w:spacing w:before="0" w:after="0" w:line="240" w:lineRule="auto"/>
            </w:pPr>
            <w:r>
              <w:rPr>
                <w:rFonts w:ascii="Aptos" w:hAnsi="Aptos"/>
                <w:color w:val="24313D"/>
                <w:sz w:val="16"/>
              </w:rPr>
              <w:t>Assume origin export role where eligible</w:t>
            </w:r>
          </w:p>
        </w:tc>
        <w:tc>
          <w:tcPr>
            <w:tcW w:type="dxa" w:w="2664"/>
            <w:tcMar>
              <w:top w:w="70" w:type="dxa"/>
              <w:start w:w="90" w:type="dxa"/>
              <w:bottom w:w="70" w:type="dxa"/>
              <w:end w:w="90" w:type="dxa"/>
            </w:tcMar>
            <w:vAlign w:val="top"/>
          </w:tcPr>
          <w:p>
            <w:pPr>
              <w:spacing w:before="0" w:after="0" w:line="240" w:lineRule="auto"/>
            </w:pPr>
            <w:r>
              <w:rPr>
                <w:rFonts w:ascii="Aptos" w:hAnsi="Aptos"/>
                <w:color w:val="24313D"/>
                <w:sz w:val="16"/>
              </w:rPr>
              <w:t>Export authorization and licence use</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Carrier / postal operator</w:t>
            </w:r>
          </w:p>
        </w:tc>
        <w:tc>
          <w:tcPr>
            <w:tcW w:type="dxa" w:w="4464"/>
            <w:tcMar>
              <w:top w:w="70" w:type="dxa"/>
              <w:start w:w="90" w:type="dxa"/>
              <w:bottom w:w="70" w:type="dxa"/>
              <w:end w:w="90" w:type="dxa"/>
            </w:tcMar>
            <w:vAlign w:val="top"/>
            <w:shd w:fill="F5F7F8"/>
          </w:tcPr>
          <w:p>
            <w:pPr>
              <w:spacing w:before="0" w:after="0" w:line="240" w:lineRule="auto"/>
            </w:pPr>
            <w:r>
              <w:rPr>
                <w:rFonts w:ascii="Aptos" w:hAnsi="Aptos"/>
                <w:color w:val="24313D"/>
                <w:sz w:val="16"/>
              </w:rPr>
              <w:t>Provide service, accept goods/data, file or relay declarations, transport and return status</w:t>
            </w:r>
          </w:p>
        </w:tc>
        <w:tc>
          <w:tcPr>
            <w:tcW w:type="dxa" w:w="2664"/>
            <w:tcMar>
              <w:top w:w="70" w:type="dxa"/>
              <w:start w:w="90" w:type="dxa"/>
              <w:bottom w:w="70" w:type="dxa"/>
              <w:end w:w="90" w:type="dxa"/>
            </w:tcMar>
            <w:vAlign w:val="top"/>
            <w:shd w:fill="F5F7F8"/>
          </w:tcPr>
          <w:p>
            <w:pPr>
              <w:spacing w:before="0" w:after="0" w:line="240" w:lineRule="auto"/>
            </w:pPr>
            <w:r>
              <w:rPr>
                <w:rFonts w:ascii="Aptos" w:hAnsi="Aptos"/>
                <w:color w:val="24313D"/>
                <w:sz w:val="16"/>
              </w:rPr>
              <w:t>Service/DG acceptance, filing response, pickup and custody</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Air carrier / forwarder platform</w:t>
            </w:r>
          </w:p>
        </w:tc>
        <w:tc>
          <w:tcPr>
            <w:tcW w:type="dxa" w:w="4464"/>
            <w:tcMar>
              <w:top w:w="70" w:type="dxa"/>
              <w:start w:w="90" w:type="dxa"/>
              <w:bottom w:w="70" w:type="dxa"/>
              <w:end w:w="90" w:type="dxa"/>
            </w:tcMar>
            <w:vAlign w:val="top"/>
          </w:tcPr>
          <w:p>
            <w:pPr>
              <w:spacing w:before="0" w:after="0" w:line="240" w:lineRule="auto"/>
            </w:pPr>
            <w:r>
              <w:rPr>
                <w:rFonts w:ascii="Aptos" w:hAnsi="Aptos"/>
                <w:color w:val="24313D"/>
                <w:sz w:val="16"/>
              </w:rPr>
              <w:t>Book air cargo, allocate AWB, make/relay security filings and accept cargo</w:t>
            </w:r>
          </w:p>
        </w:tc>
        <w:tc>
          <w:tcPr>
            <w:tcW w:type="dxa" w:w="2664"/>
            <w:tcMar>
              <w:top w:w="70" w:type="dxa"/>
              <w:start w:w="90" w:type="dxa"/>
              <w:bottom w:w="70" w:type="dxa"/>
              <w:end w:w="90" w:type="dxa"/>
            </w:tcMar>
            <w:vAlign w:val="top"/>
          </w:tcPr>
          <w:p>
            <w:pPr>
              <w:spacing w:before="0" w:after="0" w:line="240" w:lineRule="auto"/>
            </w:pPr>
            <w:r>
              <w:rPr>
                <w:rFonts w:ascii="Aptos" w:hAnsi="Aptos"/>
                <w:color w:val="24313D"/>
                <w:sz w:val="16"/>
              </w:rPr>
              <w:t>Booking, PLACI status, e-AWB/e-DGD acceptance where supported</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Customs broker / approved filer</w:t>
            </w:r>
          </w:p>
        </w:tc>
        <w:tc>
          <w:tcPr>
            <w:tcW w:type="dxa" w:w="4464"/>
            <w:tcMar>
              <w:top w:w="70" w:type="dxa"/>
              <w:start w:w="90" w:type="dxa"/>
              <w:bottom w:w="70" w:type="dxa"/>
              <w:end w:w="90" w:type="dxa"/>
            </w:tcMar>
            <w:vAlign w:val="top"/>
            <w:shd w:fill="F5F7F8"/>
          </w:tcPr>
          <w:p>
            <w:pPr>
              <w:spacing w:before="0" w:after="0" w:line="240" w:lineRule="auto"/>
            </w:pPr>
            <w:r>
              <w:rPr>
                <w:rFonts w:ascii="Aptos" w:hAnsi="Aptos"/>
                <w:color w:val="24313D"/>
                <w:sz w:val="16"/>
              </w:rPr>
              <w:t>Perform licensed declarations through contracted partner route</w:t>
            </w:r>
          </w:p>
        </w:tc>
        <w:tc>
          <w:tcPr>
            <w:tcW w:type="dxa" w:w="2664"/>
            <w:tcMar>
              <w:top w:w="70" w:type="dxa"/>
              <w:start w:w="90" w:type="dxa"/>
              <w:bottom w:w="70" w:type="dxa"/>
              <w:end w:w="90" w:type="dxa"/>
            </w:tcMar>
            <w:vAlign w:val="top"/>
            <w:shd w:fill="F5F7F8"/>
          </w:tcPr>
          <w:p>
            <w:pPr>
              <w:spacing w:before="0" w:after="0" w:line="240" w:lineRule="auto"/>
            </w:pPr>
            <w:r>
              <w:rPr>
                <w:rFonts w:ascii="Aptos" w:hAnsi="Aptos"/>
                <w:color w:val="24313D"/>
                <w:sz w:val="16"/>
              </w:rPr>
              <w:t>External filing and amendment/cancellation decisions</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Certified DG reviewer</w:t>
            </w:r>
          </w:p>
        </w:tc>
        <w:tc>
          <w:tcPr>
            <w:tcW w:type="dxa" w:w="4464"/>
            <w:tcMar>
              <w:top w:w="70" w:type="dxa"/>
              <w:start w:w="90" w:type="dxa"/>
              <w:bottom w:w="70" w:type="dxa"/>
              <w:end w:w="90" w:type="dxa"/>
            </w:tcMar>
            <w:vAlign w:val="top"/>
          </w:tcPr>
          <w:p>
            <w:pPr>
              <w:spacing w:before="0" w:after="0" w:line="240" w:lineRule="auto"/>
            </w:pPr>
            <w:r>
              <w:rPr>
                <w:rFonts w:ascii="Aptos" w:hAnsi="Aptos"/>
                <w:color w:val="24313D"/>
                <w:sz w:val="16"/>
              </w:rPr>
              <w:t>Review classification, packaging, quantities, marks/labels and DGD scope</w:t>
            </w:r>
          </w:p>
        </w:tc>
        <w:tc>
          <w:tcPr>
            <w:tcW w:type="dxa" w:w="2664"/>
            <w:tcMar>
              <w:top w:w="70" w:type="dxa"/>
              <w:start w:w="90" w:type="dxa"/>
              <w:bottom w:w="70" w:type="dxa"/>
              <w:end w:w="90" w:type="dxa"/>
            </w:tcMar>
            <w:vAlign w:val="top"/>
          </w:tcPr>
          <w:p>
            <w:pPr>
              <w:spacing w:before="0" w:after="0" w:line="240" w:lineRule="auto"/>
            </w:pPr>
            <w:r>
              <w:rPr>
                <w:rFonts w:ascii="Aptos" w:hAnsi="Aptos"/>
                <w:color w:val="24313D"/>
                <w:sz w:val="16"/>
              </w:rPr>
              <w:t>Internal DG approval; not carrier acceptance</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Export-control / sanctions reviewer</w:t>
            </w:r>
          </w:p>
        </w:tc>
        <w:tc>
          <w:tcPr>
            <w:tcW w:type="dxa" w:w="4464"/>
            <w:tcMar>
              <w:top w:w="70" w:type="dxa"/>
              <w:start w:w="90" w:type="dxa"/>
              <w:bottom w:w="70" w:type="dxa"/>
              <w:end w:w="90" w:type="dxa"/>
            </w:tcMar>
            <w:vAlign w:val="top"/>
            <w:shd w:fill="F5F7F8"/>
          </w:tcPr>
          <w:p>
            <w:pPr>
              <w:spacing w:before="0" w:after="0" w:line="240" w:lineRule="auto"/>
            </w:pPr>
            <w:r>
              <w:rPr>
                <w:rFonts w:ascii="Aptos" w:hAnsi="Aptos"/>
                <w:color w:val="24313D"/>
                <w:sz w:val="16"/>
              </w:rPr>
              <w:t>Resolve potential matches and controlled-goods decisions within qualification</w:t>
            </w:r>
          </w:p>
        </w:tc>
        <w:tc>
          <w:tcPr>
            <w:tcW w:type="dxa" w:w="2664"/>
            <w:tcMar>
              <w:top w:w="70" w:type="dxa"/>
              <w:start w:w="90" w:type="dxa"/>
              <w:bottom w:w="70" w:type="dxa"/>
              <w:end w:w="90" w:type="dxa"/>
            </w:tcMar>
            <w:vAlign w:val="top"/>
            <w:shd w:fill="F5F7F8"/>
          </w:tcPr>
          <w:p>
            <w:pPr>
              <w:spacing w:before="0" w:after="0" w:line="240" w:lineRule="auto"/>
            </w:pPr>
            <w:r>
              <w:rPr>
                <w:rFonts w:ascii="Aptos" w:hAnsi="Aptos"/>
                <w:color w:val="24313D"/>
                <w:sz w:val="16"/>
              </w:rPr>
              <w:t>Documented disposition; external licence remains authority-controlled</w:t>
            </w:r>
          </w:p>
        </w:tc>
      </w:tr>
      <w:tr>
        <w:trPr>
          <w:cantSplit/>
        </w:trPr>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Quality / regulatory reviewer</w:t>
            </w:r>
          </w:p>
        </w:tc>
        <w:tc>
          <w:tcPr>
            <w:tcW w:type="dxa" w:w="4464"/>
            <w:tcMar>
              <w:top w:w="70" w:type="dxa"/>
              <w:start w:w="90" w:type="dxa"/>
              <w:bottom w:w="70" w:type="dxa"/>
              <w:end w:w="90" w:type="dxa"/>
            </w:tcMar>
            <w:vAlign w:val="top"/>
          </w:tcPr>
          <w:p>
            <w:pPr>
              <w:spacing w:before="0" w:after="0" w:line="240" w:lineRule="auto"/>
            </w:pPr>
            <w:r>
              <w:rPr>
                <w:rFonts w:ascii="Aptos" w:hAnsi="Aptos"/>
                <w:color w:val="24313D"/>
                <w:sz w:val="16"/>
              </w:rPr>
              <w:t>Approve food, cold-chain, pharma and device flow within qualification</w:t>
            </w:r>
          </w:p>
        </w:tc>
        <w:tc>
          <w:tcPr>
            <w:tcW w:type="dxa" w:w="2664"/>
            <w:tcMar>
              <w:top w:w="70" w:type="dxa"/>
              <w:start w:w="90" w:type="dxa"/>
              <w:bottom w:w="70" w:type="dxa"/>
              <w:end w:w="90" w:type="dxa"/>
            </w:tcMar>
            <w:vAlign w:val="top"/>
          </w:tcPr>
          <w:p>
            <w:pPr>
              <w:spacing w:before="0" w:after="0" w:line="240" w:lineRule="auto"/>
            </w:pPr>
            <w:r>
              <w:rPr>
                <w:rFonts w:ascii="Aptos" w:hAnsi="Aptos"/>
                <w:color w:val="24313D"/>
                <w:sz w:val="16"/>
              </w:rPr>
              <w:t>Quality release; authority/carrier approvals remain external</w:t>
            </w:r>
          </w:p>
        </w:tc>
      </w:tr>
      <w:tr>
        <w:trPr>
          <w:cantSplit/>
        </w:trPr>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Country-pack owner</w:t>
            </w:r>
          </w:p>
        </w:tc>
        <w:tc>
          <w:tcPr>
            <w:tcW w:type="dxa" w:w="4464"/>
            <w:tcMar>
              <w:top w:w="70" w:type="dxa"/>
              <w:start w:w="90" w:type="dxa"/>
              <w:bottom w:w="70" w:type="dxa"/>
              <w:end w:w="90" w:type="dxa"/>
            </w:tcMar>
            <w:vAlign w:val="top"/>
            <w:shd w:fill="F5F7F8"/>
          </w:tcPr>
          <w:p>
            <w:pPr>
              <w:spacing w:before="0" w:after="0" w:line="240" w:lineRule="auto"/>
            </w:pPr>
            <w:r>
              <w:rPr>
                <w:rFonts w:ascii="Aptos" w:hAnsi="Aptos"/>
                <w:color w:val="24313D"/>
                <w:sz w:val="16"/>
              </w:rPr>
              <w:t>Maintain national/territorial rule pack and golden-lane tests</w:t>
            </w:r>
          </w:p>
        </w:tc>
        <w:tc>
          <w:tcPr>
            <w:tcW w:type="dxa" w:w="2664"/>
            <w:tcMar>
              <w:top w:w="70" w:type="dxa"/>
              <w:start w:w="90" w:type="dxa"/>
              <w:bottom w:w="70" w:type="dxa"/>
              <w:end w:w="90" w:type="dxa"/>
            </w:tcMar>
            <w:vAlign w:val="top"/>
            <w:shd w:fill="F5F7F8"/>
          </w:tcPr>
          <w:p>
            <w:pPr>
              <w:spacing w:before="0" w:after="0" w:line="240" w:lineRule="auto"/>
            </w:pPr>
            <w:r>
              <w:rPr>
                <w:rFonts w:ascii="Aptos" w:hAnsi="Aptos"/>
                <w:color w:val="24313D"/>
                <w:sz w:val="16"/>
              </w:rPr>
              <w:t>Pack publication with independent legal/compliance approval</w:t>
            </w:r>
          </w:p>
        </w:tc>
      </w:tr>
    </w:tbl>
    <w:p>
      <w:pPr>
        <w:pStyle w:val="Heading2"/>
        <w:keepNext/>
      </w:pPr>
      <w:r>
        <w:t>2.2 Approval invariants</w:t>
      </w:r>
    </w:p>
    <w:p>
      <w:pPr>
        <w:pStyle w:val="ListBullet"/>
        <w:spacing w:before="0" w:after="40" w:line="254" w:lineRule="auto"/>
        <w:ind w:left="259" w:hanging="173"/>
      </w:pPr>
      <w:r>
        <w:t>Creator and final approver must be different for high-risk rules, classifications, sanctions dispositions, DG approvals and shipment releases.</w:t>
      </w:r>
    </w:p>
    <w:p>
      <w:pPr>
        <w:pStyle w:val="ListBullet"/>
        <w:spacing w:before="0" w:after="40" w:line="254" w:lineRule="auto"/>
        <w:ind w:left="259" w:hanging="173"/>
      </w:pPr>
      <w:r>
        <w:t>Reviewer credentials include issuer, number, scope, mode, classes/commodities, jurisdictions, issue/expiry dates and suspension state.</w:t>
      </w:r>
    </w:p>
    <w:p>
      <w:pPr>
        <w:pStyle w:val="ListBullet"/>
        <w:spacing w:before="0" w:after="40" w:line="254" w:lineRule="auto"/>
        <w:ind w:left="259" w:hanging="173"/>
      </w:pPr>
      <w:r>
        <w:t>Approval scope includes exact shipment version, package IDs, commodity versions, lane, carrier/service, rule versions and expiry.</w:t>
      </w:r>
    </w:p>
    <w:p>
      <w:pPr>
        <w:pStyle w:val="ListBullet"/>
        <w:spacing w:before="0" w:after="40" w:line="254" w:lineRule="auto"/>
        <w:ind w:left="259" w:hanging="173"/>
      </w:pPr>
      <w:r>
        <w:t>A relevant change automatically revokes approval and returns the shipment to the appropriate hold state.</w:t>
      </w:r>
    </w:p>
    <w:p>
      <w:pPr>
        <w:pStyle w:val="ListBullet"/>
        <w:spacing w:before="0" w:after="40" w:line="254" w:lineRule="auto"/>
        <w:ind w:left="259" w:hanging="173"/>
      </w:pPr>
      <w:r>
        <w:t>Potential matches, DNL referrals, government licences and carrier acceptances cannot be overridden by a tenant administrator.</w:t>
      </w:r>
    </w:p>
    <w:p>
      <w:pPr>
        <w:pStyle w:val="Heading2"/>
        <w:keepNext/>
      </w:pPr>
      <w:r>
        <w:t>2.3 Minimum RACI</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38"/>
        <w:gridCol w:w="1813"/>
        <w:gridCol w:w="1688"/>
        <w:gridCol w:w="1938"/>
        <w:gridCol w:w="2127"/>
      </w:tblGrid>
      <w:tr>
        <w:trPr>
          <w:tblHeader w:val="true"/>
        </w:trPr>
        <w:tc>
          <w:tcPr>
            <w:tcW w:type="dxa" w:w="193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Decision / artifact</w:t>
            </w:r>
          </w:p>
        </w:tc>
        <w:tc>
          <w:tcPr>
            <w:tcW w:type="dxa" w:w="1813"/>
            <w:shd w:fill="0F6B78"/>
            <w:tcMar>
              <w:top w:w="70" w:type="dxa"/>
              <w:start w:w="90" w:type="dxa"/>
              <w:bottom w:w="70" w:type="dxa"/>
              <w:end w:w="90" w:type="dxa"/>
            </w:tcMar>
            <w:vAlign w:val="center"/>
          </w:tcPr>
          <w:p>
            <w:pPr>
              <w:spacing w:before="0" w:after="0" w:line="240" w:lineRule="auto"/>
            </w:pPr>
            <w:r>
              <w:rPr>
                <w:rFonts w:ascii="Aptos" w:hAnsi="Aptos"/>
                <w:b/>
                <w:color w:val="FFFFFF"/>
                <w:sz w:val="15"/>
              </w:rPr>
              <w:t>Responsible</w:t>
            </w:r>
          </w:p>
        </w:tc>
        <w:tc>
          <w:tcPr>
            <w:tcW w:type="dxa" w:w="168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Accountable</w:t>
            </w:r>
          </w:p>
        </w:tc>
        <w:tc>
          <w:tcPr>
            <w:tcW w:type="dxa" w:w="193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Consulted / external</w:t>
            </w:r>
          </w:p>
        </w:tc>
        <w:tc>
          <w:tcPr>
            <w:tcW w:type="dxa" w:w="2127"/>
            <w:shd w:fill="0F6B78"/>
            <w:tcMar>
              <w:top w:w="70" w:type="dxa"/>
              <w:start w:w="90" w:type="dxa"/>
              <w:bottom w:w="70" w:type="dxa"/>
              <w:end w:w="90" w:type="dxa"/>
            </w:tcMar>
            <w:vAlign w:val="center"/>
          </w:tcPr>
          <w:p>
            <w:pPr>
              <w:spacing w:before="0" w:after="0" w:line="240" w:lineRule="auto"/>
            </w:pPr>
            <w:r>
              <w:rPr>
                <w:rFonts w:ascii="Aptos" w:hAnsi="Aptos"/>
                <w:b/>
                <w:color w:val="FFFFFF"/>
                <w:sz w:val="15"/>
              </w:rPr>
              <w:t>System enforcement</w:t>
            </w:r>
          </w:p>
        </w:tc>
      </w:tr>
      <w:tr>
        <w:trPr>
          <w:cantSplit/>
        </w:trPr>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Country-pack publication</w:t>
            </w:r>
          </w:p>
        </w:tc>
        <w:tc>
          <w:tcPr>
            <w:tcW w:type="dxa" w:w="1813"/>
            <w:tcMar>
              <w:top w:w="70" w:type="dxa"/>
              <w:start w:w="90" w:type="dxa"/>
              <w:bottom w:w="70" w:type="dxa"/>
              <w:end w:w="90" w:type="dxa"/>
            </w:tcMar>
            <w:vAlign w:val="top"/>
          </w:tcPr>
          <w:p>
            <w:pPr>
              <w:spacing w:before="0" w:after="0" w:line="240" w:lineRule="auto"/>
            </w:pPr>
            <w:r>
              <w:rPr>
                <w:rFonts w:ascii="Aptos" w:hAnsi="Aptos"/>
                <w:color w:val="24313D"/>
                <w:sz w:val="15"/>
              </w:rPr>
              <w:t>Country-pack author</w:t>
            </w:r>
          </w:p>
        </w:tc>
        <w:tc>
          <w:tcPr>
            <w:tcW w:type="dxa" w:w="1688"/>
            <w:tcMar>
              <w:top w:w="70" w:type="dxa"/>
              <w:start w:w="90" w:type="dxa"/>
              <w:bottom w:w="70" w:type="dxa"/>
              <w:end w:w="90" w:type="dxa"/>
            </w:tcMar>
            <w:vAlign w:val="top"/>
          </w:tcPr>
          <w:p>
            <w:pPr>
              <w:spacing w:before="0" w:after="0" w:line="240" w:lineRule="auto"/>
            </w:pPr>
            <w:r>
              <w:rPr>
                <w:rFonts w:ascii="Aptos" w:hAnsi="Aptos"/>
                <w:color w:val="24313D"/>
                <w:sz w:val="15"/>
              </w:rPr>
              <w:t>Compliance/legal approver</w:t>
            </w:r>
          </w:p>
        </w:tc>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Local counsel, carrier specialists</w:t>
            </w:r>
          </w:p>
        </w:tc>
        <w:tc>
          <w:tcPr>
            <w:tcW w:type="dxa" w:w="2127"/>
            <w:tcMar>
              <w:top w:w="70" w:type="dxa"/>
              <w:start w:w="90" w:type="dxa"/>
              <w:bottom w:w="70" w:type="dxa"/>
              <w:end w:w="90" w:type="dxa"/>
            </w:tcMar>
            <w:vAlign w:val="top"/>
          </w:tcPr>
          <w:p>
            <w:pPr>
              <w:spacing w:before="0" w:after="0" w:line="240" w:lineRule="auto"/>
            </w:pPr>
            <w:r>
              <w:rPr>
                <w:rFonts w:ascii="Aptos" w:hAnsi="Aptos"/>
                <w:color w:val="24313D"/>
                <w:sz w:val="15"/>
              </w:rPr>
              <w:t>Four-eyes + tests + effective date</w:t>
            </w:r>
          </w:p>
        </w:tc>
      </w:tr>
      <w:tr>
        <w:trPr>
          <w:cantSplit/>
        </w:trPr>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HS/origin/value</w:t>
            </w:r>
          </w:p>
        </w:tc>
        <w:tc>
          <w:tcPr>
            <w:tcW w:type="dxa" w:w="1813"/>
            <w:tcMar>
              <w:top w:w="70" w:type="dxa"/>
              <w:start w:w="90" w:type="dxa"/>
              <w:bottom w:w="70" w:type="dxa"/>
              <w:end w:w="90" w:type="dxa"/>
            </w:tcMar>
            <w:vAlign w:val="top"/>
            <w:shd w:fill="F5F7F8"/>
          </w:tcPr>
          <w:p>
            <w:pPr>
              <w:spacing w:before="0" w:after="0" w:line="240" w:lineRule="auto"/>
            </w:pPr>
            <w:r>
              <w:rPr>
                <w:rFonts w:ascii="Aptos" w:hAnsi="Aptos"/>
                <w:color w:val="24313D"/>
                <w:sz w:val="15"/>
              </w:rPr>
              <w:t>Qualified classifier/customs reviewer</w:t>
            </w:r>
          </w:p>
        </w:tc>
        <w:tc>
          <w:tcPr>
            <w:tcW w:type="dxa" w:w="1688"/>
            <w:tcMar>
              <w:top w:w="70" w:type="dxa"/>
              <w:start w:w="90" w:type="dxa"/>
              <w:bottom w:w="70" w:type="dxa"/>
              <w:end w:w="90" w:type="dxa"/>
            </w:tcMar>
            <w:vAlign w:val="top"/>
            <w:shd w:fill="F5F7F8"/>
          </w:tcPr>
          <w:p>
            <w:pPr>
              <w:spacing w:before="0" w:after="0" w:line="240" w:lineRule="auto"/>
            </w:pPr>
            <w:r>
              <w:rPr>
                <w:rFonts w:ascii="Aptos" w:hAnsi="Aptos"/>
                <w:color w:val="24313D"/>
                <w:sz w:val="15"/>
              </w:rPr>
              <w:t>Tenant compliance</w:t>
            </w:r>
          </w:p>
        </w:tc>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Carrier/broker</w:t>
            </w:r>
          </w:p>
        </w:tc>
        <w:tc>
          <w:tcPr>
            <w:tcW w:type="dxa" w:w="2127"/>
            <w:tcMar>
              <w:top w:w="70" w:type="dxa"/>
              <w:start w:w="90" w:type="dxa"/>
              <w:bottom w:w="70" w:type="dxa"/>
              <w:end w:w="90" w:type="dxa"/>
            </w:tcMar>
            <w:vAlign w:val="top"/>
            <w:shd w:fill="F5F7F8"/>
          </w:tcPr>
          <w:p>
            <w:pPr>
              <w:spacing w:before="0" w:after="0" w:line="240" w:lineRule="auto"/>
            </w:pPr>
            <w:r>
              <w:rPr>
                <w:rFonts w:ascii="Aptos" w:hAnsi="Aptos"/>
                <w:color w:val="24313D"/>
                <w:sz w:val="15"/>
              </w:rPr>
              <w:t>Confidence/risk triggers and evidence</w:t>
            </w:r>
          </w:p>
        </w:tc>
      </w:tr>
      <w:tr>
        <w:trPr>
          <w:cantSplit/>
        </w:trPr>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Sanctions potential match</w:t>
            </w:r>
          </w:p>
        </w:tc>
        <w:tc>
          <w:tcPr>
            <w:tcW w:type="dxa" w:w="1813"/>
            <w:tcMar>
              <w:top w:w="70" w:type="dxa"/>
              <w:start w:w="90" w:type="dxa"/>
              <w:bottom w:w="70" w:type="dxa"/>
              <w:end w:w="90" w:type="dxa"/>
            </w:tcMar>
            <w:vAlign w:val="top"/>
          </w:tcPr>
          <w:p>
            <w:pPr>
              <w:spacing w:before="0" w:after="0" w:line="240" w:lineRule="auto"/>
            </w:pPr>
            <w:r>
              <w:rPr>
                <w:rFonts w:ascii="Aptos" w:hAnsi="Aptos"/>
                <w:color w:val="24313D"/>
                <w:sz w:val="15"/>
              </w:rPr>
              <w:t>Certified screening reviewer</w:t>
            </w:r>
          </w:p>
        </w:tc>
        <w:tc>
          <w:tcPr>
            <w:tcW w:type="dxa" w:w="1688"/>
            <w:tcMar>
              <w:top w:w="70" w:type="dxa"/>
              <w:start w:w="90" w:type="dxa"/>
              <w:bottom w:w="70" w:type="dxa"/>
              <w:end w:w="90" w:type="dxa"/>
            </w:tcMar>
            <w:vAlign w:val="top"/>
          </w:tcPr>
          <w:p>
            <w:pPr>
              <w:spacing w:before="0" w:after="0" w:line="240" w:lineRule="auto"/>
            </w:pPr>
            <w:r>
              <w:rPr>
                <w:rFonts w:ascii="Aptos" w:hAnsi="Aptos"/>
                <w:color w:val="24313D"/>
                <w:sz w:val="15"/>
              </w:rPr>
              <w:t>Export/sanctions lead</w:t>
            </w:r>
          </w:p>
        </w:tc>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Authoritative source/partner</w:t>
            </w:r>
          </w:p>
        </w:tc>
        <w:tc>
          <w:tcPr>
            <w:tcW w:type="dxa" w:w="2127"/>
            <w:tcMar>
              <w:top w:w="70" w:type="dxa"/>
              <w:start w:w="90" w:type="dxa"/>
              <w:bottom w:w="70" w:type="dxa"/>
              <w:end w:w="90" w:type="dxa"/>
            </w:tcMar>
            <w:vAlign w:val="top"/>
          </w:tcPr>
          <w:p>
            <w:pPr>
              <w:spacing w:before="0" w:after="0" w:line="240" w:lineRule="auto"/>
            </w:pPr>
            <w:r>
              <w:rPr>
                <w:rFonts w:ascii="Aptos" w:hAnsi="Aptos"/>
                <w:color w:val="24313D"/>
                <w:sz w:val="15"/>
              </w:rPr>
              <w:t>Immutable candidate and disposition</w:t>
            </w:r>
          </w:p>
        </w:tc>
      </w:tr>
      <w:tr>
        <w:trPr>
          <w:cantSplit/>
        </w:trPr>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DG shipment</w:t>
            </w:r>
          </w:p>
        </w:tc>
        <w:tc>
          <w:tcPr>
            <w:tcW w:type="dxa" w:w="1813"/>
            <w:tcMar>
              <w:top w:w="70" w:type="dxa"/>
              <w:start w:w="90" w:type="dxa"/>
              <w:bottom w:w="70" w:type="dxa"/>
              <w:end w:w="90" w:type="dxa"/>
            </w:tcMar>
            <w:vAlign w:val="top"/>
            <w:shd w:fill="F5F7F8"/>
          </w:tcPr>
          <w:p>
            <w:pPr>
              <w:spacing w:before="0" w:after="0" w:line="240" w:lineRule="auto"/>
            </w:pPr>
            <w:r>
              <w:rPr>
                <w:rFonts w:ascii="Aptos" w:hAnsi="Aptos"/>
                <w:color w:val="24313D"/>
                <w:sz w:val="15"/>
              </w:rPr>
              <w:t>Certified DG reviewer</w:t>
            </w:r>
          </w:p>
        </w:tc>
        <w:tc>
          <w:tcPr>
            <w:tcW w:type="dxa" w:w="1688"/>
            <w:tcMar>
              <w:top w:w="70" w:type="dxa"/>
              <w:start w:w="90" w:type="dxa"/>
              <w:bottom w:w="70" w:type="dxa"/>
              <w:end w:w="90" w:type="dxa"/>
            </w:tcMar>
            <w:vAlign w:val="top"/>
            <w:shd w:fill="F5F7F8"/>
          </w:tcPr>
          <w:p>
            <w:pPr>
              <w:spacing w:before="0" w:after="0" w:line="240" w:lineRule="auto"/>
            </w:pPr>
            <w:r>
              <w:rPr>
                <w:rFonts w:ascii="Aptos" w:hAnsi="Aptos"/>
                <w:color w:val="24313D"/>
                <w:sz w:val="15"/>
              </w:rPr>
              <w:t>Tenant DG lead</w:t>
            </w:r>
          </w:p>
        </w:tc>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Carrier/forwarder</w:t>
            </w:r>
          </w:p>
        </w:tc>
        <w:tc>
          <w:tcPr>
            <w:tcW w:type="dxa" w:w="2127"/>
            <w:tcMar>
              <w:top w:w="70" w:type="dxa"/>
              <w:start w:w="90" w:type="dxa"/>
              <w:bottom w:w="70" w:type="dxa"/>
              <w:end w:w="90" w:type="dxa"/>
            </w:tcMar>
            <w:vAlign w:val="top"/>
            <w:shd w:fill="F5F7F8"/>
          </w:tcPr>
          <w:p>
            <w:pPr>
              <w:spacing w:before="0" w:after="0" w:line="240" w:lineRule="auto"/>
            </w:pPr>
            <w:r>
              <w:rPr>
                <w:rFonts w:ascii="Aptos" w:hAnsi="Aptos"/>
                <w:color w:val="24313D"/>
                <w:sz w:val="15"/>
              </w:rPr>
              <w:t>Internal approval + external acceptance</w:t>
            </w:r>
          </w:p>
        </w:tc>
      </w:tr>
      <w:tr>
        <w:trPr>
          <w:cantSplit/>
        </w:trPr>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Food/pharma/device</w:t>
            </w:r>
          </w:p>
        </w:tc>
        <w:tc>
          <w:tcPr>
            <w:tcW w:type="dxa" w:w="1813"/>
            <w:tcMar>
              <w:top w:w="70" w:type="dxa"/>
              <w:start w:w="90" w:type="dxa"/>
              <w:bottom w:w="70" w:type="dxa"/>
              <w:end w:w="90" w:type="dxa"/>
            </w:tcMar>
            <w:vAlign w:val="top"/>
          </w:tcPr>
          <w:p>
            <w:pPr>
              <w:spacing w:before="0" w:after="0" w:line="240" w:lineRule="auto"/>
            </w:pPr>
            <w:r>
              <w:rPr>
                <w:rFonts w:ascii="Aptos" w:hAnsi="Aptos"/>
                <w:color w:val="24313D"/>
                <w:sz w:val="15"/>
              </w:rPr>
              <w:t>Qualified regulatory/quality reviewer</w:t>
            </w:r>
          </w:p>
        </w:tc>
        <w:tc>
          <w:tcPr>
            <w:tcW w:type="dxa" w:w="1688"/>
            <w:tcMar>
              <w:top w:w="70" w:type="dxa"/>
              <w:start w:w="90" w:type="dxa"/>
              <w:bottom w:w="70" w:type="dxa"/>
              <w:end w:w="90" w:type="dxa"/>
            </w:tcMar>
            <w:vAlign w:val="top"/>
          </w:tcPr>
          <w:p>
            <w:pPr>
              <w:spacing w:before="0" w:after="0" w:line="240" w:lineRule="auto"/>
            </w:pPr>
            <w:r>
              <w:rPr>
                <w:rFonts w:ascii="Aptos" w:hAnsi="Aptos"/>
                <w:color w:val="24313D"/>
                <w:sz w:val="15"/>
              </w:rPr>
              <w:t>Quality lead</w:t>
            </w:r>
          </w:p>
        </w:tc>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Authority/carrier/filer</w:t>
            </w:r>
          </w:p>
        </w:tc>
        <w:tc>
          <w:tcPr>
            <w:tcW w:type="dxa" w:w="2127"/>
            <w:tcMar>
              <w:top w:w="70" w:type="dxa"/>
              <w:start w:w="90" w:type="dxa"/>
              <w:bottom w:w="70" w:type="dxa"/>
              <w:end w:w="90" w:type="dxa"/>
            </w:tcMar>
            <w:vAlign w:val="top"/>
          </w:tcPr>
          <w:p>
            <w:pPr>
              <w:spacing w:before="0" w:after="0" w:line="240" w:lineRule="auto"/>
            </w:pPr>
            <w:r>
              <w:rPr>
                <w:rFonts w:ascii="Aptos" w:hAnsi="Aptos"/>
                <w:color w:val="24313D"/>
                <w:sz w:val="15"/>
              </w:rPr>
              <w:t>Market/site/temperature release</w:t>
            </w:r>
          </w:p>
        </w:tc>
      </w:tr>
      <w:tr>
        <w:trPr>
          <w:cantSplit/>
        </w:trPr>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Warehouse handover</w:t>
            </w:r>
          </w:p>
        </w:tc>
        <w:tc>
          <w:tcPr>
            <w:tcW w:type="dxa" w:w="1813"/>
            <w:tcMar>
              <w:top w:w="70" w:type="dxa"/>
              <w:start w:w="90" w:type="dxa"/>
              <w:bottom w:w="70" w:type="dxa"/>
              <w:end w:w="90" w:type="dxa"/>
            </w:tcMar>
            <w:vAlign w:val="top"/>
            <w:shd w:fill="F5F7F8"/>
          </w:tcPr>
          <w:p>
            <w:pPr>
              <w:spacing w:before="0" w:after="0" w:line="240" w:lineRule="auto"/>
            </w:pPr>
            <w:r>
              <w:rPr>
                <w:rFonts w:ascii="Aptos" w:hAnsi="Aptos"/>
                <w:color w:val="24313D"/>
                <w:sz w:val="15"/>
              </w:rPr>
              <w:t>Packer/checker/release supervisor</w:t>
            </w:r>
          </w:p>
        </w:tc>
        <w:tc>
          <w:tcPr>
            <w:tcW w:type="dxa" w:w="1688"/>
            <w:tcMar>
              <w:top w:w="70" w:type="dxa"/>
              <w:start w:w="90" w:type="dxa"/>
              <w:bottom w:w="70" w:type="dxa"/>
              <w:end w:w="90" w:type="dxa"/>
            </w:tcMar>
            <w:vAlign w:val="top"/>
            <w:shd w:fill="F5F7F8"/>
          </w:tcPr>
          <w:p>
            <w:pPr>
              <w:spacing w:before="0" w:after="0" w:line="240" w:lineRule="auto"/>
            </w:pPr>
            <w:r>
              <w:rPr>
                <w:rFonts w:ascii="Aptos" w:hAnsi="Aptos"/>
                <w:color w:val="24313D"/>
                <w:sz w:val="15"/>
              </w:rPr>
              <w:t>Site operations lead</w:t>
            </w:r>
          </w:p>
        </w:tc>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Carrier driver/agent</w:t>
            </w:r>
          </w:p>
        </w:tc>
        <w:tc>
          <w:tcPr>
            <w:tcW w:type="dxa" w:w="2127"/>
            <w:tcMar>
              <w:top w:w="70" w:type="dxa"/>
              <w:start w:w="90" w:type="dxa"/>
              <w:bottom w:w="70" w:type="dxa"/>
              <w:end w:w="90" w:type="dxa"/>
            </w:tcMar>
            <w:vAlign w:val="top"/>
            <w:shd w:fill="F5F7F8"/>
          </w:tcPr>
          <w:p>
            <w:pPr>
              <w:spacing w:before="0" w:after="0" w:line="240" w:lineRule="auto"/>
            </w:pPr>
            <w:r>
              <w:rPr>
                <w:rFonts w:ascii="Aptos" w:hAnsi="Aptos"/>
                <w:color w:val="24313D"/>
                <w:sz w:val="15"/>
              </w:rPr>
              <w:t>All release gates + custody proof</w:t>
            </w:r>
          </w:p>
        </w:tc>
      </w:tr>
      <w:tr>
        <w:trPr>
          <w:cantSplit/>
        </w:trPr>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Hosting/data transfer</w:t>
            </w:r>
          </w:p>
        </w:tc>
        <w:tc>
          <w:tcPr>
            <w:tcW w:type="dxa" w:w="1813"/>
            <w:tcMar>
              <w:top w:w="70" w:type="dxa"/>
              <w:start w:w="90" w:type="dxa"/>
              <w:bottom w:w="70" w:type="dxa"/>
              <w:end w:w="90" w:type="dxa"/>
            </w:tcMar>
            <w:vAlign w:val="top"/>
          </w:tcPr>
          <w:p>
            <w:pPr>
              <w:spacing w:before="0" w:after="0" w:line="240" w:lineRule="auto"/>
            </w:pPr>
            <w:r>
              <w:rPr>
                <w:rFonts w:ascii="Aptos" w:hAnsi="Aptos"/>
                <w:color w:val="24313D"/>
                <w:sz w:val="15"/>
              </w:rPr>
              <w:t>Privacy/security architects</w:t>
            </w:r>
          </w:p>
        </w:tc>
        <w:tc>
          <w:tcPr>
            <w:tcW w:type="dxa" w:w="1688"/>
            <w:tcMar>
              <w:top w:w="70" w:type="dxa"/>
              <w:start w:w="90" w:type="dxa"/>
              <w:bottom w:w="70" w:type="dxa"/>
              <w:end w:w="90" w:type="dxa"/>
            </w:tcMar>
            <w:vAlign w:val="top"/>
          </w:tcPr>
          <w:p>
            <w:pPr>
              <w:spacing w:before="0" w:after="0" w:line="240" w:lineRule="auto"/>
            </w:pPr>
            <w:r>
              <w:rPr>
                <w:rFonts w:ascii="Aptos" w:hAnsi="Aptos"/>
                <w:color w:val="24313D"/>
                <w:sz w:val="15"/>
              </w:rPr>
              <w:t>DPO/legal/security owner</w:t>
            </w:r>
          </w:p>
        </w:tc>
        <w:tc>
          <w:tcPr>
            <w:tcW w:type="dxa" w:w="1938"/>
            <w:tcMar>
              <w:top w:w="70" w:type="dxa"/>
              <w:start w:w="90" w:type="dxa"/>
              <w:bottom w:w="70" w:type="dxa"/>
              <w:end w:w="90" w:type="dxa"/>
            </w:tcMar>
            <w:vAlign w:val="top"/>
          </w:tcPr>
          <w:p>
            <w:pPr>
              <w:spacing w:before="0" w:after="0" w:line="240" w:lineRule="auto"/>
            </w:pPr>
            <w:r>
              <w:rPr>
                <w:rFonts w:ascii="Aptos" w:hAnsi="Aptos"/>
                <w:color w:val="24313D"/>
                <w:sz w:val="15"/>
              </w:rPr>
              <w:t>Subprocessors/carriers</w:t>
            </w:r>
          </w:p>
        </w:tc>
        <w:tc>
          <w:tcPr>
            <w:tcW w:type="dxa" w:w="2127"/>
            <w:tcMar>
              <w:top w:w="70" w:type="dxa"/>
              <w:start w:w="90" w:type="dxa"/>
              <w:bottom w:w="70" w:type="dxa"/>
              <w:end w:w="90" w:type="dxa"/>
            </w:tcMar>
            <w:vAlign w:val="top"/>
          </w:tcPr>
          <w:p>
            <w:pPr>
              <w:spacing w:before="0" w:after="0" w:line="240" w:lineRule="auto"/>
            </w:pPr>
            <w:r>
              <w:rPr>
                <w:rFonts w:ascii="Aptos" w:hAnsi="Aptos"/>
                <w:color w:val="24313D"/>
                <w:sz w:val="15"/>
              </w:rPr>
              <w:t>Region policy + transfer mechanism</w:t>
            </w:r>
          </w:p>
        </w:tc>
      </w:tr>
      <w:tr>
        <w:trPr>
          <w:cantSplit/>
        </w:trPr>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Production release</w:t>
            </w:r>
          </w:p>
        </w:tc>
        <w:tc>
          <w:tcPr>
            <w:tcW w:type="dxa" w:w="1813"/>
            <w:tcMar>
              <w:top w:w="70" w:type="dxa"/>
              <w:start w:w="90" w:type="dxa"/>
              <w:bottom w:w="70" w:type="dxa"/>
              <w:end w:w="90" w:type="dxa"/>
            </w:tcMar>
            <w:vAlign w:val="top"/>
            <w:shd w:fill="F5F7F8"/>
          </w:tcPr>
          <w:p>
            <w:pPr>
              <w:spacing w:before="0" w:after="0" w:line="240" w:lineRule="auto"/>
            </w:pPr>
            <w:r>
              <w:rPr>
                <w:rFonts w:ascii="Aptos" w:hAnsi="Aptos"/>
                <w:color w:val="24313D"/>
                <w:sz w:val="15"/>
              </w:rPr>
              <w:t>Engineering/QA/product</w:t>
            </w:r>
          </w:p>
        </w:tc>
        <w:tc>
          <w:tcPr>
            <w:tcW w:type="dxa" w:w="1688"/>
            <w:tcMar>
              <w:top w:w="70" w:type="dxa"/>
              <w:start w:w="90" w:type="dxa"/>
              <w:bottom w:w="70" w:type="dxa"/>
              <w:end w:w="90" w:type="dxa"/>
            </w:tcMar>
            <w:vAlign w:val="top"/>
            <w:shd w:fill="F5F7F8"/>
          </w:tcPr>
          <w:p>
            <w:pPr>
              <w:spacing w:before="0" w:after="0" w:line="240" w:lineRule="auto"/>
            </w:pPr>
            <w:r>
              <w:rPr>
                <w:rFonts w:ascii="Aptos" w:hAnsi="Aptos"/>
                <w:color w:val="24313D"/>
                <w:sz w:val="15"/>
              </w:rPr>
              <w:t>Release board</w:t>
            </w:r>
          </w:p>
        </w:tc>
        <w:tc>
          <w:tcPr>
            <w:tcW w:type="dxa" w:w="1938"/>
            <w:tcMar>
              <w:top w:w="70" w:type="dxa"/>
              <w:start w:w="90" w:type="dxa"/>
              <w:bottom w:w="70" w:type="dxa"/>
              <w:end w:w="90" w:type="dxa"/>
            </w:tcMar>
            <w:vAlign w:val="top"/>
            <w:shd w:fill="F5F7F8"/>
          </w:tcPr>
          <w:p>
            <w:pPr>
              <w:spacing w:before="0" w:after="0" w:line="240" w:lineRule="auto"/>
            </w:pPr>
            <w:r>
              <w:rPr>
                <w:rFonts w:ascii="Aptos" w:hAnsi="Aptos"/>
                <w:color w:val="24313D"/>
                <w:sz w:val="15"/>
              </w:rPr>
              <w:t>All domain owners</w:t>
            </w:r>
          </w:p>
        </w:tc>
        <w:tc>
          <w:tcPr>
            <w:tcW w:type="dxa" w:w="2127"/>
            <w:tcMar>
              <w:top w:w="70" w:type="dxa"/>
              <w:start w:w="90" w:type="dxa"/>
              <w:bottom w:w="70" w:type="dxa"/>
              <w:end w:w="90" w:type="dxa"/>
            </w:tcMar>
            <w:vAlign w:val="top"/>
            <w:shd w:fill="F5F7F8"/>
          </w:tcPr>
          <w:p>
            <w:pPr>
              <w:spacing w:before="0" w:after="0" w:line="240" w:lineRule="auto"/>
            </w:pPr>
            <w:r>
              <w:rPr>
                <w:rFonts w:ascii="Aptos" w:hAnsi="Aptos"/>
                <w:color w:val="24313D"/>
                <w:sz w:val="15"/>
              </w:rPr>
              <w:t>No unresolved critical gates</w:t>
            </w:r>
          </w:p>
        </w:tc>
      </w:tr>
    </w:tbl>
    <w:p>
      <w:r>
        <w:br w:type="page"/>
      </w:r>
    </w:p>
    <w:p>
      <w:pPr>
        <w:pStyle w:val="Heading1"/>
        <w:keepNext/>
      </w:pPr>
      <w:r>
        <w:t>3. Regulatory operating model</w:t>
      </w:r>
    </w:p>
    <w:p>
      <w:pPr>
        <w:pStyle w:val="Heading2"/>
        <w:keepNext/>
      </w:pPr>
      <w:r>
        <w:t>3.1 Rule hierarchy and nexuses</w:t>
      </w:r>
    </w:p>
    <w:p>
      <w:pPr>
        <w:spacing w:before="0" w:after="80" w:line="259" w:lineRule="auto"/>
      </w:pPr>
      <w:r>
        <w:t>For each evaluation, construct the complete nexus set before selecting rules. The set may include origin site and establishment, export customs territory, transit/security jurisdictions, destination/import customs territory, parties and ownership, goods and technology origin, payment/currency, carrier/operator, and tenant-selected processing/hosting locations.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792"/>
        <w:gridCol w:w="3168"/>
        <w:gridCol w:w="5544"/>
      </w:tblGrid>
      <w:tr>
        <w:trPr>
          <w:tblHeader w:val="true"/>
        </w:trPr>
        <w:tc>
          <w:tcPr>
            <w:tcW w:type="dxa" w:w="79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Order</w:t>
            </w:r>
          </w:p>
        </w:tc>
        <w:tc>
          <w:tcPr>
            <w:tcW w:type="dxa" w:w="316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Rule layer</w:t>
            </w:r>
          </w:p>
        </w:tc>
        <w:tc>
          <w:tcPr>
            <w:tcW w:type="dxa" w:w="554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Implementation rule</w:t>
            </w:r>
          </w:p>
        </w:tc>
      </w:tr>
      <w:tr>
        <w:trPr>
          <w:cantSplit/>
        </w:trPr>
        <w:tc>
          <w:tcPr>
            <w:tcW w:type="dxa" w:w="792"/>
            <w:tcMar>
              <w:top w:w="70" w:type="dxa"/>
              <w:start w:w="90" w:type="dxa"/>
              <w:bottom w:w="70" w:type="dxa"/>
              <w:end w:w="90" w:type="dxa"/>
            </w:tcMar>
            <w:vAlign w:val="top"/>
          </w:tcPr>
          <w:p>
            <w:pPr>
              <w:spacing w:before="0" w:after="0" w:line="240" w:lineRule="auto"/>
            </w:pPr>
            <w:r>
              <w:rPr>
                <w:rFonts w:ascii="Aptos" w:hAnsi="Aptos"/>
                <w:b/>
                <w:color w:val="24313D"/>
                <w:sz w:val="16"/>
              </w:rPr>
              <w:t>1</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6"/>
              </w:rPr>
              <w:t>Competent-authority law, regulation, binding instruction or decision</w:t>
            </w:r>
          </w:p>
        </w:tc>
        <w:tc>
          <w:tcPr>
            <w:tcW w:type="dxa" w:w="5544"/>
            <w:tcMar>
              <w:top w:w="70" w:type="dxa"/>
              <w:start w:w="90" w:type="dxa"/>
              <w:bottom w:w="70" w:type="dxa"/>
              <w:end w:w="90" w:type="dxa"/>
            </w:tcMar>
            <w:vAlign w:val="top"/>
          </w:tcPr>
          <w:p>
            <w:pPr>
              <w:spacing w:before="0" w:after="0" w:line="240" w:lineRule="auto"/>
            </w:pPr>
            <w:r>
              <w:rPr>
                <w:rFonts w:ascii="Aptos" w:hAnsi="Aptos"/>
                <w:color w:val="24313D"/>
                <w:sz w:val="16"/>
              </w:rPr>
              <w:t>Match exact territory, role, procedure and effective interval.</w:t>
            </w:r>
          </w:p>
        </w:tc>
      </w:tr>
      <w:tr>
        <w:trPr>
          <w:cantSplit/>
        </w:trPr>
        <w:tc>
          <w:tcPr>
            <w:tcW w:type="dxa" w:w="792"/>
            <w:tcMar>
              <w:top w:w="70" w:type="dxa"/>
              <w:start w:w="90" w:type="dxa"/>
              <w:bottom w:w="70" w:type="dxa"/>
              <w:end w:w="90" w:type="dxa"/>
            </w:tcMar>
            <w:vAlign w:val="top"/>
            <w:shd w:fill="F5F7F8"/>
          </w:tcPr>
          <w:p>
            <w:pPr>
              <w:spacing w:before="0" w:after="0" w:line="240" w:lineRule="auto"/>
            </w:pPr>
            <w:r>
              <w:rPr>
                <w:rFonts w:ascii="Aptos" w:hAnsi="Aptos"/>
                <w:b/>
                <w:color w:val="24313D"/>
                <w:sz w:val="16"/>
              </w:rPr>
              <w:t>2</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6"/>
              </w:rPr>
              <w:t>Treaty or convention as implemented by the applicable state</w:t>
            </w:r>
          </w:p>
        </w:tc>
        <w:tc>
          <w:tcPr>
            <w:tcW w:type="dxa" w:w="5544"/>
            <w:tcMar>
              <w:top w:w="70" w:type="dxa"/>
              <w:start w:w="90" w:type="dxa"/>
              <w:bottom w:w="70" w:type="dxa"/>
              <w:end w:w="90" w:type="dxa"/>
            </w:tcMar>
            <w:vAlign w:val="top"/>
            <w:shd w:fill="F5F7F8"/>
          </w:tcPr>
          <w:p>
            <w:pPr>
              <w:spacing w:before="0" w:after="0" w:line="240" w:lineRule="auto"/>
            </w:pPr>
            <w:r>
              <w:rPr>
                <w:rFonts w:ascii="Aptos" w:hAnsi="Aptos"/>
                <w:color w:val="24313D"/>
                <w:sz w:val="16"/>
              </w:rPr>
              <w:t>Do not assume direct effect or universal party status.</w:t>
            </w:r>
          </w:p>
        </w:tc>
      </w:tr>
      <w:tr>
        <w:trPr>
          <w:cantSplit/>
        </w:trPr>
        <w:tc>
          <w:tcPr>
            <w:tcW w:type="dxa" w:w="792"/>
            <w:tcMar>
              <w:top w:w="70" w:type="dxa"/>
              <w:start w:w="90" w:type="dxa"/>
              <w:bottom w:w="70" w:type="dxa"/>
              <w:end w:w="90" w:type="dxa"/>
            </w:tcMar>
            <w:vAlign w:val="top"/>
          </w:tcPr>
          <w:p>
            <w:pPr>
              <w:spacing w:before="0" w:after="0" w:line="240" w:lineRule="auto"/>
            </w:pPr>
            <w:r>
              <w:rPr>
                <w:rFonts w:ascii="Aptos" w:hAnsi="Aptos"/>
                <w:b/>
                <w:color w:val="24313D"/>
                <w:sz w:val="16"/>
              </w:rPr>
              <w:t>3</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6"/>
              </w:rPr>
              <w:t>Origin, export, transit and destination country/territory packs</w:t>
            </w:r>
          </w:p>
        </w:tc>
        <w:tc>
          <w:tcPr>
            <w:tcW w:type="dxa" w:w="5544"/>
            <w:tcMar>
              <w:top w:w="70" w:type="dxa"/>
              <w:start w:w="90" w:type="dxa"/>
              <w:bottom w:w="70" w:type="dxa"/>
              <w:end w:w="90" w:type="dxa"/>
            </w:tcMar>
            <w:vAlign w:val="top"/>
          </w:tcPr>
          <w:p>
            <w:pPr>
              <w:spacing w:before="0" w:after="0" w:line="240" w:lineRule="auto"/>
            </w:pPr>
            <w:r>
              <w:rPr>
                <w:rFonts w:ascii="Aptos" w:hAnsi="Aptos"/>
                <w:color w:val="24313D"/>
                <w:sz w:val="16"/>
              </w:rPr>
              <w:t>Apply special customs/fiscal areas and postcode/geofence overrides.</w:t>
            </w:r>
          </w:p>
        </w:tc>
      </w:tr>
      <w:tr>
        <w:trPr>
          <w:cantSplit/>
        </w:trPr>
        <w:tc>
          <w:tcPr>
            <w:tcW w:type="dxa" w:w="792"/>
            <w:tcMar>
              <w:top w:w="70" w:type="dxa"/>
              <w:start w:w="90" w:type="dxa"/>
              <w:bottom w:w="70" w:type="dxa"/>
              <w:end w:w="90" w:type="dxa"/>
            </w:tcMar>
            <w:vAlign w:val="top"/>
            <w:shd w:fill="F5F7F8"/>
          </w:tcPr>
          <w:p>
            <w:pPr>
              <w:spacing w:before="0" w:after="0" w:line="240" w:lineRule="auto"/>
            </w:pPr>
            <w:r>
              <w:rPr>
                <w:rFonts w:ascii="Aptos" w:hAnsi="Aptos"/>
                <w:b/>
                <w:color w:val="24313D"/>
                <w:sz w:val="16"/>
              </w:rPr>
              <w:t>4</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6"/>
              </w:rPr>
              <w:t>Postal, aviation-security, state and operator variations</w:t>
            </w:r>
          </w:p>
        </w:tc>
        <w:tc>
          <w:tcPr>
            <w:tcW w:type="dxa" w:w="5544"/>
            <w:tcMar>
              <w:top w:w="70" w:type="dxa"/>
              <w:start w:w="90" w:type="dxa"/>
              <w:bottom w:w="70" w:type="dxa"/>
              <w:end w:w="90" w:type="dxa"/>
            </w:tcMar>
            <w:vAlign w:val="top"/>
            <w:shd w:fill="F5F7F8"/>
          </w:tcPr>
          <w:p>
            <w:pPr>
              <w:spacing w:before="0" w:after="0" w:line="240" w:lineRule="auto"/>
            </w:pPr>
            <w:r>
              <w:rPr>
                <w:rFonts w:ascii="Aptos" w:hAnsi="Aptos"/>
                <w:color w:val="24313D"/>
                <w:sz w:val="16"/>
              </w:rPr>
              <w:t>Apply mode, route, account, aircraft/service and role constraints.</w:t>
            </w:r>
          </w:p>
        </w:tc>
      </w:tr>
      <w:tr>
        <w:trPr>
          <w:cantSplit/>
        </w:trPr>
        <w:tc>
          <w:tcPr>
            <w:tcW w:type="dxa" w:w="792"/>
            <w:tcMar>
              <w:top w:w="70" w:type="dxa"/>
              <w:start w:w="90" w:type="dxa"/>
              <w:bottom w:w="70" w:type="dxa"/>
              <w:end w:w="90" w:type="dxa"/>
            </w:tcMar>
            <w:vAlign w:val="top"/>
          </w:tcPr>
          <w:p>
            <w:pPr>
              <w:spacing w:before="0" w:after="0" w:line="240" w:lineRule="auto"/>
            </w:pPr>
            <w:r>
              <w:rPr>
                <w:rFonts w:ascii="Aptos" w:hAnsi="Aptos"/>
                <w:b/>
                <w:color w:val="24313D"/>
                <w:sz w:val="16"/>
              </w:rPr>
              <w:t>5</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6"/>
              </w:rPr>
              <w:t>Carrier/forwarder service contract and live capability</w:t>
            </w:r>
          </w:p>
        </w:tc>
        <w:tc>
          <w:tcPr>
            <w:tcW w:type="dxa" w:w="5544"/>
            <w:tcMar>
              <w:top w:w="70" w:type="dxa"/>
              <w:start w:w="90" w:type="dxa"/>
              <w:bottom w:w="70" w:type="dxa"/>
              <w:end w:w="90" w:type="dxa"/>
            </w:tcMar>
            <w:vAlign w:val="top"/>
          </w:tcPr>
          <w:p>
            <w:pPr>
              <w:spacing w:before="0" w:after="0" w:line="240" w:lineRule="auto"/>
            </w:pPr>
            <w:r>
              <w:rPr>
                <w:rFonts w:ascii="Aptos" w:hAnsi="Aptos"/>
                <w:color w:val="24313D"/>
                <w:sz w:val="16"/>
              </w:rPr>
              <w:t>Legal permission does not create provider acceptance.</w:t>
            </w:r>
          </w:p>
        </w:tc>
      </w:tr>
      <w:tr>
        <w:trPr>
          <w:cantSplit/>
        </w:trPr>
        <w:tc>
          <w:tcPr>
            <w:tcW w:type="dxa" w:w="792"/>
            <w:tcMar>
              <w:top w:w="70" w:type="dxa"/>
              <w:start w:w="90" w:type="dxa"/>
              <w:bottom w:w="70" w:type="dxa"/>
              <w:end w:w="90" w:type="dxa"/>
            </w:tcMar>
            <w:vAlign w:val="top"/>
            <w:shd w:fill="F5F7F8"/>
          </w:tcPr>
          <w:p>
            <w:pPr>
              <w:spacing w:before="0" w:after="0" w:line="240" w:lineRule="auto"/>
            </w:pPr>
            <w:r>
              <w:rPr>
                <w:rFonts w:ascii="Aptos" w:hAnsi="Aptos"/>
                <w:b/>
                <w:color w:val="24313D"/>
                <w:sz w:val="16"/>
              </w:rPr>
              <w:t>6</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6"/>
              </w:rPr>
              <w:t>Tenant/site/customer permission and warehouse SOP</w:t>
            </w:r>
          </w:p>
        </w:tc>
        <w:tc>
          <w:tcPr>
            <w:tcW w:type="dxa" w:w="5544"/>
            <w:tcMar>
              <w:top w:w="70" w:type="dxa"/>
              <w:start w:w="90" w:type="dxa"/>
              <w:bottom w:w="70" w:type="dxa"/>
              <w:end w:w="90" w:type="dxa"/>
            </w:tcMar>
            <w:vAlign w:val="top"/>
            <w:shd w:fill="F5F7F8"/>
          </w:tcPr>
          <w:p>
            <w:pPr>
              <w:spacing w:before="0" w:after="0" w:line="240" w:lineRule="auto"/>
            </w:pPr>
            <w:r>
              <w:rPr>
                <w:rFonts w:ascii="Aptos" w:hAnsi="Aptos"/>
                <w:color w:val="24313D"/>
                <w:sz w:val="16"/>
              </w:rPr>
              <w:t>May narrow the result; never broaden a higher-order prohibition.</w:t>
            </w:r>
          </w:p>
        </w:tc>
      </w:tr>
    </w:tbl>
    <w:p>
      <w:pPr>
        <w:pStyle w:val="Heading2"/>
        <w:keepNext/>
      </w:pPr>
      <w:r>
        <w:t>3.2 Canonical decision states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592"/>
        <w:gridCol w:w="4608"/>
        <w:gridCol w:w="2304"/>
      </w:tblGrid>
      <w:tr>
        <w:trPr>
          <w:tblHeader w:val="true"/>
        </w:trPr>
        <w:tc>
          <w:tcPr>
            <w:tcW w:type="dxa" w:w="259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State</w:t>
            </w:r>
          </w:p>
        </w:tc>
        <w:tc>
          <w:tcPr>
            <w:tcW w:type="dxa" w:w="460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Meaning</w:t>
            </w:r>
          </w:p>
        </w:tc>
        <w:tc>
          <w:tcPr>
            <w:tcW w:type="dxa" w:w="230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Release effect</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ALLOWED</w:t>
            </w:r>
          </w:p>
        </w:tc>
        <w:tc>
          <w:tcPr>
            <w:tcW w:type="dxa" w:w="4608"/>
            <w:tcMar>
              <w:top w:w="70" w:type="dxa"/>
              <w:start w:w="90" w:type="dxa"/>
              <w:bottom w:w="70" w:type="dxa"/>
              <w:end w:w="90" w:type="dxa"/>
            </w:tcMar>
            <w:vAlign w:val="top"/>
          </w:tcPr>
          <w:p>
            <w:pPr>
              <w:spacing w:before="0" w:after="0" w:line="240" w:lineRule="auto"/>
            </w:pPr>
            <w:r>
              <w:rPr>
                <w:rFonts w:ascii="Aptos" w:hAnsi="Aptos"/>
                <w:color w:val="24313D"/>
                <w:sz w:val="16"/>
              </w:rPr>
              <w:t>All mandatory legal, authority, partner, tenant and operational checks pass; no conditions remain</w:t>
            </w:r>
          </w:p>
        </w:tc>
        <w:tc>
          <w:tcPr>
            <w:tcW w:type="dxa" w:w="2304"/>
            <w:tcMar>
              <w:top w:w="70" w:type="dxa"/>
              <w:start w:w="90" w:type="dxa"/>
              <w:bottom w:w="70" w:type="dxa"/>
              <w:end w:w="90" w:type="dxa"/>
            </w:tcMar>
            <w:vAlign w:val="top"/>
          </w:tcPr>
          <w:p>
            <w:pPr>
              <w:spacing w:before="0" w:after="0" w:line="240" w:lineRule="auto"/>
            </w:pPr>
            <w:r>
              <w:rPr>
                <w:rFonts w:ascii="Aptos" w:hAnsi="Aptos"/>
                <w:color w:val="24313D"/>
                <w:sz w:val="16"/>
              </w:rPr>
              <w:t>May proceed to next lifecycle gate</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ALLOWED_WITH_CONDITIONS</w:t>
            </w:r>
          </w:p>
        </w:tc>
        <w:tc>
          <w:tcPr>
            <w:tcW w:type="dxa" w:w="4608"/>
            <w:tcMar>
              <w:top w:w="70" w:type="dxa"/>
              <w:start w:w="90" w:type="dxa"/>
              <w:bottom w:w="70" w:type="dxa"/>
              <w:end w:w="90" w:type="dxa"/>
            </w:tcMar>
            <w:vAlign w:val="top"/>
            <w:shd w:fill="F5F7F8"/>
          </w:tcPr>
          <w:p>
            <w:pPr>
              <w:spacing w:before="0" w:after="0" w:line="240" w:lineRule="auto"/>
            </w:pPr>
            <w:r>
              <w:rPr>
                <w:rFonts w:ascii="Aptos" w:hAnsi="Aptos"/>
                <w:color w:val="24313D"/>
                <w:sz w:val="16"/>
              </w:rPr>
              <w:t>Permitted only if machine-testable or attestable conditions are fulfilled</w:t>
            </w:r>
          </w:p>
        </w:tc>
        <w:tc>
          <w:tcPr>
            <w:tcW w:type="dxa" w:w="2304"/>
            <w:tcMar>
              <w:top w:w="70" w:type="dxa"/>
              <w:start w:w="90" w:type="dxa"/>
              <w:bottom w:w="70" w:type="dxa"/>
              <w:end w:w="90" w:type="dxa"/>
            </w:tcMar>
            <w:vAlign w:val="top"/>
            <w:shd w:fill="F5F7F8"/>
          </w:tcPr>
          <w:p>
            <w:pPr>
              <w:spacing w:before="0" w:after="0" w:line="240" w:lineRule="auto"/>
            </w:pPr>
            <w:r>
              <w:rPr>
                <w:rFonts w:ascii="Aptos" w:hAnsi="Aptos"/>
                <w:color w:val="24313D"/>
                <w:sz w:val="16"/>
              </w:rPr>
              <w:t>Display and enforce each condition; re-evaluate after fulfilment</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MANUAL_CERTIFIED_REVIEW</w:t>
            </w:r>
          </w:p>
        </w:tc>
        <w:tc>
          <w:tcPr>
            <w:tcW w:type="dxa" w:w="4608"/>
            <w:tcMar>
              <w:top w:w="70" w:type="dxa"/>
              <w:start w:w="90" w:type="dxa"/>
              <w:bottom w:w="70" w:type="dxa"/>
              <w:end w:w="90" w:type="dxa"/>
            </w:tcMar>
            <w:vAlign w:val="top"/>
          </w:tcPr>
          <w:p>
            <w:pPr>
              <w:spacing w:before="0" w:after="0" w:line="240" w:lineRule="auto"/>
            </w:pPr>
            <w:r>
              <w:rPr>
                <w:rFonts w:ascii="Aptos" w:hAnsi="Aptos"/>
                <w:color w:val="24313D"/>
                <w:sz w:val="16"/>
              </w:rPr>
              <w:t>A qualified person must determine or approve the result</w:t>
            </w:r>
          </w:p>
        </w:tc>
        <w:tc>
          <w:tcPr>
            <w:tcW w:type="dxa" w:w="2304"/>
            <w:tcMar>
              <w:top w:w="70" w:type="dxa"/>
              <w:start w:w="90" w:type="dxa"/>
              <w:bottom w:w="70" w:type="dxa"/>
              <w:end w:w="90" w:type="dxa"/>
            </w:tcMar>
            <w:vAlign w:val="top"/>
          </w:tcPr>
          <w:p>
            <w:pPr>
              <w:spacing w:before="0" w:after="0" w:line="240" w:lineRule="auto"/>
            </w:pPr>
            <w:r>
              <w:rPr>
                <w:rFonts w:ascii="Aptos" w:hAnsi="Aptos"/>
                <w:color w:val="24313D"/>
                <w:sz w:val="16"/>
              </w:rPr>
              <w:t>Hold until in-scope, non-conflicted certification is recorded</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EXTERNAL_APPROVAL_REQUIRED</w:t>
            </w:r>
          </w:p>
        </w:tc>
        <w:tc>
          <w:tcPr>
            <w:tcW w:type="dxa" w:w="4608"/>
            <w:tcMar>
              <w:top w:w="70" w:type="dxa"/>
              <w:start w:w="90" w:type="dxa"/>
              <w:bottom w:w="70" w:type="dxa"/>
              <w:end w:w="90" w:type="dxa"/>
            </w:tcMar>
            <w:vAlign w:val="top"/>
            <w:shd w:fill="F5F7F8"/>
          </w:tcPr>
          <w:p>
            <w:pPr>
              <w:spacing w:before="0" w:after="0" w:line="240" w:lineRule="auto"/>
            </w:pPr>
            <w:r>
              <w:rPr>
                <w:rFonts w:ascii="Aptos" w:hAnsi="Aptos"/>
                <w:color w:val="24313D"/>
                <w:sz w:val="16"/>
              </w:rPr>
              <w:t>Carrier, postal operator, forwarder, broker, competent authority or other licensed party must approve</w:t>
            </w:r>
          </w:p>
        </w:tc>
        <w:tc>
          <w:tcPr>
            <w:tcW w:type="dxa" w:w="2304"/>
            <w:tcMar>
              <w:top w:w="70" w:type="dxa"/>
              <w:start w:w="90" w:type="dxa"/>
              <w:bottom w:w="70" w:type="dxa"/>
              <w:end w:w="90" w:type="dxa"/>
            </w:tcMar>
            <w:vAlign w:val="top"/>
            <w:shd w:fill="F5F7F8"/>
          </w:tcPr>
          <w:p>
            <w:pPr>
              <w:spacing w:before="0" w:after="0" w:line="240" w:lineRule="auto"/>
            </w:pPr>
            <w:r>
              <w:rPr>
                <w:rFonts w:ascii="Aptos" w:hAnsi="Aptos"/>
                <w:color w:val="24313D"/>
                <w:sz w:val="16"/>
              </w:rPr>
              <w:t>Hold until authenticated external acceptance/reference is received</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BLOCKED</w:t>
            </w:r>
          </w:p>
        </w:tc>
        <w:tc>
          <w:tcPr>
            <w:tcW w:type="dxa" w:w="4608"/>
            <w:tcMar>
              <w:top w:w="70" w:type="dxa"/>
              <w:start w:w="90" w:type="dxa"/>
              <w:bottom w:w="70" w:type="dxa"/>
              <w:end w:w="90" w:type="dxa"/>
            </w:tcMar>
            <w:vAlign w:val="top"/>
          </w:tcPr>
          <w:p>
            <w:pPr>
              <w:spacing w:before="0" w:after="0" w:line="240" w:lineRule="auto"/>
            </w:pPr>
            <w:r>
              <w:rPr>
                <w:rFonts w:ascii="Aptos" w:hAnsi="Aptos"/>
                <w:color w:val="24313D"/>
                <w:sz w:val="16"/>
              </w:rPr>
              <w:t>An applicable prohibition, confirmed match, unsupported service/commodity or nonwaivable failure applies</w:t>
            </w:r>
          </w:p>
        </w:tc>
        <w:tc>
          <w:tcPr>
            <w:tcW w:type="dxa" w:w="2304"/>
            <w:tcMar>
              <w:top w:w="70" w:type="dxa"/>
              <w:start w:w="90" w:type="dxa"/>
              <w:bottom w:w="70" w:type="dxa"/>
              <w:end w:w="90" w:type="dxa"/>
            </w:tcMar>
            <w:vAlign w:val="top"/>
          </w:tcPr>
          <w:p>
            <w:pPr>
              <w:spacing w:before="0" w:after="0" w:line="240" w:lineRule="auto"/>
            </w:pPr>
            <w:r>
              <w:rPr>
                <w:rFonts w:ascii="Aptos" w:hAnsi="Aptos"/>
                <w:color w:val="24313D"/>
                <w:sz w:val="16"/>
              </w:rPr>
              <w:t>Do not quote/label/file/tender except incident/return workflow</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UNKNOWN_BLOCKED</w:t>
            </w:r>
          </w:p>
        </w:tc>
        <w:tc>
          <w:tcPr>
            <w:tcW w:type="dxa" w:w="4608"/>
            <w:tcMar>
              <w:top w:w="70" w:type="dxa"/>
              <w:start w:w="90" w:type="dxa"/>
              <w:bottom w:w="70" w:type="dxa"/>
              <w:end w:w="90" w:type="dxa"/>
            </w:tcMar>
            <w:vAlign w:val="top"/>
            <w:shd w:fill="F5F7F8"/>
          </w:tcPr>
          <w:p>
            <w:pPr>
              <w:spacing w:before="0" w:after="0" w:line="240" w:lineRule="auto"/>
            </w:pPr>
            <w:r>
              <w:rPr>
                <w:rFonts w:ascii="Aptos" w:hAnsi="Aptos"/>
                <w:color w:val="24313D"/>
                <w:sz w:val="16"/>
              </w:rPr>
              <w:t>Information, source, rule, capability, classification or response is missing, stale, conflicting or ambiguous</w:t>
            </w:r>
          </w:p>
        </w:tc>
        <w:tc>
          <w:tcPr>
            <w:tcW w:type="dxa" w:w="2304"/>
            <w:tcMar>
              <w:top w:w="70" w:type="dxa"/>
              <w:start w:w="90" w:type="dxa"/>
              <w:bottom w:w="70" w:type="dxa"/>
              <w:end w:w="90" w:type="dxa"/>
            </w:tcMar>
            <w:vAlign w:val="top"/>
            <w:shd w:fill="F5F7F8"/>
          </w:tcPr>
          <w:p>
            <w:pPr>
              <w:spacing w:before="0" w:after="0" w:line="240" w:lineRule="auto"/>
            </w:pPr>
            <w:r>
              <w:rPr>
                <w:rFonts w:ascii="Aptos" w:hAnsi="Aptos"/>
                <w:color w:val="24313D"/>
                <w:sz w:val="16"/>
              </w:rPr>
              <w:t>Hold and return a remediation list</w:t>
            </w:r>
          </w:p>
        </w:tc>
      </w:tr>
    </w:tbl>
    <w:tbl>
      <w:tblPr>
        <w:tblW w:type="dxa" w:w="9504"/>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jc w:val="left"/>
        <w:tblInd w:w="140" w:type="dxa"/>
      </w:tblPr>
      <w:tblGrid>
        <w:gridCol w:w="9504"/>
      </w:tblGrid>
      <w:tr>
        <w:trPr>
          <w:tblHeader w:val="true"/>
        </w:trPr>
        <w:tc>
          <w:tcPr>
            <w:tcW w:type="dxa" w:w="9504"/>
            <w:shd w:fill="B42318"/>
            <w:tcMar>
              <w:top w:w="90" w:type="dxa"/>
              <w:start w:w="140" w:type="dxa"/>
              <w:bottom w:w="90" w:type="dxa"/>
              <w:end w:w="140" w:type="dxa"/>
            </w:tcMar>
          </w:tcPr>
          <w:p>
            <w:pPr>
              <w:spacing w:before="0" w:after="0" w:line="240" w:lineRule="auto"/>
            </w:pPr>
            <w:r>
              <w:rPr>
                <w:rFonts w:ascii="Aptos Display" w:hAnsi="Aptos Display"/>
                <w:b/>
                <w:color w:val="FFFFFF"/>
                <w:sz w:val="20"/>
              </w:rPr>
              <w:t>Override prohibition</w:t>
            </w:r>
          </w:p>
        </w:tc>
      </w:tr>
      <w:tr>
        <w:tc>
          <w:tcPr>
            <w:tcW w:type="dxa" w:w="9504"/>
            <w:shd w:fill="FDE7E5"/>
            <w:tcMar>
              <w:top w:w="90" w:type="dxa"/>
              <w:start w:w="140" w:type="dxa"/>
              <w:bottom w:w="90" w:type="dxa"/>
              <w:end w:w="140" w:type="dxa"/>
            </w:tcMar>
          </w:tcPr>
          <w:p>
            <w:pPr>
              <w:spacing w:before="0" w:after="0" w:line="252" w:lineRule="auto"/>
            </w:pPr>
            <w:r>
              <w:rPr>
                <w:rFonts w:ascii="Aptos" w:hAnsi="Aptos"/>
                <w:color w:val="24313D"/>
                <w:sz w:val="18"/>
              </w:rPr>
              <w:t>UNKNOWN_BLOCKED is not a warning. A user cannot click through it. The missing or conflicting fact, source, carrier capability or approval must be resolved, after which the engine issues a new decision using a new version trace.</w:t>
            </w:r>
          </w:p>
        </w:tc>
      </w:tr>
    </w:tbl>
    <w:p>
      <w:pPr>
        <w:spacing w:after="0"/>
      </w:pPr>
    </w:p>
    <w:p>
      <w:pPr>
        <w:pStyle w:val="Heading2"/>
        <w:keepNext/>
      </w:pPr>
      <w:r>
        <w:t>3.3 Temporal rule semantics</w:t>
      </w:r>
    </w:p>
    <w:p>
      <w:pPr>
        <w:pStyle w:val="ListBullet"/>
        <w:spacing w:before="0" w:after="40" w:line="254" w:lineRule="auto"/>
        <w:ind w:left="259" w:hanging="173"/>
      </w:pPr>
      <w:r>
        <w:t>Use half-open effective intervals [effective_from, effective_to) with the source jurisdiction/provider time zone.</w:t>
      </w:r>
    </w:p>
    <w:p>
      <w:pPr>
        <w:pStyle w:val="ListBullet"/>
        <w:spacing w:before="0" w:after="40" w:line="254" w:lineRule="auto"/>
        <w:ind w:left="259" w:hanging="173"/>
      </w:pPr>
      <w:r>
        <w:t>Store publication time, ingestion time, approval time and runtime decision time separately.</w:t>
      </w:r>
    </w:p>
    <w:p>
      <w:pPr>
        <w:pStyle w:val="ListBullet"/>
        <w:spacing w:before="0" w:after="40" w:line="254" w:lineRule="auto"/>
        <w:ind w:left="259" w:hanging="173"/>
      </w:pPr>
      <w:r>
        <w:t>Support commencement conditions, transition periods, grace/compliance dates, delayed provisions and repeals.</w:t>
      </w:r>
    </w:p>
    <w:p>
      <w:pPr>
        <w:pStyle w:val="ListBullet"/>
        <w:spacing w:before="0" w:after="40" w:line="254" w:lineRule="auto"/>
        <w:ind w:left="259" w:hanging="173"/>
      </w:pPr>
      <w:r>
        <w:t>Evaluate both planned movement time and decision time where a rule changes between booking and tender.</w:t>
      </w:r>
    </w:p>
    <w:p>
      <w:pPr>
        <w:pStyle w:val="ListBullet"/>
        <w:spacing w:before="0" w:after="40" w:line="254" w:lineRule="auto"/>
        <w:ind w:left="259" w:hanging="173"/>
      </w:pPr>
      <w:r>
        <w:t>Preserve historical rules for replay; never mutate a rule already used for a released shipment.</w:t>
      </w:r>
    </w:p>
    <w:p>
      <w:pPr>
        <w:pStyle w:val="ListBullet"/>
        <w:spacing w:before="0" w:after="40" w:line="254" w:lineRule="auto"/>
        <w:ind w:left="259" w:hanging="173"/>
      </w:pPr>
      <w:r>
        <w:t>Future rules run in simulation/UAT but do not affect production until the effective condition is met.</w:t>
      </w:r>
    </w:p>
    <w:p>
      <w:pPr>
        <w:pStyle w:val="Heading2"/>
        <w:keepNext/>
      </w:pPr>
      <w:r>
        <w:t>3.4 Current-change examples that justify temporal design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160"/>
        <w:gridCol w:w="6120"/>
        <w:gridCol w:w="1224"/>
      </w:tblGrid>
      <w:tr>
        <w:trPr>
          <w:tblHeader w:val="true"/>
        </w:trPr>
        <w:tc>
          <w:tcPr>
            <w:tcW w:type="dxa" w:w="216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Example</w:t>
            </w:r>
          </w:p>
        </w:tc>
        <w:tc>
          <w:tcPr>
            <w:tcW w:type="dxa" w:w="612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Required interpretation</w:t>
            </w:r>
          </w:p>
        </w:tc>
        <w:tc>
          <w:tcPr>
            <w:tcW w:type="dxa" w:w="122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Source</w:t>
            </w:r>
          </w:p>
        </w:tc>
      </w:tr>
      <w:tr>
        <w:trPr>
          <w:cantSplit/>
        </w:trPr>
        <w:tc>
          <w:tcPr>
            <w:tcW w:type="dxa" w:w="2160"/>
            <w:tcMar>
              <w:top w:w="70" w:type="dxa"/>
              <w:start w:w="90" w:type="dxa"/>
              <w:bottom w:w="70" w:type="dxa"/>
              <w:end w:w="90" w:type="dxa"/>
            </w:tcMar>
            <w:vAlign w:val="top"/>
          </w:tcPr>
          <w:p>
            <w:pPr>
              <w:spacing w:before="0" w:after="0" w:line="240" w:lineRule="auto"/>
            </w:pPr>
            <w:r>
              <w:rPr>
                <w:rFonts w:ascii="Aptos" w:hAnsi="Aptos"/>
                <w:color w:val="24313D"/>
                <w:sz w:val="16"/>
              </w:rPr>
              <w:t>European Union low-value imports</w:t>
            </w:r>
          </w:p>
        </w:tc>
        <w:tc>
          <w:tcPr>
            <w:tcW w:type="dxa" w:w="6120"/>
            <w:tcMar>
              <w:top w:w="70" w:type="dxa"/>
              <w:start w:w="90" w:type="dxa"/>
              <w:bottom w:w="70" w:type="dxa"/>
              <w:end w:w="90" w:type="dxa"/>
            </w:tcMar>
            <w:vAlign w:val="top"/>
          </w:tcPr>
          <w:p>
            <w:pPr>
              <w:spacing w:before="0" w:after="0" w:line="240" w:lineRule="auto"/>
            </w:pPr>
            <w:r>
              <w:rPr>
                <w:rFonts w:ascii="Aptos" w:hAnsi="Aptos"/>
                <w:color w:val="24313D"/>
                <w:sz w:val="16"/>
              </w:rPr>
              <w:t>A temporary flat customs duty applies from 1 July 2026 during the transition described by the Commission, with item-level tariff identity requirements and later data changes. Store the current and future transitions separately.</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6"/>
              </w:rPr>
              <w:t>SRC-EU-002</w:t>
            </w:r>
          </w:p>
        </w:tc>
      </w:tr>
      <w:tr>
        <w:trPr>
          <w:cantSplit/>
        </w:trPr>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6"/>
              </w:rPr>
              <w:t>United States postal imports</w:t>
            </w:r>
          </w:p>
        </w:tc>
        <w:tc>
          <w:tcPr>
            <w:tcW w:type="dxa" w:w="6120"/>
            <w:tcMar>
              <w:top w:w="70" w:type="dxa"/>
              <w:start w:w="90" w:type="dxa"/>
              <w:bottom w:w="70" w:type="dxa"/>
              <w:end w:w="90" w:type="dxa"/>
            </w:tcMar>
            <w:vAlign w:val="top"/>
            <w:shd w:fill="F5F7F8"/>
          </w:tcPr>
          <w:p>
            <w:pPr>
              <w:spacing w:before="0" w:after="0" w:line="240" w:lineRule="auto"/>
            </w:pPr>
            <w:r>
              <w:rPr>
                <w:rFonts w:ascii="Aptos" w:hAnsi="Aptos"/>
                <w:color w:val="24313D"/>
                <w:sz w:val="16"/>
              </w:rPr>
              <w:t>The 24 June 2026 Federal Register rule has an effective date of 24 July 2026 and a later compliance date for specified postal-entry procedures. The engine must distinguish legal effectiveness, implementation readiness and flow-specific formal-entry triggers.</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6"/>
              </w:rPr>
              <w:t>SRC-USA-001</w:t>
            </w:r>
          </w:p>
        </w:tc>
      </w:tr>
      <w:tr>
        <w:trPr>
          <w:cantSplit/>
        </w:trPr>
        <w:tc>
          <w:tcPr>
            <w:tcW w:type="dxa" w:w="2160"/>
            <w:tcMar>
              <w:top w:w="70" w:type="dxa"/>
              <w:start w:w="90" w:type="dxa"/>
              <w:bottom w:w="70" w:type="dxa"/>
              <w:end w:w="90" w:type="dxa"/>
            </w:tcMar>
            <w:vAlign w:val="top"/>
          </w:tcPr>
          <w:p>
            <w:pPr>
              <w:spacing w:before="0" w:after="0" w:line="240" w:lineRule="auto"/>
            </w:pPr>
            <w:r>
              <w:rPr>
                <w:rFonts w:ascii="Aptos" w:hAnsi="Aptos"/>
                <w:color w:val="24313D"/>
                <w:sz w:val="16"/>
              </w:rPr>
              <w:t>United Kingdom low-value reform</w:t>
            </w:r>
          </w:p>
        </w:tc>
        <w:tc>
          <w:tcPr>
            <w:tcW w:type="dxa" w:w="6120"/>
            <w:tcMar>
              <w:top w:w="70" w:type="dxa"/>
              <w:start w:w="90" w:type="dxa"/>
              <w:bottom w:w="70" w:type="dxa"/>
              <w:end w:w="90" w:type="dxa"/>
            </w:tcMar>
            <w:vAlign w:val="top"/>
          </w:tcPr>
          <w:p>
            <w:pPr>
              <w:spacing w:before="0" w:after="0" w:line="240" w:lineRule="auto"/>
            </w:pPr>
            <w:r>
              <w:rPr>
                <w:rFonts w:ascii="Aptos" w:hAnsi="Aptos"/>
                <w:color w:val="24313D"/>
                <w:sz w:val="16"/>
              </w:rPr>
              <w:t>The July 2026 reform publication describes future change; current HMRC treatment remains separately sourced until commencement. A proposal/publication is not an executable current rule.</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6"/>
              </w:rPr>
              <w:t>SRC-UK-001 / SRC-UK-002</w:t>
            </w:r>
          </w:p>
        </w:tc>
      </w:tr>
      <w:tr>
        <w:trPr>
          <w:cantSplit/>
        </w:trPr>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6"/>
              </w:rPr>
              <w:t>India privacy rules</w:t>
            </w:r>
          </w:p>
        </w:tc>
        <w:tc>
          <w:tcPr>
            <w:tcW w:type="dxa" w:w="6120"/>
            <w:tcMar>
              <w:top w:w="70" w:type="dxa"/>
              <w:start w:w="90" w:type="dxa"/>
              <w:bottom w:w="70" w:type="dxa"/>
              <w:end w:w="90" w:type="dxa"/>
            </w:tcMar>
            <w:vAlign w:val="top"/>
            <w:shd w:fill="F5F7F8"/>
          </w:tcPr>
          <w:p>
            <w:pPr>
              <w:spacing w:before="0" w:after="0" w:line="240" w:lineRule="auto"/>
            </w:pPr>
            <w:r>
              <w:rPr>
                <w:rFonts w:ascii="Aptos" w:hAnsi="Aptos"/>
                <w:color w:val="24313D"/>
                <w:sz w:val="16"/>
              </w:rPr>
              <w:t>The 2025 DPDP Rules use staggered commencement. Each provision’s effective time must be modeled rather than enabling the entire instrument on publication day.</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6"/>
              </w:rPr>
              <w:t>SRC-PRV-005</w:t>
            </w:r>
          </w:p>
        </w:tc>
      </w:tr>
    </w:tbl>
    <w:p>
      <w:pPr>
        <w:pStyle w:val="Heading2"/>
        <w:keepNext/>
      </w:pPr>
      <w:r>
        <w:t>3.5 Source lifecycle</w:t>
      </w:r>
    </w:p>
    <w:p>
      <w:pPr>
        <w:pStyle w:val="ListNumber"/>
        <w:spacing w:before="0" w:after="60" w:line="254" w:lineRule="auto"/>
      </w:pPr>
      <w:r>
        <w:t>Discover source through national authority, official gazette, WCO/WTO/UPU/ICAO, official sanctions list or approved licensed provider.</w:t>
      </w:r>
    </w:p>
    <w:p>
      <w:pPr>
        <w:pStyle w:val="ListNumber"/>
        <w:spacing w:before="0" w:after="60" w:line="254" w:lineRule="auto"/>
      </w:pPr>
      <w:r>
        <w:t>Acquire source under appropriate licence; record language, checksum, retrieved time and exact provision/page.</w:t>
      </w:r>
    </w:p>
    <w:p>
      <w:pPr>
        <w:pStyle w:val="ListNumber"/>
        <w:spacing w:before="0" w:after="60" w:line="254" w:lineRule="auto"/>
      </w:pPr>
      <w:r>
        <w:t>Classify impact by country/territory, direction, mode, carrier/service, commodity, party, procedure, value/quantity and effective date.</w:t>
      </w:r>
    </w:p>
    <w:p>
      <w:pPr>
        <w:pStyle w:val="ListNumber"/>
        <w:spacing w:before="0" w:after="60" w:line="254" w:lineRule="auto"/>
      </w:pPr>
      <w:r>
        <w:t>Author deterministic rule and explanation template; identify required inputs and failure state.</w:t>
      </w:r>
    </w:p>
    <w:p>
      <w:pPr>
        <w:pStyle w:val="ListNumber"/>
        <w:spacing w:before="0" w:after="60" w:line="254" w:lineRule="auto"/>
      </w:pPr>
      <w:r>
        <w:t>Run independent legal/compliance review and golden-lane regression, including negative and temporal boundaries.</w:t>
      </w:r>
    </w:p>
    <w:p>
      <w:pPr>
        <w:pStyle w:val="ListNumber"/>
        <w:spacing w:before="0" w:after="60" w:line="254" w:lineRule="auto"/>
      </w:pPr>
      <w:r>
        <w:t>Publish through canary scope; re-evaluate open unhanded shipments and produce impact actions.</w:t>
      </w:r>
    </w:p>
    <w:p>
      <w:pPr>
        <w:pStyle w:val="ListNumber"/>
        <w:spacing w:before="0" w:after="60" w:line="254" w:lineRule="auto"/>
      </w:pPr>
      <w:r>
        <w:t>Monitor change notices, feed health and next-review dates; stale critical content suspends the affected capability.</w:t>
      </w:r>
    </w:p>
    <w:p>
      <w:r>
        <w:br w:type="page"/>
      </w:r>
    </w:p>
    <w:p>
      <w:pPr>
        <w:pStyle w:val="Heading1"/>
        <w:keepNext/>
      </w:pPr>
      <w:r>
        <w:t>4. Reference architecture</w:t>
      </w:r>
    </w:p>
    <w:p>
      <w:pPr>
        <w:pStyle w:val="Heading2"/>
        <w:keepNext/>
      </w:pPr>
      <w:r>
        <w:t>4.1 Bounded services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664"/>
        <w:gridCol w:w="6840"/>
      </w:tblGrid>
      <w:tr>
        <w:trPr>
          <w:tblHeader w:val="true"/>
        </w:trPr>
        <w:tc>
          <w:tcPr>
            <w:tcW w:type="dxa" w:w="266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Service boundary</w:t>
            </w:r>
          </w:p>
        </w:tc>
        <w:tc>
          <w:tcPr>
            <w:tcW w:type="dxa" w:w="684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Core responsibility</w:t>
            </w:r>
          </w:p>
        </w:tc>
      </w:tr>
      <w:tr>
        <w:trPr>
          <w:cantSplit/>
        </w:trPr>
        <w:tc>
          <w:tcPr>
            <w:tcW w:type="dxa" w:w="2664"/>
            <w:tcMar>
              <w:top w:w="70" w:type="dxa"/>
              <w:start w:w="90" w:type="dxa"/>
              <w:bottom w:w="70" w:type="dxa"/>
              <w:end w:w="90" w:type="dxa"/>
            </w:tcMar>
            <w:vAlign w:val="top"/>
          </w:tcPr>
          <w:p>
            <w:pPr>
              <w:spacing w:before="0" w:after="0" w:line="240" w:lineRule="auto"/>
            </w:pPr>
            <w:r>
              <w:rPr>
                <w:rFonts w:ascii="Aptos" w:hAnsi="Aptos"/>
                <w:b/>
                <w:color w:val="24313D"/>
                <w:sz w:val="16"/>
              </w:rPr>
              <w:t>Tenant &amp; identity</w:t>
            </w:r>
          </w:p>
        </w:tc>
        <w:tc>
          <w:tcPr>
            <w:tcW w:type="dxa" w:w="6840"/>
            <w:tcMar>
              <w:top w:w="70" w:type="dxa"/>
              <w:start w:w="90" w:type="dxa"/>
              <w:bottom w:w="70" w:type="dxa"/>
              <w:end w:w="90" w:type="dxa"/>
            </w:tcMar>
            <w:vAlign w:val="top"/>
          </w:tcPr>
          <w:p>
            <w:pPr>
              <w:spacing w:before="0" w:after="0" w:line="240" w:lineRule="auto"/>
            </w:pPr>
            <w:r>
              <w:rPr>
                <w:rFonts w:ascii="Aptos" w:hAnsi="Aptos"/>
                <w:color w:val="24313D"/>
                <w:sz w:val="16"/>
              </w:rPr>
              <w:t>Tenants, sites, roles, users, reviewer credentials, commodity permissions, customer mandates</w:t>
            </w:r>
          </w:p>
        </w:tc>
      </w:tr>
      <w:tr>
        <w:trPr>
          <w:cantSplit/>
        </w:trPr>
        <w:tc>
          <w:tcPr>
            <w:tcW w:type="dxa" w:w="2664"/>
            <w:tcMar>
              <w:top w:w="70" w:type="dxa"/>
              <w:start w:w="90" w:type="dxa"/>
              <w:bottom w:w="70" w:type="dxa"/>
              <w:end w:w="90" w:type="dxa"/>
            </w:tcMar>
            <w:vAlign w:val="top"/>
            <w:shd w:fill="F5F7F8"/>
          </w:tcPr>
          <w:p>
            <w:pPr>
              <w:spacing w:before="0" w:after="0" w:line="240" w:lineRule="auto"/>
            </w:pPr>
            <w:r>
              <w:rPr>
                <w:rFonts w:ascii="Aptos" w:hAnsi="Aptos"/>
                <w:b/>
                <w:color w:val="24313D"/>
                <w:sz w:val="16"/>
              </w:rPr>
              <w:t>Party &amp; address</w:t>
            </w:r>
          </w:p>
        </w:tc>
        <w:tc>
          <w:tcPr>
            <w:tcW w:type="dxa" w:w="6840"/>
            <w:tcMar>
              <w:top w:w="70" w:type="dxa"/>
              <w:start w:w="90" w:type="dxa"/>
              <w:bottom w:w="70" w:type="dxa"/>
              <w:end w:w="90" w:type="dxa"/>
            </w:tcMar>
            <w:vAlign w:val="top"/>
            <w:shd w:fill="F5F7F8"/>
          </w:tcPr>
          <w:p>
            <w:pPr>
              <w:spacing w:before="0" w:after="0" w:line="240" w:lineRule="auto"/>
            </w:pPr>
            <w:r>
              <w:rPr>
                <w:rFonts w:ascii="Aptos" w:hAnsi="Aptos"/>
                <w:color w:val="24313D"/>
                <w:sz w:val="16"/>
              </w:rPr>
              <w:t>Canonical parties/roles, original/transliterated names, addresses, tax/customs identifiers</w:t>
            </w:r>
          </w:p>
        </w:tc>
      </w:tr>
      <w:tr>
        <w:trPr>
          <w:cantSplit/>
        </w:trPr>
        <w:tc>
          <w:tcPr>
            <w:tcW w:type="dxa" w:w="2664"/>
            <w:tcMar>
              <w:top w:w="70" w:type="dxa"/>
              <w:start w:w="90" w:type="dxa"/>
              <w:bottom w:w="70" w:type="dxa"/>
              <w:end w:w="90" w:type="dxa"/>
            </w:tcMar>
            <w:vAlign w:val="top"/>
          </w:tcPr>
          <w:p>
            <w:pPr>
              <w:spacing w:before="0" w:after="0" w:line="240" w:lineRule="auto"/>
            </w:pPr>
            <w:r>
              <w:rPr>
                <w:rFonts w:ascii="Aptos" w:hAnsi="Aptos"/>
                <w:b/>
                <w:color w:val="24313D"/>
                <w:sz w:val="16"/>
              </w:rPr>
              <w:t>Product compliance</w:t>
            </w:r>
          </w:p>
        </w:tc>
        <w:tc>
          <w:tcPr>
            <w:tcW w:type="dxa" w:w="6840"/>
            <w:tcMar>
              <w:top w:w="70" w:type="dxa"/>
              <w:start w:w="90" w:type="dxa"/>
              <w:bottom w:w="70" w:type="dxa"/>
              <w:end w:w="90" w:type="dxa"/>
            </w:tcMar>
            <w:vAlign w:val="top"/>
          </w:tcPr>
          <w:p>
            <w:pPr>
              <w:spacing w:before="0" w:after="0" w:line="240" w:lineRule="auto"/>
            </w:pPr>
            <w:r>
              <w:rPr>
                <w:rFonts w:ascii="Aptos" w:hAnsi="Aptos"/>
                <w:color w:val="24313D"/>
                <w:sz w:val="16"/>
              </w:rPr>
              <w:t>Product versions, HS/national codes, origin, valuation, export control, DG and regulated-product dossiers</w:t>
            </w:r>
          </w:p>
        </w:tc>
      </w:tr>
      <w:tr>
        <w:trPr>
          <w:cantSplit/>
        </w:trPr>
        <w:tc>
          <w:tcPr>
            <w:tcW w:type="dxa" w:w="2664"/>
            <w:tcMar>
              <w:top w:w="70" w:type="dxa"/>
              <w:start w:w="90" w:type="dxa"/>
              <w:bottom w:w="70" w:type="dxa"/>
              <w:end w:w="90" w:type="dxa"/>
            </w:tcMar>
            <w:vAlign w:val="top"/>
            <w:shd w:fill="F5F7F8"/>
          </w:tcPr>
          <w:p>
            <w:pPr>
              <w:spacing w:before="0" w:after="0" w:line="240" w:lineRule="auto"/>
            </w:pPr>
            <w:r>
              <w:rPr>
                <w:rFonts w:ascii="Aptos" w:hAnsi="Aptos"/>
                <w:b/>
                <w:color w:val="24313D"/>
                <w:sz w:val="16"/>
              </w:rPr>
              <w:t>Rule &amp; country-pack registry</w:t>
            </w:r>
          </w:p>
        </w:tc>
        <w:tc>
          <w:tcPr>
            <w:tcW w:type="dxa" w:w="6840"/>
            <w:tcMar>
              <w:top w:w="70" w:type="dxa"/>
              <w:start w:w="90" w:type="dxa"/>
              <w:bottom w:w="70" w:type="dxa"/>
              <w:end w:w="90" w:type="dxa"/>
            </w:tcMar>
            <w:vAlign w:val="top"/>
            <w:shd w:fill="F5F7F8"/>
          </w:tcPr>
          <w:p>
            <w:pPr>
              <w:spacing w:before="0" w:after="0" w:line="240" w:lineRule="auto"/>
            </w:pPr>
            <w:r>
              <w:rPr>
                <w:rFonts w:ascii="Aptos" w:hAnsi="Aptos"/>
                <w:color w:val="24313D"/>
                <w:sz w:val="16"/>
              </w:rPr>
              <w:t>Effective-dated rules, sources, translations, approvals, pack capabilities, overrides, tests</w:t>
            </w:r>
          </w:p>
        </w:tc>
      </w:tr>
      <w:tr>
        <w:trPr>
          <w:cantSplit/>
        </w:trPr>
        <w:tc>
          <w:tcPr>
            <w:tcW w:type="dxa" w:w="2664"/>
            <w:tcMar>
              <w:top w:w="70" w:type="dxa"/>
              <w:start w:w="90" w:type="dxa"/>
              <w:bottom w:w="70" w:type="dxa"/>
              <w:end w:w="90" w:type="dxa"/>
            </w:tcMar>
            <w:vAlign w:val="top"/>
          </w:tcPr>
          <w:p>
            <w:pPr>
              <w:spacing w:before="0" w:after="0" w:line="240" w:lineRule="auto"/>
            </w:pPr>
            <w:r>
              <w:rPr>
                <w:rFonts w:ascii="Aptos" w:hAnsi="Aptos"/>
                <w:b/>
                <w:color w:val="24313D"/>
                <w:sz w:val="16"/>
              </w:rPr>
              <w:t>Eligibility orchestrator</w:t>
            </w:r>
          </w:p>
        </w:tc>
        <w:tc>
          <w:tcPr>
            <w:tcW w:type="dxa" w:w="6840"/>
            <w:tcMar>
              <w:top w:w="70" w:type="dxa"/>
              <w:start w:w="90" w:type="dxa"/>
              <w:bottom w:w="70" w:type="dxa"/>
              <w:end w:w="90" w:type="dxa"/>
            </w:tcMar>
            <w:vAlign w:val="top"/>
          </w:tcPr>
          <w:p>
            <w:pPr>
              <w:spacing w:before="0" w:after="0" w:line="240" w:lineRule="auto"/>
            </w:pPr>
            <w:r>
              <w:rPr>
                <w:rFonts w:ascii="Aptos" w:hAnsi="Aptos"/>
                <w:color w:val="24313D"/>
                <w:sz w:val="16"/>
              </w:rPr>
              <w:t>Nexus creation, serviceability, sanctions/export, commodity, filing, document and warehouse decisions</w:t>
            </w:r>
          </w:p>
        </w:tc>
      </w:tr>
      <w:tr>
        <w:trPr>
          <w:cantSplit/>
        </w:trPr>
        <w:tc>
          <w:tcPr>
            <w:tcW w:type="dxa" w:w="2664"/>
            <w:tcMar>
              <w:top w:w="70" w:type="dxa"/>
              <w:start w:w="90" w:type="dxa"/>
              <w:bottom w:w="70" w:type="dxa"/>
              <w:end w:w="90" w:type="dxa"/>
            </w:tcMar>
            <w:vAlign w:val="top"/>
            <w:shd w:fill="F5F7F8"/>
          </w:tcPr>
          <w:p>
            <w:pPr>
              <w:spacing w:before="0" w:after="0" w:line="240" w:lineRule="auto"/>
            </w:pPr>
            <w:r>
              <w:rPr>
                <w:rFonts w:ascii="Aptos" w:hAnsi="Aptos"/>
                <w:b/>
                <w:color w:val="24313D"/>
                <w:sz w:val="16"/>
              </w:rPr>
              <w:t>Screening</w:t>
            </w:r>
          </w:p>
        </w:tc>
        <w:tc>
          <w:tcPr>
            <w:tcW w:type="dxa" w:w="6840"/>
            <w:tcMar>
              <w:top w:w="70" w:type="dxa"/>
              <w:start w:w="90" w:type="dxa"/>
              <w:bottom w:w="70" w:type="dxa"/>
              <w:end w:w="90" w:type="dxa"/>
            </w:tcMar>
            <w:vAlign w:val="top"/>
            <w:shd w:fill="F5F7F8"/>
          </w:tcPr>
          <w:p>
            <w:pPr>
              <w:spacing w:before="0" w:after="0" w:line="240" w:lineRule="auto"/>
            </w:pPr>
            <w:r>
              <w:rPr>
                <w:rFonts w:ascii="Aptos" w:hAnsi="Aptos"/>
                <w:color w:val="24313D"/>
                <w:sz w:val="16"/>
              </w:rPr>
              <w:t>Live list ingestion, candidate matching, ownership/control, review cases, ongoing rescreen</w:t>
            </w:r>
          </w:p>
        </w:tc>
      </w:tr>
      <w:tr>
        <w:trPr>
          <w:cantSplit/>
        </w:trPr>
        <w:tc>
          <w:tcPr>
            <w:tcW w:type="dxa" w:w="2664"/>
            <w:tcMar>
              <w:top w:w="70" w:type="dxa"/>
              <w:start w:w="90" w:type="dxa"/>
              <w:bottom w:w="70" w:type="dxa"/>
              <w:end w:w="90" w:type="dxa"/>
            </w:tcMar>
            <w:vAlign w:val="top"/>
          </w:tcPr>
          <w:p>
            <w:pPr>
              <w:spacing w:before="0" w:after="0" w:line="240" w:lineRule="auto"/>
            </w:pPr>
            <w:r>
              <w:rPr>
                <w:rFonts w:ascii="Aptos" w:hAnsi="Aptos"/>
                <w:b/>
                <w:color w:val="24313D"/>
                <w:sz w:val="16"/>
              </w:rPr>
              <w:t>Rating &amp; landed cost</w:t>
            </w:r>
          </w:p>
        </w:tc>
        <w:tc>
          <w:tcPr>
            <w:tcW w:type="dxa" w:w="6840"/>
            <w:tcMar>
              <w:top w:w="70" w:type="dxa"/>
              <w:start w:w="90" w:type="dxa"/>
              <w:bottom w:w="70" w:type="dxa"/>
              <w:end w:w="90" w:type="dxa"/>
            </w:tcMar>
            <w:vAlign w:val="top"/>
          </w:tcPr>
          <w:p>
            <w:pPr>
              <w:spacing w:before="0" w:after="0" w:line="240" w:lineRule="auto"/>
            </w:pPr>
            <w:r>
              <w:rPr>
                <w:rFonts w:ascii="Aptos" w:hAnsi="Aptos"/>
                <w:color w:val="24313D"/>
                <w:sz w:val="16"/>
              </w:rPr>
              <w:t>Carrier capability/rate, estimated duty/tax/fees, DDP/DAP eligibility and estimate status</w:t>
            </w:r>
          </w:p>
        </w:tc>
      </w:tr>
      <w:tr>
        <w:trPr>
          <w:cantSplit/>
        </w:trPr>
        <w:tc>
          <w:tcPr>
            <w:tcW w:type="dxa" w:w="2664"/>
            <w:tcMar>
              <w:top w:w="70" w:type="dxa"/>
              <w:start w:w="90" w:type="dxa"/>
              <w:bottom w:w="70" w:type="dxa"/>
              <w:end w:w="90" w:type="dxa"/>
            </w:tcMar>
            <w:vAlign w:val="top"/>
            <w:shd w:fill="F5F7F8"/>
          </w:tcPr>
          <w:p>
            <w:pPr>
              <w:spacing w:before="0" w:after="0" w:line="240" w:lineRule="auto"/>
            </w:pPr>
            <w:r>
              <w:rPr>
                <w:rFonts w:ascii="Aptos" w:hAnsi="Aptos"/>
                <w:b/>
                <w:color w:val="24313D"/>
                <w:sz w:val="16"/>
              </w:rPr>
              <w:t>Shipment &amp; package</w:t>
            </w:r>
          </w:p>
        </w:tc>
        <w:tc>
          <w:tcPr>
            <w:tcW w:type="dxa" w:w="6840"/>
            <w:tcMar>
              <w:top w:w="70" w:type="dxa"/>
              <w:start w:w="90" w:type="dxa"/>
              <w:bottom w:w="70" w:type="dxa"/>
              <w:end w:w="90" w:type="dxa"/>
            </w:tcMar>
            <w:vAlign w:val="top"/>
            <w:shd w:fill="F5F7F8"/>
          </w:tcPr>
          <w:p>
            <w:pPr>
              <w:spacing w:before="0" w:after="0" w:line="240" w:lineRule="auto"/>
            </w:pPr>
            <w:r>
              <w:rPr>
                <w:rFonts w:ascii="Aptos" w:hAnsi="Aptos"/>
                <w:color w:val="24313D"/>
                <w:sz w:val="16"/>
              </w:rPr>
              <w:t>Orders, shipment versions, package contents, weights/dimensions, route and state machines</w:t>
            </w:r>
          </w:p>
        </w:tc>
      </w:tr>
      <w:tr>
        <w:trPr>
          <w:cantSplit/>
        </w:trPr>
        <w:tc>
          <w:tcPr>
            <w:tcW w:type="dxa" w:w="2664"/>
            <w:tcMar>
              <w:top w:w="70" w:type="dxa"/>
              <w:start w:w="90" w:type="dxa"/>
              <w:bottom w:w="70" w:type="dxa"/>
              <w:end w:w="90" w:type="dxa"/>
            </w:tcMar>
            <w:vAlign w:val="top"/>
          </w:tcPr>
          <w:p>
            <w:pPr>
              <w:spacing w:before="0" w:after="0" w:line="240" w:lineRule="auto"/>
            </w:pPr>
            <w:r>
              <w:rPr>
                <w:rFonts w:ascii="Aptos" w:hAnsi="Aptos"/>
                <w:b/>
                <w:color w:val="24313D"/>
                <w:sz w:val="16"/>
              </w:rPr>
              <w:t>Documents</w:t>
            </w:r>
          </w:p>
        </w:tc>
        <w:tc>
          <w:tcPr>
            <w:tcW w:type="dxa" w:w="6840"/>
            <w:tcMar>
              <w:top w:w="70" w:type="dxa"/>
              <w:start w:w="90" w:type="dxa"/>
              <w:bottom w:w="70" w:type="dxa"/>
              <w:end w:w="90" w:type="dxa"/>
            </w:tcMar>
            <w:vAlign w:val="top"/>
          </w:tcPr>
          <w:p>
            <w:pPr>
              <w:spacing w:before="0" w:after="0" w:line="240" w:lineRule="auto"/>
            </w:pPr>
            <w:r>
              <w:rPr>
                <w:rFonts w:ascii="Aptos" w:hAnsi="Aptos"/>
                <w:color w:val="24313D"/>
                <w:sz w:val="16"/>
              </w:rPr>
              <w:t>Commercial/pro forma invoice, packing list, declarations, permits, CN22/CN23, AWB, DGD and signatures</w:t>
            </w:r>
          </w:p>
        </w:tc>
      </w:tr>
      <w:tr>
        <w:trPr>
          <w:cantSplit/>
        </w:trPr>
        <w:tc>
          <w:tcPr>
            <w:tcW w:type="dxa" w:w="2664"/>
            <w:tcMar>
              <w:top w:w="70" w:type="dxa"/>
              <w:start w:w="90" w:type="dxa"/>
              <w:bottom w:w="70" w:type="dxa"/>
              <w:end w:w="90" w:type="dxa"/>
            </w:tcMar>
            <w:vAlign w:val="top"/>
            <w:shd w:fill="F5F7F8"/>
          </w:tcPr>
          <w:p>
            <w:pPr>
              <w:spacing w:before="0" w:after="0" w:line="240" w:lineRule="auto"/>
            </w:pPr>
            <w:r>
              <w:rPr>
                <w:rFonts w:ascii="Aptos" w:hAnsi="Aptos"/>
                <w:b/>
                <w:color w:val="24313D"/>
                <w:sz w:val="16"/>
              </w:rPr>
              <w:t>Partner gateway</w:t>
            </w:r>
          </w:p>
        </w:tc>
        <w:tc>
          <w:tcPr>
            <w:tcW w:type="dxa" w:w="6840"/>
            <w:tcMar>
              <w:top w:w="70" w:type="dxa"/>
              <w:start w:w="90" w:type="dxa"/>
              <w:bottom w:w="70" w:type="dxa"/>
              <w:end w:w="90" w:type="dxa"/>
            </w:tcMar>
            <w:vAlign w:val="top"/>
            <w:shd w:fill="F5F7F8"/>
          </w:tcPr>
          <w:p>
            <w:pPr>
              <w:spacing w:before="0" w:after="0" w:line="240" w:lineRule="auto"/>
            </w:pPr>
            <w:r>
              <w:rPr>
                <w:rFonts w:ascii="Aptos" w:hAnsi="Aptos"/>
                <w:color w:val="24313D"/>
                <w:sz w:val="16"/>
              </w:rPr>
              <w:t>Vendor-neutral adapter runtime for carrier, postal and air/forwarder partners</w:t>
            </w:r>
          </w:p>
        </w:tc>
      </w:tr>
      <w:tr>
        <w:trPr>
          <w:cantSplit/>
        </w:trPr>
        <w:tc>
          <w:tcPr>
            <w:tcW w:type="dxa" w:w="2664"/>
            <w:tcMar>
              <w:top w:w="70" w:type="dxa"/>
              <w:start w:w="90" w:type="dxa"/>
              <w:bottom w:w="70" w:type="dxa"/>
              <w:end w:w="90" w:type="dxa"/>
            </w:tcMar>
            <w:vAlign w:val="top"/>
          </w:tcPr>
          <w:p>
            <w:pPr>
              <w:spacing w:before="0" w:after="0" w:line="240" w:lineRule="auto"/>
            </w:pPr>
            <w:r>
              <w:rPr>
                <w:rFonts w:ascii="Aptos" w:hAnsi="Aptos"/>
                <w:b/>
                <w:color w:val="24313D"/>
                <w:sz w:val="16"/>
              </w:rPr>
              <w:t>Warehouse execution</w:t>
            </w:r>
          </w:p>
        </w:tc>
        <w:tc>
          <w:tcPr>
            <w:tcW w:type="dxa" w:w="6840"/>
            <w:tcMar>
              <w:top w:w="70" w:type="dxa"/>
              <w:start w:w="90" w:type="dxa"/>
              <w:bottom w:w="70" w:type="dxa"/>
              <w:end w:w="90" w:type="dxa"/>
            </w:tcMar>
            <w:vAlign w:val="top"/>
          </w:tcPr>
          <w:p>
            <w:pPr>
              <w:spacing w:before="0" w:after="0" w:line="240" w:lineRule="auto"/>
            </w:pPr>
            <w:r>
              <w:rPr>
                <w:rFonts w:ascii="Aptos" w:hAnsi="Aptos"/>
                <w:color w:val="24313D"/>
                <w:sz w:val="16"/>
              </w:rPr>
              <w:t>Receipt, quarantine, zones, pick/pack, measurements, label control, release, manifest and custody</w:t>
            </w:r>
          </w:p>
        </w:tc>
      </w:tr>
      <w:tr>
        <w:trPr>
          <w:cantSplit/>
        </w:trPr>
        <w:tc>
          <w:tcPr>
            <w:tcW w:type="dxa" w:w="2664"/>
            <w:tcMar>
              <w:top w:w="70" w:type="dxa"/>
              <w:start w:w="90" w:type="dxa"/>
              <w:bottom w:w="70" w:type="dxa"/>
              <w:end w:w="90" w:type="dxa"/>
            </w:tcMar>
            <w:vAlign w:val="top"/>
            <w:shd w:fill="F5F7F8"/>
          </w:tcPr>
          <w:p>
            <w:pPr>
              <w:spacing w:before="0" w:after="0" w:line="240" w:lineRule="auto"/>
            </w:pPr>
            <w:r>
              <w:rPr>
                <w:rFonts w:ascii="Aptos" w:hAnsi="Aptos"/>
                <w:b/>
                <w:color w:val="24313D"/>
                <w:sz w:val="16"/>
              </w:rPr>
              <w:t>Events &amp; audit</w:t>
            </w:r>
          </w:p>
        </w:tc>
        <w:tc>
          <w:tcPr>
            <w:tcW w:type="dxa" w:w="6840"/>
            <w:tcMar>
              <w:top w:w="70" w:type="dxa"/>
              <w:start w:w="90" w:type="dxa"/>
              <w:bottom w:w="70" w:type="dxa"/>
              <w:end w:w="90" w:type="dxa"/>
            </w:tcMar>
            <w:vAlign w:val="top"/>
            <w:shd w:fill="F5F7F8"/>
          </w:tcPr>
          <w:p>
            <w:pPr>
              <w:spacing w:before="0" w:after="0" w:line="240" w:lineRule="auto"/>
            </w:pPr>
            <w:r>
              <w:rPr>
                <w:rFonts w:ascii="Aptos" w:hAnsi="Aptos"/>
                <w:color w:val="24313D"/>
                <w:sz w:val="16"/>
              </w:rPr>
              <w:t>Transactional event outbox, immutable audit, evidence dossier, legal holds and retention</w:t>
            </w:r>
          </w:p>
        </w:tc>
      </w:tr>
      <w:tr>
        <w:trPr>
          <w:cantSplit/>
        </w:trPr>
        <w:tc>
          <w:tcPr>
            <w:tcW w:type="dxa" w:w="2664"/>
            <w:tcMar>
              <w:top w:w="70" w:type="dxa"/>
              <w:start w:w="90" w:type="dxa"/>
              <w:bottom w:w="70" w:type="dxa"/>
              <w:end w:w="90" w:type="dxa"/>
            </w:tcMar>
            <w:vAlign w:val="top"/>
          </w:tcPr>
          <w:p>
            <w:pPr>
              <w:spacing w:before="0" w:after="0" w:line="240" w:lineRule="auto"/>
            </w:pPr>
            <w:r>
              <w:rPr>
                <w:rFonts w:ascii="Aptos" w:hAnsi="Aptos"/>
                <w:b/>
                <w:color w:val="24313D"/>
                <w:sz w:val="16"/>
              </w:rPr>
              <w:t>Privacy &amp; regional platform</w:t>
            </w:r>
          </w:p>
        </w:tc>
        <w:tc>
          <w:tcPr>
            <w:tcW w:type="dxa" w:w="6840"/>
            <w:tcMar>
              <w:top w:w="70" w:type="dxa"/>
              <w:start w:w="90" w:type="dxa"/>
              <w:bottom w:w="70" w:type="dxa"/>
              <w:end w:w="90" w:type="dxa"/>
            </w:tcMar>
            <w:vAlign w:val="top"/>
          </w:tcPr>
          <w:p>
            <w:pPr>
              <w:spacing w:before="0" w:after="0" w:line="240" w:lineRule="auto"/>
            </w:pPr>
            <w:r>
              <w:rPr>
                <w:rFonts w:ascii="Aptos" w:hAnsi="Aptos"/>
                <w:color w:val="24313D"/>
                <w:sz w:val="16"/>
              </w:rPr>
              <w:t>Tenant-region placement, keys, transfer controls, rights, deletion, support access and DR</w:t>
            </w:r>
          </w:p>
        </w:tc>
      </w:tr>
    </w:tbl>
    <w:p>
      <w:pPr>
        <w:pStyle w:val="Heading2"/>
        <w:keepNext/>
      </w:pPr>
      <w:r>
        <w:t>4.2 Request and evidence pipeline</w:t>
      </w:r>
    </w:p>
    <w:tbl>
      <w:tblPr>
        <w:tblW w:type="dxa" w:w="9500"/>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50" w:type="dxa"/>
      </w:tblPr>
      <w:tblGrid>
        <w:gridCol w:w="1900"/>
        <w:gridCol w:w="1900"/>
        <w:gridCol w:w="1900"/>
        <w:gridCol w:w="1900"/>
        <w:gridCol w:w="1900"/>
      </w:tblGrid>
      <w:tr>
        <w:trPr>
          <w:tblHeader w:val="true"/>
        </w:trPr>
        <w:tc>
          <w:tcPr>
            <w:tcW w:type="dxa" w:w="1900"/>
            <w:shd w:fill="16324F"/>
            <w:tcMar>
              <w:top w:w="80" w:type="dxa"/>
              <w:start w:w="50" w:type="dxa"/>
              <w:bottom w:w="80" w:type="dxa"/>
              <w:end w:w="50" w:type="dxa"/>
            </w:tcMar>
          </w:tcPr>
          <w:p>
            <w:pPr>
              <w:jc w:val="center"/>
            </w:pPr>
            <w:r>
              <w:rPr>
                <w:b/>
                <w:color w:val="FFFFFF"/>
                <w:sz w:val="16"/>
              </w:rPr>
              <w:t>01</w:t>
            </w:r>
          </w:p>
        </w:tc>
        <w:tc>
          <w:tcPr>
            <w:tcW w:type="dxa" w:w="1900"/>
            <w:shd w:fill="0F6B78"/>
            <w:tcMar>
              <w:top w:w="80" w:type="dxa"/>
              <w:start w:w="50" w:type="dxa"/>
              <w:bottom w:w="80" w:type="dxa"/>
              <w:end w:w="50" w:type="dxa"/>
            </w:tcMar>
          </w:tcPr>
          <w:p>
            <w:pPr>
              <w:jc w:val="center"/>
            </w:pPr>
            <w:r>
              <w:rPr>
                <w:b/>
                <w:color w:val="FFFFFF"/>
                <w:sz w:val="16"/>
              </w:rPr>
              <w:t>02</w:t>
            </w:r>
          </w:p>
        </w:tc>
        <w:tc>
          <w:tcPr>
            <w:tcW w:type="dxa" w:w="1900"/>
            <w:shd w:fill="16324F"/>
            <w:tcMar>
              <w:top w:w="80" w:type="dxa"/>
              <w:start w:w="50" w:type="dxa"/>
              <w:bottom w:w="80" w:type="dxa"/>
              <w:end w:w="50" w:type="dxa"/>
            </w:tcMar>
          </w:tcPr>
          <w:p>
            <w:pPr>
              <w:jc w:val="center"/>
            </w:pPr>
            <w:r>
              <w:rPr>
                <w:b/>
                <w:color w:val="FFFFFF"/>
                <w:sz w:val="16"/>
              </w:rPr>
              <w:t>03</w:t>
            </w:r>
          </w:p>
        </w:tc>
        <w:tc>
          <w:tcPr>
            <w:tcW w:type="dxa" w:w="1900"/>
            <w:shd w:fill="0F6B78"/>
            <w:tcMar>
              <w:top w:w="80" w:type="dxa"/>
              <w:start w:w="50" w:type="dxa"/>
              <w:bottom w:w="80" w:type="dxa"/>
              <w:end w:w="50" w:type="dxa"/>
            </w:tcMar>
          </w:tcPr>
          <w:p>
            <w:pPr>
              <w:jc w:val="center"/>
            </w:pPr>
            <w:r>
              <w:rPr>
                <w:b/>
                <w:color w:val="FFFFFF"/>
                <w:sz w:val="16"/>
              </w:rPr>
              <w:t>04</w:t>
            </w:r>
          </w:p>
        </w:tc>
        <w:tc>
          <w:tcPr>
            <w:tcW w:type="dxa" w:w="1900"/>
            <w:shd w:fill="16324F"/>
            <w:tcMar>
              <w:top w:w="80" w:type="dxa"/>
              <w:start w:w="50" w:type="dxa"/>
              <w:bottom w:w="80" w:type="dxa"/>
              <w:end w:w="50" w:type="dxa"/>
            </w:tcMar>
          </w:tcPr>
          <w:p>
            <w:pPr>
              <w:jc w:val="center"/>
            </w:pPr>
            <w:r>
              <w:rPr>
                <w:b/>
                <w:color w:val="FFFFFF"/>
                <w:sz w:val="16"/>
              </w:rPr>
              <w:t>05</w:t>
            </w:r>
          </w:p>
        </w:tc>
      </w:tr>
      <w:tr>
        <w:tc>
          <w:tcPr>
            <w:tcW w:type="dxa" w:w="1900"/>
            <w:shd w:fill="F5F7F8"/>
            <w:tcMar>
              <w:top w:w="90" w:type="dxa"/>
              <w:start w:w="50" w:type="dxa"/>
              <w:bottom w:w="90" w:type="dxa"/>
              <w:end w:w="65" w:type="dxa"/>
            </w:tcMar>
          </w:tcPr>
          <w:p>
            <w:pPr>
              <w:jc w:val="center"/>
            </w:pPr>
            <w:r>
              <w:rPr>
                <w:b/>
                <w:color w:val="24313D"/>
                <w:sz w:val="16"/>
              </w:rPr>
              <w:t>Normalize</w:t>
            </w:r>
          </w:p>
        </w:tc>
        <w:tc>
          <w:tcPr>
            <w:tcW w:type="dxa" w:w="1900"/>
            <w:shd w:fill="F5F7F8"/>
            <w:tcMar>
              <w:top w:w="90" w:type="dxa"/>
              <w:start w:w="50" w:type="dxa"/>
              <w:bottom w:w="90" w:type="dxa"/>
              <w:end w:w="65" w:type="dxa"/>
            </w:tcMar>
          </w:tcPr>
          <w:p>
            <w:pPr>
              <w:jc w:val="center"/>
            </w:pPr>
            <w:r>
              <w:rPr>
                <w:b/>
                <w:color w:val="24313D"/>
                <w:sz w:val="16"/>
              </w:rPr>
              <w:t>Resolve nexuses</w:t>
            </w:r>
          </w:p>
        </w:tc>
        <w:tc>
          <w:tcPr>
            <w:tcW w:type="dxa" w:w="1900"/>
            <w:shd w:fill="F5F7F8"/>
            <w:tcMar>
              <w:top w:w="90" w:type="dxa"/>
              <w:start w:w="50" w:type="dxa"/>
              <w:bottom w:w="90" w:type="dxa"/>
              <w:end w:w="65" w:type="dxa"/>
            </w:tcMar>
          </w:tcPr>
          <w:p>
            <w:pPr>
              <w:jc w:val="center"/>
            </w:pPr>
            <w:r>
              <w:rPr>
                <w:b/>
                <w:color w:val="24313D"/>
                <w:sz w:val="16"/>
              </w:rPr>
              <w:t>Evaluate rules</w:t>
            </w:r>
          </w:p>
        </w:tc>
        <w:tc>
          <w:tcPr>
            <w:tcW w:type="dxa" w:w="1900"/>
            <w:shd w:fill="F5F7F8"/>
            <w:tcMar>
              <w:top w:w="90" w:type="dxa"/>
              <w:start w:w="50" w:type="dxa"/>
              <w:bottom w:w="90" w:type="dxa"/>
              <w:end w:w="65" w:type="dxa"/>
            </w:tcMar>
          </w:tcPr>
          <w:p>
            <w:pPr>
              <w:jc w:val="center"/>
            </w:pPr>
            <w:r>
              <w:rPr>
                <w:b/>
                <w:color w:val="24313D"/>
                <w:sz w:val="16"/>
              </w:rPr>
              <w:t>Obtain approvals</w:t>
            </w:r>
          </w:p>
        </w:tc>
        <w:tc>
          <w:tcPr>
            <w:tcW w:type="dxa" w:w="1900"/>
            <w:shd w:fill="F5F7F8"/>
            <w:tcMar>
              <w:top w:w="90" w:type="dxa"/>
              <w:start w:w="50" w:type="dxa"/>
              <w:bottom w:w="90" w:type="dxa"/>
              <w:end w:w="65" w:type="dxa"/>
            </w:tcMar>
          </w:tcPr>
          <w:p>
            <w:pPr>
              <w:jc w:val="center"/>
            </w:pPr>
            <w:r>
              <w:rPr>
                <w:b/>
                <w:color w:val="24313D"/>
                <w:sz w:val="16"/>
              </w:rPr>
              <w:t>Release &amp; evidence</w:t>
            </w:r>
          </w:p>
        </w:tc>
      </w:tr>
    </w:tbl>
    <w:p>
      <w:pPr>
        <w:pStyle w:val="Heading2"/>
        <w:keepNext/>
      </w:pPr>
      <w:r>
        <w:t>4.3 Regional deployment pattern</w:t>
      </w:r>
    </w:p>
    <w:p>
      <w:pPr>
        <w:pStyle w:val="ListBullet"/>
        <w:spacing w:before="0" w:after="40" w:line="254" w:lineRule="auto"/>
        <w:ind w:left="259" w:hanging="173"/>
      </w:pPr>
      <w:r>
        <w:t>Regional data plane: tenant shipments, parties, products, documents, logs, search indexes, queues, backups and tenant keys remain in the selected approved region according to the region policy.</w:t>
      </w:r>
    </w:p>
    <w:p>
      <w:pPr>
        <w:pStyle w:val="ListBullet"/>
        <w:spacing w:before="0" w:after="40" w:line="254" w:lineRule="auto"/>
        <w:ind w:left="259" w:hanging="173"/>
      </w:pPr>
      <w:r>
        <w:t>Minimal global control plane: tenant routing, region code, subscription metadata, non-sensitive service health and globally safe reference versions. Do not replicate shipment payloads globally.</w:t>
      </w:r>
    </w:p>
    <w:p>
      <w:pPr>
        <w:pStyle w:val="ListBullet"/>
        <w:spacing w:before="0" w:after="40" w:line="254" w:lineRule="auto"/>
        <w:ind w:left="259" w:hanging="173"/>
      </w:pPr>
      <w:r>
        <w:t>Partner egress: transmit only fields required for carrier/postal/air service, regulatory filing, fraud/security and delivery. Record recipient, purpose, country, legal mechanism and payload hash.</w:t>
      </w:r>
    </w:p>
    <w:p>
      <w:pPr>
        <w:pStyle w:val="ListBullet"/>
        <w:spacing w:before="0" w:after="40" w:line="254" w:lineRule="auto"/>
        <w:ind w:left="259" w:hanging="173"/>
      </w:pPr>
      <w:r>
        <w:t>Regional support: just-in-time, approved, recorded access with region and tenant scope; no standing support accounts with unrestricted payload visibility.</w:t>
      </w:r>
    </w:p>
    <w:p>
      <w:pPr>
        <w:pStyle w:val="ListBullet"/>
        <w:spacing w:before="0" w:after="40" w:line="254" w:lineRule="auto"/>
        <w:ind w:left="259" w:hanging="173"/>
      </w:pPr>
      <w:r>
        <w:t>Disaster recovery: failover targets and backup locations must be approved for the tenant region; a resilience event may not silently violate residency.</w:t>
      </w:r>
    </w:p>
    <w:p>
      <w:pPr>
        <w:pStyle w:val="Heading2"/>
        <w:keepNext/>
      </w:pPr>
      <w:r>
        <w:t>4.4 Reliability and consistency</w:t>
      </w:r>
    </w:p>
    <w:p>
      <w:pPr>
        <w:pStyle w:val="ListBullet"/>
        <w:spacing w:before="0" w:after="40" w:line="254" w:lineRule="auto"/>
        <w:ind w:left="259" w:hanging="173"/>
      </w:pPr>
      <w:r>
        <w:t>Use immutable aggregate versions and optimistic concurrency for shipments, packages, approvals, licences, inventory and partner operations.</w:t>
      </w:r>
    </w:p>
    <w:p>
      <w:pPr>
        <w:pStyle w:val="ListBullet"/>
        <w:spacing w:before="0" w:after="40" w:line="254" w:lineRule="auto"/>
        <w:ind w:left="259" w:hanging="173"/>
      </w:pPr>
      <w:r>
        <w:t>Use transactional outbox/inbox patterns so database commit and event publication cannot diverge.</w:t>
      </w:r>
    </w:p>
    <w:p>
      <w:pPr>
        <w:pStyle w:val="ListBullet"/>
        <w:spacing w:before="0" w:after="40" w:line="254" w:lineRule="auto"/>
        <w:ind w:left="259" w:hanging="173"/>
      </w:pPr>
      <w:r>
        <w:t>Idempotency keys must cover label/ship, declaration, booking, pickup, void/cancel and licence reservation operations.</w:t>
      </w:r>
    </w:p>
    <w:p>
      <w:pPr>
        <w:pStyle w:val="ListBullet"/>
        <w:spacing w:before="0" w:after="40" w:line="254" w:lineRule="auto"/>
        <w:ind w:left="259" w:hanging="173"/>
      </w:pPr>
      <w:r>
        <w:t>External timeouts are UNKNOWN, not success. Query/reconcile the partner before retrying a potentially non-idempotent operation.</w:t>
      </w:r>
    </w:p>
    <w:p>
      <w:pPr>
        <w:pStyle w:val="ListBullet"/>
        <w:spacing w:before="0" w:after="40" w:line="254" w:lineRule="auto"/>
        <w:ind w:left="259" w:hanging="173"/>
      </w:pPr>
      <w:r>
        <w:t>Compliance-critical services remain fail closed in degraded mode; a manual continuity process may capture custody but cannot bypass release gates.</w:t>
      </w:r>
    </w:p>
    <w:p>
      <w:r>
        <w:br w:type="page"/>
      </w:r>
    </w:p>
    <w:p>
      <w:pPr>
        <w:pStyle w:val="Heading1"/>
        <w:keepNext/>
      </w:pPr>
      <w:r>
        <w:t>5. Canonical shipment lifecycle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088"/>
        <w:gridCol w:w="6048"/>
        <w:gridCol w:w="1368"/>
      </w:tblGrid>
      <w:tr>
        <w:trPr>
          <w:tblHeader w:val="true"/>
        </w:trPr>
        <w:tc>
          <w:tcPr>
            <w:tcW w:type="dxa" w:w="208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Stage</w:t>
            </w:r>
          </w:p>
        </w:tc>
        <w:tc>
          <w:tcPr>
            <w:tcW w:type="dxa" w:w="604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Mandatory controls</w:t>
            </w:r>
          </w:p>
        </w:tc>
        <w:tc>
          <w:tcPr>
            <w:tcW w:type="dxa" w:w="136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Exit artifact</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5"/>
              </w:rPr>
              <w:t>1. Tenant/customer onboarding</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5"/>
              </w:rPr>
              <w:t>KYB/KYC, legal roles, mandates, site licences, commodity permissions, carrier accounts and reviewer credentials</w:t>
            </w:r>
          </w:p>
        </w:tc>
        <w:tc>
          <w:tcPr>
            <w:tcW w:type="dxa" w:w="1368"/>
            <w:tcMar>
              <w:top w:w="70" w:type="dxa"/>
              <w:start w:w="90" w:type="dxa"/>
              <w:bottom w:w="70" w:type="dxa"/>
              <w:end w:w="90" w:type="dxa"/>
            </w:tcMar>
            <w:vAlign w:val="top"/>
          </w:tcPr>
          <w:p>
            <w:pPr>
              <w:spacing w:before="0" w:after="0" w:line="240" w:lineRule="auto"/>
            </w:pPr>
            <w:r>
              <w:rPr>
                <w:rFonts w:ascii="Aptos" w:hAnsi="Aptos"/>
                <w:color w:val="24313D"/>
                <w:sz w:val="15"/>
              </w:rPr>
              <w:t>Tenant/customer/site active</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5"/>
              </w:rPr>
              <w:t>2. Product onboarding</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5"/>
              </w:rPr>
              <w:t>Description, composition, HS/origin/value method, export-control, DG and regulated-product dossiers</w:t>
            </w:r>
          </w:p>
        </w:tc>
        <w:tc>
          <w:tcPr>
            <w:tcW w:type="dxa" w:w="1368"/>
            <w:tcMar>
              <w:top w:w="70" w:type="dxa"/>
              <w:start w:w="90" w:type="dxa"/>
              <w:bottom w:w="70" w:type="dxa"/>
              <w:end w:w="90" w:type="dxa"/>
            </w:tcMar>
            <w:vAlign w:val="top"/>
            <w:shd w:fill="F5F7F8"/>
          </w:tcPr>
          <w:p>
            <w:pPr>
              <w:spacing w:before="0" w:after="0" w:line="240" w:lineRule="auto"/>
            </w:pPr>
            <w:r>
              <w:rPr>
                <w:rFonts w:ascii="Aptos" w:hAnsi="Aptos"/>
                <w:color w:val="24313D"/>
                <w:sz w:val="15"/>
              </w:rPr>
              <w:t>Approved product version</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5"/>
              </w:rPr>
              <w:t>3. Order ingestion</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5"/>
              </w:rPr>
              <w:t>Parties/roles, flow, purpose, values, incoterm, items and requested service</w:t>
            </w:r>
          </w:p>
        </w:tc>
        <w:tc>
          <w:tcPr>
            <w:tcW w:type="dxa" w:w="1368"/>
            <w:tcMar>
              <w:top w:w="70" w:type="dxa"/>
              <w:start w:w="90" w:type="dxa"/>
              <w:bottom w:w="70" w:type="dxa"/>
              <w:end w:w="90" w:type="dxa"/>
            </w:tcMar>
            <w:vAlign w:val="top"/>
          </w:tcPr>
          <w:p>
            <w:pPr>
              <w:spacing w:before="0" w:after="0" w:line="240" w:lineRule="auto"/>
            </w:pPr>
            <w:r>
              <w:rPr>
                <w:rFonts w:ascii="Aptos" w:hAnsi="Aptos"/>
                <w:color w:val="24313D"/>
                <w:sz w:val="15"/>
              </w:rPr>
              <w:t>Valid canonical order</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5"/>
              </w:rPr>
              <w:t>4. Nexus and screening</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5"/>
              </w:rPr>
              <w:t>Jurisdictions, parties/ownership, sanctions, export/end use and anomaly risk</w:t>
            </w:r>
          </w:p>
        </w:tc>
        <w:tc>
          <w:tcPr>
            <w:tcW w:type="dxa" w:w="1368"/>
            <w:tcMar>
              <w:top w:w="70" w:type="dxa"/>
              <w:start w:w="90" w:type="dxa"/>
              <w:bottom w:w="70" w:type="dxa"/>
              <w:end w:w="90" w:type="dxa"/>
            </w:tcMar>
            <w:vAlign w:val="top"/>
            <w:shd w:fill="F5F7F8"/>
          </w:tcPr>
          <w:p>
            <w:pPr>
              <w:spacing w:before="0" w:after="0" w:line="240" w:lineRule="auto"/>
            </w:pPr>
            <w:r>
              <w:rPr>
                <w:rFonts w:ascii="Aptos" w:hAnsi="Aptos"/>
                <w:color w:val="24313D"/>
                <w:sz w:val="15"/>
              </w:rPr>
              <w:t>Clear/review/block cases</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5"/>
              </w:rPr>
              <w:t>5. Lane/service eligibility</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5"/>
              </w:rPr>
              <w:t>Country packs, transit, carrier/account capabilities, commodity and tenant/site permissions</w:t>
            </w:r>
          </w:p>
        </w:tc>
        <w:tc>
          <w:tcPr>
            <w:tcW w:type="dxa" w:w="1368"/>
            <w:tcMar>
              <w:top w:w="70" w:type="dxa"/>
              <w:start w:w="90" w:type="dxa"/>
              <w:bottom w:w="70" w:type="dxa"/>
              <w:end w:w="90" w:type="dxa"/>
            </w:tcMar>
            <w:vAlign w:val="top"/>
          </w:tcPr>
          <w:p>
            <w:pPr>
              <w:spacing w:before="0" w:after="0" w:line="240" w:lineRule="auto"/>
            </w:pPr>
            <w:r>
              <w:rPr>
                <w:rFonts w:ascii="Aptos" w:hAnsi="Aptos"/>
                <w:color w:val="24313D"/>
                <w:sz w:val="15"/>
              </w:rPr>
              <w:t>Eligible services and conditions</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5"/>
              </w:rPr>
              <w:t>6. Rating and terms</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5"/>
              </w:rPr>
              <w:t>Carrier rate/transit, landed-cost estimate, DDP/DAP roles and payment/tax identifiers</w:t>
            </w:r>
          </w:p>
        </w:tc>
        <w:tc>
          <w:tcPr>
            <w:tcW w:type="dxa" w:w="1368"/>
            <w:tcMar>
              <w:top w:w="70" w:type="dxa"/>
              <w:start w:w="90" w:type="dxa"/>
              <w:bottom w:w="70" w:type="dxa"/>
              <w:end w:w="90" w:type="dxa"/>
            </w:tcMar>
            <w:vAlign w:val="top"/>
            <w:shd w:fill="F5F7F8"/>
          </w:tcPr>
          <w:p>
            <w:pPr>
              <w:spacing w:before="0" w:after="0" w:line="240" w:lineRule="auto"/>
            </w:pPr>
            <w:r>
              <w:rPr>
                <w:rFonts w:ascii="Aptos" w:hAnsi="Aptos"/>
                <w:color w:val="24313D"/>
                <w:sz w:val="15"/>
              </w:rPr>
              <w:t>Selected service/term</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5"/>
              </w:rPr>
              <w:t>7. Allocation and pack plan</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5"/>
              </w:rPr>
              <w:t>Lot/serial/expiry, storage and packaging, DG/cold-chain/high-value instructions</w:t>
            </w:r>
          </w:p>
        </w:tc>
        <w:tc>
          <w:tcPr>
            <w:tcW w:type="dxa" w:w="1368"/>
            <w:tcMar>
              <w:top w:w="70" w:type="dxa"/>
              <w:start w:w="90" w:type="dxa"/>
              <w:bottom w:w="70" w:type="dxa"/>
              <w:end w:w="90" w:type="dxa"/>
            </w:tcMar>
            <w:vAlign w:val="top"/>
          </w:tcPr>
          <w:p>
            <w:pPr>
              <w:spacing w:before="0" w:after="0" w:line="240" w:lineRule="auto"/>
            </w:pPr>
            <w:r>
              <w:rPr>
                <w:rFonts w:ascii="Aptos" w:hAnsi="Aptos"/>
                <w:color w:val="24313D"/>
                <w:sz w:val="15"/>
              </w:rPr>
              <w:t>Locked pack instruction</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5"/>
              </w:rPr>
              <w:t>8. Physical pack</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5"/>
              </w:rPr>
              <w:t>Scan contents, measure, label/mark, sensor/seal and document placement</w:t>
            </w:r>
          </w:p>
        </w:tc>
        <w:tc>
          <w:tcPr>
            <w:tcW w:type="dxa" w:w="1368"/>
            <w:tcMar>
              <w:top w:w="70" w:type="dxa"/>
              <w:start w:w="90" w:type="dxa"/>
              <w:bottom w:w="70" w:type="dxa"/>
              <w:end w:w="90" w:type="dxa"/>
            </w:tcMar>
            <w:vAlign w:val="top"/>
            <w:shd w:fill="F5F7F8"/>
          </w:tcPr>
          <w:p>
            <w:pPr>
              <w:spacing w:before="0" w:after="0" w:line="240" w:lineRule="auto"/>
            </w:pPr>
            <w:r>
              <w:rPr>
                <w:rFonts w:ascii="Aptos" w:hAnsi="Aptos"/>
                <w:color w:val="24313D"/>
                <w:sz w:val="15"/>
              </w:rPr>
              <w:t>Reconciled package</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5"/>
              </w:rPr>
              <w:t>9. Documents and external filing</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5"/>
              </w:rPr>
              <w:t>Generate version-locked documents; transmit via carrier/postal/partner; process referrals</w:t>
            </w:r>
          </w:p>
        </w:tc>
        <w:tc>
          <w:tcPr>
            <w:tcW w:type="dxa" w:w="1368"/>
            <w:tcMar>
              <w:top w:w="70" w:type="dxa"/>
              <w:start w:w="90" w:type="dxa"/>
              <w:bottom w:w="70" w:type="dxa"/>
              <w:end w:w="90" w:type="dxa"/>
            </w:tcMar>
            <w:vAlign w:val="top"/>
          </w:tcPr>
          <w:p>
            <w:pPr>
              <w:spacing w:before="0" w:after="0" w:line="240" w:lineRule="auto"/>
            </w:pPr>
            <w:r>
              <w:rPr>
                <w:rFonts w:ascii="Aptos" w:hAnsi="Aptos"/>
                <w:color w:val="24313D"/>
                <w:sz w:val="15"/>
              </w:rPr>
              <w:t>Accepted/approved external states</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5"/>
              </w:rPr>
              <w:t>10. Final release</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5"/>
              </w:rPr>
              <w:t>Rescreen; verify approvals, booking, documents, actuals, holds and manifest</w:t>
            </w:r>
          </w:p>
        </w:tc>
        <w:tc>
          <w:tcPr>
            <w:tcW w:type="dxa" w:w="1368"/>
            <w:tcMar>
              <w:top w:w="70" w:type="dxa"/>
              <w:start w:w="90" w:type="dxa"/>
              <w:bottom w:w="70" w:type="dxa"/>
              <w:end w:w="90" w:type="dxa"/>
            </w:tcMar>
            <w:vAlign w:val="top"/>
            <w:shd w:fill="F5F7F8"/>
          </w:tcPr>
          <w:p>
            <w:pPr>
              <w:spacing w:before="0" w:after="0" w:line="240" w:lineRule="auto"/>
            </w:pPr>
            <w:r>
              <w:rPr>
                <w:rFonts w:ascii="Aptos" w:hAnsi="Aptos"/>
                <w:color w:val="24313D"/>
                <w:sz w:val="15"/>
              </w:rPr>
              <w:t>RELEASED</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5"/>
              </w:rPr>
              <w:t>11. Handover and transit</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5"/>
              </w:rPr>
              <w:t>Pickup/manifest scans, custody proof, tracking events, route/referral/exception processing</w:t>
            </w:r>
          </w:p>
        </w:tc>
        <w:tc>
          <w:tcPr>
            <w:tcW w:type="dxa" w:w="1368"/>
            <w:tcMar>
              <w:top w:w="70" w:type="dxa"/>
              <w:start w:w="90" w:type="dxa"/>
              <w:bottom w:w="70" w:type="dxa"/>
              <w:end w:w="90" w:type="dxa"/>
            </w:tcMar>
            <w:vAlign w:val="top"/>
          </w:tcPr>
          <w:p>
            <w:pPr>
              <w:spacing w:before="0" w:after="0" w:line="240" w:lineRule="auto"/>
            </w:pPr>
            <w:r>
              <w:rPr>
                <w:rFonts w:ascii="Aptos" w:hAnsi="Aptos"/>
                <w:color w:val="24313D"/>
                <w:sz w:val="15"/>
              </w:rPr>
              <w:t>TENDERED / IN_TRANSIT</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5"/>
              </w:rPr>
              <w:t>12. Delivery, return or closure</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5"/>
              </w:rPr>
              <w:t>Proof, claims, return/re-import links, quality disposition, reconciliation and retention</w:t>
            </w:r>
          </w:p>
        </w:tc>
        <w:tc>
          <w:tcPr>
            <w:tcW w:type="dxa" w:w="1368"/>
            <w:tcMar>
              <w:top w:w="70" w:type="dxa"/>
              <w:start w:w="90" w:type="dxa"/>
              <w:bottom w:w="70" w:type="dxa"/>
              <w:end w:w="90" w:type="dxa"/>
            </w:tcMar>
            <w:vAlign w:val="top"/>
            <w:shd w:fill="F5F7F8"/>
          </w:tcPr>
          <w:p>
            <w:pPr>
              <w:spacing w:before="0" w:after="0" w:line="240" w:lineRule="auto"/>
            </w:pPr>
            <w:r>
              <w:rPr>
                <w:rFonts w:ascii="Aptos" w:hAnsi="Aptos"/>
                <w:color w:val="24313D"/>
                <w:sz w:val="15"/>
              </w:rPr>
              <w:t>Closed evidence dossier</w:t>
            </w:r>
          </w:p>
        </w:tc>
      </w:tr>
    </w:tbl>
    <w:p>
      <w:pPr>
        <w:pStyle w:val="Heading2"/>
        <w:keepNext/>
      </w:pPr>
      <w:r>
        <w:t>5.1 Lifecycle invalidation triggers</w:t>
      </w:r>
    </w:p>
    <w:p>
      <w:pPr>
        <w:pStyle w:val="ListBullet"/>
        <w:spacing w:before="0" w:after="40" w:line="254" w:lineRule="auto"/>
        <w:ind w:left="259" w:hanging="173"/>
      </w:pPr>
      <w:r>
        <w:t>Party, address, owner/controller, bank, end user or end-use change → rescreen and export-control reevaluation.</w:t>
      </w:r>
    </w:p>
    <w:p>
      <w:pPr>
        <w:pStyle w:val="ListBullet"/>
        <w:spacing w:before="0" w:after="40" w:line="254" w:lineRule="auto"/>
        <w:ind w:left="259" w:hanging="173"/>
      </w:pPr>
      <w:r>
        <w:t>Product composition, manufacturer, model, firmware, battery, origin or intended-use change → classification and commodity dossier invalidation.</w:t>
      </w:r>
    </w:p>
    <w:p>
      <w:pPr>
        <w:pStyle w:val="ListBullet"/>
        <w:spacing w:before="0" w:after="40" w:line="254" w:lineRule="auto"/>
        <w:ind w:left="259" w:hanging="173"/>
      </w:pPr>
      <w:r>
        <w:t>Quantity, value, package, weight, dimensions, coolant or DG configuration change → tariff, DG, rate, document and booking reevaluation.</w:t>
      </w:r>
    </w:p>
    <w:p>
      <w:pPr>
        <w:pStyle w:val="ListBullet"/>
        <w:spacing w:before="0" w:after="40" w:line="254" w:lineRule="auto"/>
        <w:ind w:left="259" w:hanging="173"/>
      </w:pPr>
      <w:r>
        <w:t>Carrier, service, account, route, ship time, transit or destination change → country/territory, sanctions, PLACI, carrier and document reevaluation.</w:t>
      </w:r>
    </w:p>
    <w:p>
      <w:pPr>
        <w:pStyle w:val="ListBullet"/>
        <w:spacing w:before="0" w:after="40" w:line="254" w:lineRule="auto"/>
        <w:ind w:left="259" w:hanging="173"/>
      </w:pPr>
      <w:r>
        <w:t>Rule, list, source, licence, reviewer credential or carrier capability change → impacted open shipments reevaluated.</w:t>
      </w:r>
    </w:p>
    <w:p>
      <w:pPr>
        <w:pStyle w:val="ListBullet"/>
        <w:spacing w:before="0" w:after="40" w:line="254" w:lineRule="auto"/>
        <w:ind w:left="259" w:hanging="173"/>
      </w:pPr>
      <w:r>
        <w:t>Physical damage, temperature excursion, recall, quarantine or custody discrepancy → immediate warehouse hold and incident workflow.</w:t>
      </w:r>
    </w:p>
    <w:p>
      <w:pPr>
        <w:pStyle w:val="Heading2"/>
        <w:keepNext/>
      </w:pPr>
      <w:r>
        <w:t>5.2 State separation</w:t>
      </w:r>
    </w:p>
    <w:p>
      <w:pPr>
        <w:spacing w:before="0" w:after="80" w:line="259" w:lineRule="auto"/>
      </w:pPr>
      <w:r>
        <w:t>Do not collapse operational, regulatory and external status into one shipment status. A shipment may be packed while screening is pending, have a carrier label while customs filing is unknown, or be tendered while a delivery exception is open. Model at least shipment, package, screening, export-control, DG, quality, declaration, booking, document, manifest, custody and billing/reconciliation state machines separately and derive a read-only overall readiness view.</w:t>
      </w:r>
    </w:p>
    <w:p>
      <w:r>
        <w:br w:type="page"/>
      </w:r>
    </w:p>
    <w:p>
      <w:pPr>
        <w:pStyle w:val="Heading1"/>
        <w:keepNext/>
      </w:pPr>
      <w:r>
        <w:t>6. Country and territory pack system</w:t>
      </w:r>
    </w:p>
    <w:p>
      <w:pPr>
        <w:pStyle w:val="Heading2"/>
        <w:keepNext/>
      </w:pPr>
      <w:r>
        <w:t>6.1 Coverage definition</w:t>
      </w:r>
    </w:p>
    <w:p>
      <w:pPr>
        <w:spacing w:before="0" w:after="80" w:line="259" w:lineRule="auto"/>
      </w:pPr>
      <w:r>
        <w:t>The first-release register contains 249 officially assigned ISO 3166-1 country/territory records and one explicit user-assigned XK operational record. The companion workbook also contains special customs/fiscal/operational overrides. A pack record is a governed container, not a legal conclusion.</w:t>
      </w:r>
    </w:p>
    <w:tbl>
      <w:tblPr>
        <w:tblW w:type="dxa" w:w="9504"/>
        <w:tblLayout w:type="fixed"/>
        <w:tblLook w:firstColumn="1" w:firstRow="1" w:lastColumn="0" w:lastRow="0" w:noHBand="0" w:noVBand="1" w:val="04A0"/>
        <w:tblBorders>
          <w:top w:val="single" w:sz="8" w:space="0" w:color="E6812A"/>
          <w:left w:val="single" w:sz="8" w:space="0" w:color="E6812A"/>
          <w:bottom w:val="single" w:sz="8" w:space="0" w:color="E6812A"/>
          <w:right w:val="single" w:sz="8" w:space="0" w:color="E6812A"/>
          <w:insideH w:val="single" w:sz="8" w:space="0" w:color="E6812A"/>
          <w:insideV w:val="single" w:sz="8" w:space="0" w:color="E6812A"/>
        </w:tblBorders>
        <w:jc w:val="left"/>
        <w:tblInd w:w="140" w:type="dxa"/>
      </w:tblPr>
      <w:tblGrid>
        <w:gridCol w:w="9504"/>
      </w:tblGrid>
      <w:tr>
        <w:trPr>
          <w:tblHeader w:val="true"/>
        </w:trPr>
        <w:tc>
          <w:tcPr>
            <w:tcW w:type="dxa" w:w="9504"/>
            <w:shd w:fill="E6812A"/>
            <w:tcMar>
              <w:top w:w="90" w:type="dxa"/>
              <w:start w:w="140" w:type="dxa"/>
              <w:bottom w:w="90" w:type="dxa"/>
              <w:end w:w="140" w:type="dxa"/>
            </w:tcMar>
          </w:tcPr>
          <w:p>
            <w:pPr>
              <w:spacing w:before="0" w:after="0" w:line="240" w:lineRule="auto"/>
            </w:pPr>
            <w:r>
              <w:rPr>
                <w:rFonts w:ascii="Aptos Display" w:hAnsi="Aptos Display"/>
                <w:b/>
                <w:color w:val="FFFFFF"/>
                <w:sz w:val="20"/>
              </w:rPr>
              <w:t>Activation invariant</w:t>
            </w:r>
          </w:p>
        </w:tc>
      </w:tr>
      <w:tr>
        <w:tc>
          <w:tcPr>
            <w:tcW w:type="dxa" w:w="9504"/>
            <w:shd w:fill="FFF0E2"/>
            <w:tcMar>
              <w:top w:w="90" w:type="dxa"/>
              <w:start w:w="140" w:type="dxa"/>
              <w:bottom w:w="90" w:type="dxa"/>
              <w:end w:w="140" w:type="dxa"/>
            </w:tcMar>
          </w:tcPr>
          <w:p>
            <w:pPr>
              <w:spacing w:before="0" w:after="0" w:line="252" w:lineRule="auto"/>
            </w:pPr>
            <w:r>
              <w:rPr>
                <w:rFonts w:ascii="Aptos" w:hAnsi="Aptos"/>
                <w:color w:val="24313D"/>
                <w:sz w:val="18"/>
              </w:rPr>
              <w:t>A country pack is production-ready only at the capability level: inbound/outbound × parcel/postal/air × commodity family × customer flow × carrier/service/account. A pack may be ready for ordinary outbound express goods while remaining blocked for postal, DG, food or DDP.</w:t>
            </w:r>
          </w:p>
        </w:tc>
      </w:tr>
    </w:tbl>
    <w:p>
      <w:pPr>
        <w:spacing w:after="0"/>
      </w:pPr>
    </w:p>
    <w:p>
      <w:pPr>
        <w:pStyle w:val="Heading2"/>
        <w:keepNext/>
      </w:pPr>
      <w:r>
        <w:t>6.2 Minimum pack schema</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304"/>
        <w:gridCol w:w="7200"/>
      </w:tblGrid>
      <w:tr>
        <w:trPr>
          <w:tblHeader w:val="true"/>
        </w:trPr>
        <w:tc>
          <w:tcPr>
            <w:tcW w:type="dxa" w:w="230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Pack domain</w:t>
            </w:r>
          </w:p>
        </w:tc>
        <w:tc>
          <w:tcPr>
            <w:tcW w:type="dxa" w:w="720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Required data</w:t>
            </w:r>
          </w:p>
        </w:tc>
      </w:tr>
      <w:tr>
        <w:trPr>
          <w:cantSplit/>
        </w:trPr>
        <w:tc>
          <w:tcPr>
            <w:tcW w:type="dxa" w:w="2304"/>
            <w:tcMar>
              <w:top w:w="70" w:type="dxa"/>
              <w:start w:w="90" w:type="dxa"/>
              <w:bottom w:w="70" w:type="dxa"/>
              <w:end w:w="90" w:type="dxa"/>
            </w:tcMar>
            <w:vAlign w:val="top"/>
          </w:tcPr>
          <w:p>
            <w:pPr>
              <w:spacing w:before="0" w:after="0" w:line="240" w:lineRule="auto"/>
            </w:pPr>
            <w:r>
              <w:rPr>
                <w:rFonts w:ascii="Aptos" w:hAnsi="Aptos"/>
                <w:b/>
                <w:color w:val="24313D"/>
                <w:sz w:val="16"/>
              </w:rPr>
              <w:t>Identity</w:t>
            </w:r>
          </w:p>
        </w:tc>
        <w:tc>
          <w:tcPr>
            <w:tcW w:type="dxa" w:w="7200"/>
            <w:tcMar>
              <w:top w:w="70" w:type="dxa"/>
              <w:start w:w="90" w:type="dxa"/>
              <w:bottom w:w="70" w:type="dxa"/>
              <w:end w:w="90" w:type="dxa"/>
            </w:tcMar>
            <w:vAlign w:val="top"/>
          </w:tcPr>
          <w:p>
            <w:pPr>
              <w:spacing w:before="0" w:after="0" w:line="240" w:lineRule="auto"/>
            </w:pPr>
            <w:r>
              <w:rPr>
                <w:rFonts w:ascii="Aptos" w:hAnsi="Aptos"/>
                <w:color w:val="24313D"/>
                <w:sz w:val="16"/>
              </w:rPr>
              <w:t>ISO alpha-2/alpha-3/M49; official names; carrier/postal aliases; language/scripts; UN/LOCODE data</w:t>
            </w:r>
          </w:p>
        </w:tc>
      </w:tr>
      <w:tr>
        <w:trPr>
          <w:cantSplit/>
        </w:trPr>
        <w:tc>
          <w:tcPr>
            <w:tcW w:type="dxa" w:w="2304"/>
            <w:tcMar>
              <w:top w:w="70" w:type="dxa"/>
              <w:start w:w="90" w:type="dxa"/>
              <w:bottom w:w="70" w:type="dxa"/>
              <w:end w:w="90" w:type="dxa"/>
            </w:tcMar>
            <w:vAlign w:val="top"/>
            <w:shd w:fill="F5F7F8"/>
          </w:tcPr>
          <w:p>
            <w:pPr>
              <w:spacing w:before="0" w:after="0" w:line="240" w:lineRule="auto"/>
            </w:pPr>
            <w:r>
              <w:rPr>
                <w:rFonts w:ascii="Aptos" w:hAnsi="Aptos"/>
                <w:b/>
                <w:color w:val="24313D"/>
                <w:sz w:val="16"/>
              </w:rPr>
              <w:t>Territories</w:t>
            </w:r>
          </w:p>
        </w:tc>
        <w:tc>
          <w:tcPr>
            <w:tcW w:type="dxa" w:w="7200"/>
            <w:tcMar>
              <w:top w:w="70" w:type="dxa"/>
              <w:start w:w="90" w:type="dxa"/>
              <w:bottom w:w="70" w:type="dxa"/>
              <w:end w:w="90" w:type="dxa"/>
            </w:tcMar>
            <w:vAlign w:val="top"/>
            <w:shd w:fill="F5F7F8"/>
          </w:tcPr>
          <w:p>
            <w:pPr>
              <w:spacing w:before="0" w:after="0" w:line="240" w:lineRule="auto"/>
            </w:pPr>
            <w:r>
              <w:rPr>
                <w:rFonts w:ascii="Aptos" w:hAnsi="Aptos"/>
                <w:color w:val="24313D"/>
                <w:sz w:val="16"/>
              </w:rPr>
              <w:t>Customs territory, fiscal/VAT/excise territory, postcode/geofence overrides, free zones and administrative context</w:t>
            </w:r>
          </w:p>
        </w:tc>
      </w:tr>
      <w:tr>
        <w:trPr>
          <w:cantSplit/>
        </w:trPr>
        <w:tc>
          <w:tcPr>
            <w:tcW w:type="dxa" w:w="2304"/>
            <w:tcMar>
              <w:top w:w="70" w:type="dxa"/>
              <w:start w:w="90" w:type="dxa"/>
              <w:bottom w:w="70" w:type="dxa"/>
              <w:end w:w="90" w:type="dxa"/>
            </w:tcMar>
            <w:vAlign w:val="top"/>
          </w:tcPr>
          <w:p>
            <w:pPr>
              <w:spacing w:before="0" w:after="0" w:line="240" w:lineRule="auto"/>
            </w:pPr>
            <w:r>
              <w:rPr>
                <w:rFonts w:ascii="Aptos" w:hAnsi="Aptos"/>
                <w:b/>
                <w:color w:val="24313D"/>
                <w:sz w:val="16"/>
              </w:rPr>
              <w:t>Authority sources</w:t>
            </w:r>
          </w:p>
        </w:tc>
        <w:tc>
          <w:tcPr>
            <w:tcW w:type="dxa" w:w="7200"/>
            <w:tcMar>
              <w:top w:w="70" w:type="dxa"/>
              <w:start w:w="90" w:type="dxa"/>
              <w:bottom w:w="70" w:type="dxa"/>
              <w:end w:w="90" w:type="dxa"/>
            </w:tcMar>
            <w:vAlign w:val="top"/>
          </w:tcPr>
          <w:p>
            <w:pPr>
              <w:spacing w:before="0" w:after="0" w:line="240" w:lineRule="auto"/>
            </w:pPr>
            <w:r>
              <w:rPr>
                <w:rFonts w:ascii="Aptos" w:hAnsi="Aptos"/>
                <w:color w:val="24313D"/>
                <w:sz w:val="16"/>
              </w:rPr>
              <w:t>Customs, tariff, tax, sanctions, export/import licensing, product agencies, privacy, gazette and appeal/contact sources</w:t>
            </w:r>
          </w:p>
        </w:tc>
      </w:tr>
      <w:tr>
        <w:trPr>
          <w:cantSplit/>
        </w:trPr>
        <w:tc>
          <w:tcPr>
            <w:tcW w:type="dxa" w:w="2304"/>
            <w:tcMar>
              <w:top w:w="70" w:type="dxa"/>
              <w:start w:w="90" w:type="dxa"/>
              <w:bottom w:w="70" w:type="dxa"/>
              <w:end w:w="90" w:type="dxa"/>
            </w:tcMar>
            <w:vAlign w:val="top"/>
            <w:shd w:fill="F5F7F8"/>
          </w:tcPr>
          <w:p>
            <w:pPr>
              <w:spacing w:before="0" w:after="0" w:line="240" w:lineRule="auto"/>
            </w:pPr>
            <w:r>
              <w:rPr>
                <w:rFonts w:ascii="Aptos" w:hAnsi="Aptos"/>
                <w:b/>
                <w:color w:val="24313D"/>
                <w:sz w:val="16"/>
              </w:rPr>
              <w:t>Direction/mode</w:t>
            </w:r>
          </w:p>
        </w:tc>
        <w:tc>
          <w:tcPr>
            <w:tcW w:type="dxa" w:w="7200"/>
            <w:tcMar>
              <w:top w:w="70" w:type="dxa"/>
              <w:start w:w="90" w:type="dxa"/>
              <w:bottom w:w="70" w:type="dxa"/>
              <w:end w:w="90" w:type="dxa"/>
            </w:tcMar>
            <w:vAlign w:val="top"/>
            <w:shd w:fill="F5F7F8"/>
          </w:tcPr>
          <w:p>
            <w:pPr>
              <w:spacing w:before="0" w:after="0" w:line="240" w:lineRule="auto"/>
            </w:pPr>
            <w:r>
              <w:rPr>
                <w:rFonts w:ascii="Aptos" w:hAnsi="Aptos"/>
                <w:color w:val="24313D"/>
                <w:sz w:val="16"/>
              </w:rPr>
              <w:t>Inbound/outbound/transit; parcel, postal, air; origin sites and designated operators/forwarders</w:t>
            </w:r>
          </w:p>
        </w:tc>
      </w:tr>
      <w:tr>
        <w:trPr>
          <w:cantSplit/>
        </w:trPr>
        <w:tc>
          <w:tcPr>
            <w:tcW w:type="dxa" w:w="2304"/>
            <w:tcMar>
              <w:top w:w="70" w:type="dxa"/>
              <w:start w:w="90" w:type="dxa"/>
              <w:bottom w:w="70" w:type="dxa"/>
              <w:end w:w="90" w:type="dxa"/>
            </w:tcMar>
            <w:vAlign w:val="top"/>
          </w:tcPr>
          <w:p>
            <w:pPr>
              <w:spacing w:before="0" w:after="0" w:line="240" w:lineRule="auto"/>
            </w:pPr>
            <w:r>
              <w:rPr>
                <w:rFonts w:ascii="Aptos" w:hAnsi="Aptos"/>
                <w:b/>
                <w:color w:val="24313D"/>
                <w:sz w:val="16"/>
              </w:rPr>
              <w:t>Procedures/flows</w:t>
            </w:r>
          </w:p>
        </w:tc>
        <w:tc>
          <w:tcPr>
            <w:tcW w:type="dxa" w:w="7200"/>
            <w:tcMar>
              <w:top w:w="70" w:type="dxa"/>
              <w:start w:w="90" w:type="dxa"/>
              <w:bottom w:w="70" w:type="dxa"/>
              <w:end w:w="90" w:type="dxa"/>
            </w:tcMar>
            <w:vAlign w:val="top"/>
          </w:tcPr>
          <w:p>
            <w:pPr>
              <w:spacing w:before="0" w:after="0" w:line="240" w:lineRule="auto"/>
            </w:pPr>
            <w:r>
              <w:rPr>
                <w:rFonts w:ascii="Aptos" w:hAnsi="Aptos"/>
                <w:color w:val="24313D"/>
                <w:sz w:val="16"/>
              </w:rPr>
              <w:t>Sale, B2B transfer, gift, sample, personal effects, return/repair, replacement, temporary export/re-import</w:t>
            </w:r>
          </w:p>
        </w:tc>
      </w:tr>
      <w:tr>
        <w:trPr>
          <w:cantSplit/>
        </w:trPr>
        <w:tc>
          <w:tcPr>
            <w:tcW w:type="dxa" w:w="2304"/>
            <w:tcMar>
              <w:top w:w="70" w:type="dxa"/>
              <w:start w:w="90" w:type="dxa"/>
              <w:bottom w:w="70" w:type="dxa"/>
              <w:end w:w="90" w:type="dxa"/>
            </w:tcMar>
            <w:vAlign w:val="top"/>
            <w:shd w:fill="F5F7F8"/>
          </w:tcPr>
          <w:p>
            <w:pPr>
              <w:spacing w:before="0" w:after="0" w:line="240" w:lineRule="auto"/>
            </w:pPr>
            <w:r>
              <w:rPr>
                <w:rFonts w:ascii="Aptos" w:hAnsi="Aptos"/>
                <w:b/>
                <w:color w:val="24313D"/>
                <w:sz w:val="16"/>
              </w:rPr>
              <w:t>Parties/identifiers</w:t>
            </w:r>
          </w:p>
        </w:tc>
        <w:tc>
          <w:tcPr>
            <w:tcW w:type="dxa" w:w="7200"/>
            <w:tcMar>
              <w:top w:w="70" w:type="dxa"/>
              <w:start w:w="90" w:type="dxa"/>
              <w:bottom w:w="70" w:type="dxa"/>
              <w:end w:w="90" w:type="dxa"/>
            </w:tcMar>
            <w:vAlign w:val="top"/>
            <w:shd w:fill="F5F7F8"/>
          </w:tcPr>
          <w:p>
            <w:pPr>
              <w:spacing w:before="0" w:after="0" w:line="240" w:lineRule="auto"/>
            </w:pPr>
            <w:r>
              <w:rPr>
                <w:rFonts w:ascii="Aptos" w:hAnsi="Aptos"/>
                <w:color w:val="24313D"/>
                <w:sz w:val="16"/>
              </w:rPr>
              <w:t>IOR/EOR/declarant/representation, registrations, tax IDs, national IDs and verification rules</w:t>
            </w:r>
          </w:p>
        </w:tc>
      </w:tr>
      <w:tr>
        <w:trPr>
          <w:cantSplit/>
        </w:trPr>
        <w:tc>
          <w:tcPr>
            <w:tcW w:type="dxa" w:w="2304"/>
            <w:tcMar>
              <w:top w:w="70" w:type="dxa"/>
              <w:start w:w="90" w:type="dxa"/>
              <w:bottom w:w="70" w:type="dxa"/>
              <w:end w:w="90" w:type="dxa"/>
            </w:tcMar>
            <w:vAlign w:val="top"/>
          </w:tcPr>
          <w:p>
            <w:pPr>
              <w:spacing w:before="0" w:after="0" w:line="240" w:lineRule="auto"/>
            </w:pPr>
            <w:r>
              <w:rPr>
                <w:rFonts w:ascii="Aptos" w:hAnsi="Aptos"/>
                <w:b/>
                <w:color w:val="24313D"/>
                <w:sz w:val="16"/>
              </w:rPr>
              <w:t>Classification/value/origin</w:t>
            </w:r>
          </w:p>
        </w:tc>
        <w:tc>
          <w:tcPr>
            <w:tcW w:type="dxa" w:w="7200"/>
            <w:tcMar>
              <w:top w:w="70" w:type="dxa"/>
              <w:start w:w="90" w:type="dxa"/>
              <w:bottom w:w="70" w:type="dxa"/>
              <w:end w:w="90" w:type="dxa"/>
            </w:tcMar>
            <w:vAlign w:val="top"/>
          </w:tcPr>
          <w:p>
            <w:pPr>
              <w:spacing w:before="0" w:after="0" w:line="240" w:lineRule="auto"/>
            </w:pPr>
            <w:r>
              <w:rPr>
                <w:rFonts w:ascii="Aptos" w:hAnsi="Aptos"/>
                <w:color w:val="24313D"/>
                <w:sz w:val="16"/>
              </w:rPr>
              <w:t>National tariff editions, valuation additions/rates, origin agreements/evidence and binding rulings</w:t>
            </w:r>
          </w:p>
        </w:tc>
      </w:tr>
      <w:tr>
        <w:trPr>
          <w:cantSplit/>
        </w:trPr>
        <w:tc>
          <w:tcPr>
            <w:tcW w:type="dxa" w:w="2304"/>
            <w:tcMar>
              <w:top w:w="70" w:type="dxa"/>
              <w:start w:w="90" w:type="dxa"/>
              <w:bottom w:w="70" w:type="dxa"/>
              <w:end w:w="90" w:type="dxa"/>
            </w:tcMar>
            <w:vAlign w:val="top"/>
            <w:shd w:fill="F5F7F8"/>
          </w:tcPr>
          <w:p>
            <w:pPr>
              <w:spacing w:before="0" w:after="0" w:line="240" w:lineRule="auto"/>
            </w:pPr>
            <w:r>
              <w:rPr>
                <w:rFonts w:ascii="Aptos" w:hAnsi="Aptos"/>
                <w:b/>
                <w:color w:val="24313D"/>
                <w:sz w:val="16"/>
              </w:rPr>
              <w:t>Revenue measures</w:t>
            </w:r>
          </w:p>
        </w:tc>
        <w:tc>
          <w:tcPr>
            <w:tcW w:type="dxa" w:w="7200"/>
            <w:tcMar>
              <w:top w:w="70" w:type="dxa"/>
              <w:start w:w="90" w:type="dxa"/>
              <w:bottom w:w="70" w:type="dxa"/>
              <w:end w:w="90" w:type="dxa"/>
            </w:tcMar>
            <w:vAlign w:val="top"/>
            <w:shd w:fill="F5F7F8"/>
          </w:tcPr>
          <w:p>
            <w:pPr>
              <w:spacing w:before="0" w:after="0" w:line="240" w:lineRule="auto"/>
            </w:pPr>
            <w:r>
              <w:rPr>
                <w:rFonts w:ascii="Aptos" w:hAnsi="Aptos"/>
                <w:color w:val="24313D"/>
                <w:sz w:val="16"/>
              </w:rPr>
              <w:t>Duty, VAT/GST, excise, low-value, IOSS/equivalents, trade remedies, quotas and payment responsibilities</w:t>
            </w:r>
          </w:p>
        </w:tc>
      </w:tr>
      <w:tr>
        <w:trPr>
          <w:cantSplit/>
        </w:trPr>
        <w:tc>
          <w:tcPr>
            <w:tcW w:type="dxa" w:w="2304"/>
            <w:tcMar>
              <w:top w:w="70" w:type="dxa"/>
              <w:start w:w="90" w:type="dxa"/>
              <w:bottom w:w="70" w:type="dxa"/>
              <w:end w:w="90" w:type="dxa"/>
            </w:tcMar>
            <w:vAlign w:val="top"/>
          </w:tcPr>
          <w:p>
            <w:pPr>
              <w:spacing w:before="0" w:after="0" w:line="240" w:lineRule="auto"/>
            </w:pPr>
            <w:r>
              <w:rPr>
                <w:rFonts w:ascii="Aptos" w:hAnsi="Aptos"/>
                <w:b/>
                <w:color w:val="24313D"/>
                <w:sz w:val="16"/>
              </w:rPr>
              <w:t>Safety/security</w:t>
            </w:r>
          </w:p>
        </w:tc>
        <w:tc>
          <w:tcPr>
            <w:tcW w:type="dxa" w:w="7200"/>
            <w:tcMar>
              <w:top w:w="70" w:type="dxa"/>
              <w:start w:w="90" w:type="dxa"/>
              <w:bottom w:w="70" w:type="dxa"/>
              <w:end w:w="90" w:type="dxa"/>
            </w:tcMar>
            <w:vAlign w:val="top"/>
          </w:tcPr>
          <w:p>
            <w:pPr>
              <w:spacing w:before="0" w:after="0" w:line="240" w:lineRule="auto"/>
            </w:pPr>
            <w:r>
              <w:rPr>
                <w:rFonts w:ascii="Aptos" w:hAnsi="Aptos"/>
                <w:color w:val="24313D"/>
                <w:sz w:val="16"/>
              </w:rPr>
              <w:t>ENS/EXS/PLACI, postal EAD, aviation security, referrals, cut-offs and routing controls</w:t>
            </w:r>
          </w:p>
        </w:tc>
      </w:tr>
      <w:tr>
        <w:trPr>
          <w:cantSplit/>
        </w:trPr>
        <w:tc>
          <w:tcPr>
            <w:tcW w:type="dxa" w:w="2304"/>
            <w:tcMar>
              <w:top w:w="70" w:type="dxa"/>
              <w:start w:w="90" w:type="dxa"/>
              <w:bottom w:w="70" w:type="dxa"/>
              <w:end w:w="90" w:type="dxa"/>
            </w:tcMar>
            <w:vAlign w:val="top"/>
            <w:shd w:fill="F5F7F8"/>
          </w:tcPr>
          <w:p>
            <w:pPr>
              <w:spacing w:before="0" w:after="0" w:line="240" w:lineRule="auto"/>
            </w:pPr>
            <w:r>
              <w:rPr>
                <w:rFonts w:ascii="Aptos" w:hAnsi="Aptos"/>
                <w:b/>
                <w:color w:val="24313D"/>
                <w:sz w:val="16"/>
              </w:rPr>
              <w:t>Commodity controls</w:t>
            </w:r>
          </w:p>
        </w:tc>
        <w:tc>
          <w:tcPr>
            <w:tcW w:type="dxa" w:w="7200"/>
            <w:tcMar>
              <w:top w:w="70" w:type="dxa"/>
              <w:start w:w="90" w:type="dxa"/>
              <w:bottom w:w="70" w:type="dxa"/>
              <w:end w:w="90" w:type="dxa"/>
            </w:tcMar>
            <w:vAlign w:val="top"/>
            <w:shd w:fill="F5F7F8"/>
          </w:tcPr>
          <w:p>
            <w:pPr>
              <w:spacing w:before="0" w:after="0" w:line="240" w:lineRule="auto"/>
            </w:pPr>
            <w:r>
              <w:rPr>
                <w:rFonts w:ascii="Aptos" w:hAnsi="Aptos"/>
                <w:color w:val="24313D"/>
                <w:sz w:val="16"/>
              </w:rPr>
              <w:t>Prohibitions, licences, certificates, agency data, facilities, BCPs and quantity/value thresholds</w:t>
            </w:r>
          </w:p>
        </w:tc>
      </w:tr>
      <w:tr>
        <w:trPr>
          <w:cantSplit/>
        </w:trPr>
        <w:tc>
          <w:tcPr>
            <w:tcW w:type="dxa" w:w="2304"/>
            <w:tcMar>
              <w:top w:w="70" w:type="dxa"/>
              <w:start w:w="90" w:type="dxa"/>
              <w:bottom w:w="70" w:type="dxa"/>
              <w:end w:w="90" w:type="dxa"/>
            </w:tcMar>
            <w:vAlign w:val="top"/>
          </w:tcPr>
          <w:p>
            <w:pPr>
              <w:spacing w:before="0" w:after="0" w:line="240" w:lineRule="auto"/>
            </w:pPr>
            <w:r>
              <w:rPr>
                <w:rFonts w:ascii="Aptos" w:hAnsi="Aptos"/>
                <w:b/>
                <w:color w:val="24313D"/>
                <w:sz w:val="16"/>
              </w:rPr>
              <w:t>Privacy/e-docs</w:t>
            </w:r>
          </w:p>
        </w:tc>
        <w:tc>
          <w:tcPr>
            <w:tcW w:type="dxa" w:w="7200"/>
            <w:tcMar>
              <w:top w:w="70" w:type="dxa"/>
              <w:start w:w="90" w:type="dxa"/>
              <w:bottom w:w="70" w:type="dxa"/>
              <w:end w:w="90" w:type="dxa"/>
            </w:tcMar>
            <w:vAlign w:val="top"/>
          </w:tcPr>
          <w:p>
            <w:pPr>
              <w:spacing w:before="0" w:after="0" w:line="240" w:lineRule="auto"/>
            </w:pPr>
            <w:r>
              <w:rPr>
                <w:rFonts w:ascii="Aptos" w:hAnsi="Aptos"/>
                <w:color w:val="24313D"/>
                <w:sz w:val="16"/>
              </w:rPr>
              <w:t>Controller/processor roles, transfers, retention, breach, electronic signatures/originals and document languages</w:t>
            </w:r>
          </w:p>
        </w:tc>
      </w:tr>
      <w:tr>
        <w:trPr>
          <w:cantSplit/>
        </w:trPr>
        <w:tc>
          <w:tcPr>
            <w:tcW w:type="dxa" w:w="2304"/>
            <w:tcMar>
              <w:top w:w="70" w:type="dxa"/>
              <w:start w:w="90" w:type="dxa"/>
              <w:bottom w:w="70" w:type="dxa"/>
              <w:end w:w="90" w:type="dxa"/>
            </w:tcMar>
            <w:vAlign w:val="top"/>
            <w:shd w:fill="F5F7F8"/>
          </w:tcPr>
          <w:p>
            <w:pPr>
              <w:spacing w:before="0" w:after="0" w:line="240" w:lineRule="auto"/>
            </w:pPr>
            <w:r>
              <w:rPr>
                <w:rFonts w:ascii="Aptos" w:hAnsi="Aptos"/>
                <w:b/>
                <w:color w:val="24313D"/>
                <w:sz w:val="16"/>
              </w:rPr>
              <w:t>Carrier capability</w:t>
            </w:r>
          </w:p>
        </w:tc>
        <w:tc>
          <w:tcPr>
            <w:tcW w:type="dxa" w:w="7200"/>
            <w:tcMar>
              <w:top w:w="70" w:type="dxa"/>
              <w:start w:w="90" w:type="dxa"/>
              <w:bottom w:w="70" w:type="dxa"/>
              <w:end w:w="90" w:type="dxa"/>
            </w:tcMar>
            <w:vAlign w:val="top"/>
            <w:shd w:fill="F5F7F8"/>
          </w:tcPr>
          <w:p>
            <w:pPr>
              <w:spacing w:before="0" w:after="0" w:line="240" w:lineRule="auto"/>
            </w:pPr>
            <w:r>
              <w:rPr>
                <w:rFonts w:ascii="Aptos" w:hAnsi="Aptos"/>
                <w:color w:val="24313D"/>
                <w:sz w:val="16"/>
              </w:rPr>
              <w:t>Provider/service/account acceptance, DG/operator variations, documents, cut-offs, API versions and terms</w:t>
            </w:r>
          </w:p>
        </w:tc>
      </w:tr>
      <w:tr>
        <w:trPr>
          <w:cantSplit/>
        </w:trPr>
        <w:tc>
          <w:tcPr>
            <w:tcW w:type="dxa" w:w="2304"/>
            <w:tcMar>
              <w:top w:w="70" w:type="dxa"/>
              <w:start w:w="90" w:type="dxa"/>
              <w:bottom w:w="70" w:type="dxa"/>
              <w:end w:w="90" w:type="dxa"/>
            </w:tcMar>
            <w:vAlign w:val="top"/>
          </w:tcPr>
          <w:p>
            <w:pPr>
              <w:spacing w:before="0" w:after="0" w:line="240" w:lineRule="auto"/>
            </w:pPr>
            <w:r>
              <w:rPr>
                <w:rFonts w:ascii="Aptos" w:hAnsi="Aptos"/>
                <w:b/>
                <w:color w:val="24313D"/>
                <w:sz w:val="16"/>
              </w:rPr>
              <w:t>Governance</w:t>
            </w:r>
          </w:p>
        </w:tc>
        <w:tc>
          <w:tcPr>
            <w:tcW w:type="dxa" w:w="7200"/>
            <w:tcMar>
              <w:top w:w="70" w:type="dxa"/>
              <w:start w:w="90" w:type="dxa"/>
              <w:bottom w:w="70" w:type="dxa"/>
              <w:end w:w="90" w:type="dxa"/>
            </w:tcMar>
            <w:vAlign w:val="top"/>
          </w:tcPr>
          <w:p>
            <w:pPr>
              <w:spacing w:before="0" w:after="0" w:line="240" w:lineRule="auto"/>
            </w:pPr>
            <w:r>
              <w:rPr>
                <w:rFonts w:ascii="Aptos" w:hAnsi="Aptos"/>
                <w:color w:val="24313D"/>
                <w:sz w:val="16"/>
              </w:rPr>
              <w:t>Source citations/checksums, translations, effective dates, owner, approvers, next review, golden tests and release state</w:t>
            </w:r>
          </w:p>
        </w:tc>
      </w:tr>
    </w:tbl>
    <w:p>
      <w:pPr>
        <w:pStyle w:val="Heading2"/>
        <w:keepNext/>
      </w:pPr>
      <w:r>
        <w:t>6.3 Special-territory resolution</w:t>
      </w:r>
    </w:p>
    <w:p>
      <w:pPr>
        <w:spacing w:before="0" w:after="80" w:line="259" w:lineRule="auto"/>
      </w:pPr>
      <w:r>
        <w:t>Country code alone is insufficient for locations such as Northern Ireland, Åland, Canary Islands, Ceuta/Melilla, French overseas areas, U.S. insular areas, Crown Dependencies, Hong Kong, Macao, Caribbean Netherlands, free zones and disputed areas. Resolution must support ISO codes, provider aliases, postcode rules, site/facility identifiers and geofences while using neutral naming and avoiding inferred sovereignty.</w:t>
      </w:r>
    </w:p>
    <w:p>
      <w:pPr>
        <w:pStyle w:val="Heading2"/>
        <w:keepNext/>
      </w:pPr>
      <w:r>
        <w:t>6.4 Pack publication contract</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44"/>
        <w:gridCol w:w="7560"/>
      </w:tblGrid>
      <w:tr>
        <w:trPr>
          <w:tblHeader w:val="true"/>
        </w:trPr>
        <w:tc>
          <w:tcPr>
            <w:tcW w:type="dxa" w:w="194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Gate</w:t>
            </w:r>
          </w:p>
        </w:tc>
        <w:tc>
          <w:tcPr>
            <w:tcW w:type="dxa" w:w="756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Required evidence</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Scope</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Exact supported directions, modes, commodities, flows, carriers/services and sites</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Authority</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National/territorial primary sources and licensed content with exact citations</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Temporal</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Current/future/repealed versions and transition tests</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Legal/compliance</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Independent approval and recorded interpretation/risk</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Partners</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Live account/service capability and contract/certification</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Operations</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Site SOP, zones, training, devices, quarantine and handover path</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Testing</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Positive, negative, threshold, temporal, outage, retry, referral and reversal scenarios</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Monitoring</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Source/feed owners, alerting, next review and automatic suspension policy</w:t>
            </w:r>
          </w:p>
        </w:tc>
      </w:tr>
    </w:tbl>
    <w:p>
      <w:pPr>
        <w:pStyle w:val="Heading2"/>
        <w:keepNext/>
      </w:pPr>
      <w:r>
        <w:t>6.5 Rule object example</w:t>
      </w:r>
    </w:p>
    <w:p>
      <w:pPr>
        <w:spacing w:before="60" w:after="120" w:line="240" w:lineRule="auto"/>
        <w:ind w:left="259" w:right="259"/>
        <w:shd w:fill="F5F7F8"/>
      </w:pPr>
      <w:r>
        <w:rPr>
          <w:rFonts w:ascii="Aptos Mono" w:hAnsi="Aptos Mono"/>
          <w:color w:val="24313D"/>
          <w:sz w:val="15"/>
        </w:rPr>
        <w:t>{</w:t>
        <w:br/>
        <w:t xml:space="preserve">  "rule_id": "JURISDICTION-SCOPE-YYYY-NNN",</w:t>
        <w:br/>
        <w:t xml:space="preserve">  "status": "APPROVED",</w:t>
        <w:br/>
        <w:t xml:space="preserve">  "scope": {</w:t>
        <w:br/>
        <w:t xml:space="preserve">    "origin_territory": ["…"], "destination_territory": ["…"],</w:t>
        <w:br/>
        <w:t xml:space="preserve">    "mode": ["PARCEL", "POSTAL", "AIR"], "carrier_service": ["…"],</w:t>
        <w:br/>
        <w:t xml:space="preserve">    "commodity_profile": ["…"], "tenant_permission": ["…"]</w:t>
        <w:br/>
        <w:t xml:space="preserve">  },</w:t>
        <w:br/>
        <w:t xml:space="preserve">  "effective": {"from": "2026-07-01T00:00:00+02:00", "to": null},</w:t>
        <w:br/>
        <w:t xml:space="preserve">  "when": {"all": [{"field": "…", "operator": "…", "value": "…"}]},</w:t>
        <w:br/>
        <w:t xml:space="preserve">  "then": {</w:t>
        <w:br/>
        <w:t xml:space="preserve">    "decision": "EXTERNAL_APPROVAL_REQUIRED",</w:t>
        <w:br/>
        <w:t xml:space="preserve">    "reason_code": "LICENCE_REQUIRED",</w:t>
        <w:br/>
        <w:t xml:space="preserve">    "conditions": ["…"], "required_documents": ["…"]</w:t>
        <w:br/>
        <w:t xml:space="preserve">  },</w:t>
        <w:br/>
        <w:t xml:space="preserve">  "sources": [{"source_id": "SRC-…", "provision": "…", "checksum": "…"}],</w:t>
        <w:br/>
        <w:t xml:space="preserve">  "governance": {"author": "…", "approver": "…", "test_pack": "…"}</w:t>
        <w:br/>
        <w:t>}</w:t>
      </w:r>
    </w:p>
    <w:p>
      <w:r>
        <w:br w:type="page"/>
      </w:r>
    </w:p>
    <w:p>
      <w:pPr>
        <w:pStyle w:val="Heading1"/>
        <w:keepNext/>
      </w:pPr>
      <w:r>
        <w:t>7. Parties, screening and export controls</w:t>
      </w:r>
    </w:p>
    <w:p>
      <w:pPr>
        <w:pStyle w:val="Heading2"/>
        <w:keepNext/>
      </w:pPr>
      <w:r>
        <w:t>7.1 Party graph</w:t>
      </w:r>
    </w:p>
    <w:p>
      <w:pPr>
        <w:spacing w:before="0" w:after="80" w:line="259" w:lineRule="auto"/>
      </w:pPr>
      <w:r>
        <w:t>Store shipper, consignor, seller, exporter, EOR, buyer, consignee, importer, IOR, declarant/filer, ultimate consignee, end user, notify party, payer and return party as distinct roles. One legal person may occupy several roles, but the role assignments must remain explicit and versioned. Preserve original-script names/addresses and approved transliterations separately.</w:t>
      </w:r>
    </w:p>
    <w:p>
      <w:pPr>
        <w:pStyle w:val="Heading2"/>
        <w:keepNext/>
      </w:pPr>
      <w:r>
        <w:t>7.2 Restricted-party and ownership screening</w:t>
      </w:r>
    </w:p>
    <w:p>
      <w:pPr>
        <w:pStyle w:val="ListBullet"/>
        <w:spacing w:before="0" w:after="40" w:line="254" w:lineRule="auto"/>
        <w:ind w:left="259" w:hanging="173"/>
      </w:pPr>
      <w:r>
        <w:t>Screen parties, aliases, addresses, banks and material free-text names against the UN list plus every list triggered by origin, destination, transit, tenant establishment, goods/technology origin, currency/payment and other applicable nexus.</w:t>
      </w:r>
    </w:p>
    <w:p>
      <w:pPr>
        <w:pStyle w:val="ListBullet"/>
        <w:spacing w:before="0" w:after="40" w:line="254" w:lineRule="auto"/>
        <w:ind w:left="259" w:hanging="173"/>
      </w:pPr>
      <w:r>
        <w:t>Use official list data or approved provider feeds. A consolidated/fuzzy service is a candidate-generation aid; potential matches require authoritative-source review.</w:t>
      </w:r>
    </w:p>
    <w:p>
      <w:pPr>
        <w:pStyle w:val="ListBullet"/>
        <w:spacing w:before="0" w:after="40" w:line="254" w:lineRule="auto"/>
        <w:ind w:left="259" w:hanging="173"/>
      </w:pPr>
      <w:r>
        <w:t>Model ownership/control rules by regime. If required ownership data is missing, do not treat the entity as clear.</w:t>
      </w:r>
    </w:p>
    <w:p>
      <w:pPr>
        <w:pStyle w:val="ListBullet"/>
        <w:spacing w:before="0" w:after="40" w:line="254" w:lineRule="auto"/>
        <w:ind w:left="259" w:hanging="173"/>
      </w:pPr>
      <w:r>
        <w:t>Rescreen at create, material change, pre-label, pre-handover, list update and configurable ageing thresholds.</w:t>
      </w:r>
    </w:p>
    <w:p>
      <w:pPr>
        <w:pStyle w:val="ListBullet"/>
        <w:spacing w:before="0" w:after="40" w:line="254" w:lineRule="auto"/>
        <w:ind w:left="259" w:hanging="173"/>
      </w:pPr>
      <w:r>
        <w:t>A confirmed prohibited match is BLOCKED. A potential meaningful match is MANUAL_CERTIFIED_REVIEW and cannot be auto-cleared.</w:t>
      </w:r>
    </w:p>
    <w:p>
      <w:pPr>
        <w:pStyle w:val="Heading2"/>
        <w:keepNext/>
      </w:pPr>
      <w:r>
        <w:t>7.3 Export-control and anti-diversion workflow</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728"/>
        <w:gridCol w:w="6192"/>
        <w:gridCol w:w="1584"/>
      </w:tblGrid>
      <w:tr>
        <w:trPr>
          <w:tblHeader w:val="true"/>
        </w:trPr>
        <w:tc>
          <w:tcPr>
            <w:tcW w:type="dxa" w:w="172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Step</w:t>
            </w:r>
          </w:p>
        </w:tc>
        <w:tc>
          <w:tcPr>
            <w:tcW w:type="dxa" w:w="619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Required data</w:t>
            </w:r>
          </w:p>
        </w:tc>
        <w:tc>
          <w:tcPr>
            <w:tcW w:type="dxa" w:w="158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Exit</w:t>
            </w:r>
          </w:p>
        </w:tc>
      </w:tr>
      <w:tr>
        <w:trPr>
          <w:cantSplit/>
        </w:trPr>
        <w:tc>
          <w:tcPr>
            <w:tcW w:type="dxa" w:w="1728"/>
            <w:tcMar>
              <w:top w:w="70" w:type="dxa"/>
              <w:start w:w="90" w:type="dxa"/>
              <w:bottom w:w="70" w:type="dxa"/>
              <w:end w:w="90" w:type="dxa"/>
            </w:tcMar>
            <w:vAlign w:val="top"/>
          </w:tcPr>
          <w:p>
            <w:pPr>
              <w:spacing w:before="0" w:after="0" w:line="240" w:lineRule="auto"/>
            </w:pPr>
            <w:r>
              <w:rPr>
                <w:rFonts w:ascii="Aptos" w:hAnsi="Aptos"/>
                <w:color w:val="24313D"/>
                <w:sz w:val="16"/>
              </w:rPr>
              <w:t>Nexus</w:t>
            </w:r>
          </w:p>
        </w:tc>
        <w:tc>
          <w:tcPr>
            <w:tcW w:type="dxa" w:w="6192"/>
            <w:tcMar>
              <w:top w:w="70" w:type="dxa"/>
              <w:start w:w="90" w:type="dxa"/>
              <w:bottom w:w="70" w:type="dxa"/>
              <w:end w:w="90" w:type="dxa"/>
            </w:tcMar>
            <w:vAlign w:val="top"/>
          </w:tcPr>
          <w:p>
            <w:pPr>
              <w:spacing w:before="0" w:after="0" w:line="240" w:lineRule="auto"/>
            </w:pPr>
            <w:r>
              <w:rPr>
                <w:rFonts w:ascii="Aptos" w:hAnsi="Aptos"/>
                <w:color w:val="24313D"/>
                <w:sz w:val="16"/>
              </w:rPr>
              <w:t>Jurisdictions, goods/technology origin/content, parties, route, customer and payment</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6"/>
              </w:rPr>
              <w:t>Applicable control systems</w:t>
            </w:r>
          </w:p>
        </w:tc>
      </w:tr>
      <w:tr>
        <w:trPr>
          <w:cantSplit/>
        </w:trPr>
        <w:tc>
          <w:tcPr>
            <w:tcW w:type="dxa" w:w="1728"/>
            <w:tcMar>
              <w:top w:w="70" w:type="dxa"/>
              <w:start w:w="90" w:type="dxa"/>
              <w:bottom w:w="70" w:type="dxa"/>
              <w:end w:w="90" w:type="dxa"/>
            </w:tcMar>
            <w:vAlign w:val="top"/>
            <w:shd w:fill="F5F7F8"/>
          </w:tcPr>
          <w:p>
            <w:pPr>
              <w:spacing w:before="0" w:after="0" w:line="240" w:lineRule="auto"/>
            </w:pPr>
            <w:r>
              <w:rPr>
                <w:rFonts w:ascii="Aptos" w:hAnsi="Aptos"/>
                <w:color w:val="24313D"/>
                <w:sz w:val="16"/>
              </w:rPr>
              <w:t>Classification</w:t>
            </w:r>
          </w:p>
        </w:tc>
        <w:tc>
          <w:tcPr>
            <w:tcW w:type="dxa" w:w="6192"/>
            <w:tcMar>
              <w:top w:w="70" w:type="dxa"/>
              <w:start w:w="90" w:type="dxa"/>
              <w:bottom w:w="70" w:type="dxa"/>
              <w:end w:w="90" w:type="dxa"/>
            </w:tcMar>
            <w:vAlign w:val="top"/>
            <w:shd w:fill="F5F7F8"/>
          </w:tcPr>
          <w:p>
            <w:pPr>
              <w:spacing w:before="0" w:after="0" w:line="240" w:lineRule="auto"/>
            </w:pPr>
            <w:r>
              <w:rPr>
                <w:rFonts w:ascii="Aptos" w:hAnsi="Aptos"/>
                <w:color w:val="24313D"/>
                <w:sz w:val="16"/>
              </w:rPr>
              <w:t>Technical parameters, ECCN/local dual-use/military codes, not-controlled rationale</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6"/>
              </w:rPr>
              <w:t>Versioned classification</w:t>
            </w:r>
          </w:p>
        </w:tc>
      </w:tr>
      <w:tr>
        <w:trPr>
          <w:cantSplit/>
        </w:trPr>
        <w:tc>
          <w:tcPr>
            <w:tcW w:type="dxa" w:w="1728"/>
            <w:tcMar>
              <w:top w:w="70" w:type="dxa"/>
              <w:start w:w="90" w:type="dxa"/>
              <w:bottom w:w="70" w:type="dxa"/>
              <w:end w:w="90" w:type="dxa"/>
            </w:tcMar>
            <w:vAlign w:val="top"/>
          </w:tcPr>
          <w:p>
            <w:pPr>
              <w:spacing w:before="0" w:after="0" w:line="240" w:lineRule="auto"/>
            </w:pPr>
            <w:r>
              <w:rPr>
                <w:rFonts w:ascii="Aptos" w:hAnsi="Aptos"/>
                <w:color w:val="24313D"/>
                <w:sz w:val="16"/>
              </w:rPr>
              <w:t>End use/user</w:t>
            </w:r>
          </w:p>
        </w:tc>
        <w:tc>
          <w:tcPr>
            <w:tcW w:type="dxa" w:w="6192"/>
            <w:tcMar>
              <w:top w:w="70" w:type="dxa"/>
              <w:start w:w="90" w:type="dxa"/>
              <w:bottom w:w="70" w:type="dxa"/>
              <w:end w:w="90" w:type="dxa"/>
            </w:tcMar>
            <w:vAlign w:val="top"/>
          </w:tcPr>
          <w:p>
            <w:pPr>
              <w:spacing w:before="0" w:after="0" w:line="240" w:lineRule="auto"/>
            </w:pPr>
            <w:r>
              <w:rPr>
                <w:rFonts w:ascii="Aptos" w:hAnsi="Aptos"/>
                <w:color w:val="24313D"/>
                <w:sz w:val="16"/>
              </w:rPr>
              <w:t>Ultimate consignee/end user, project/site, intended use and WMD/military/intelligence indicators</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6"/>
              </w:rPr>
              <w:t>Risk disposition</w:t>
            </w:r>
          </w:p>
        </w:tc>
      </w:tr>
      <w:tr>
        <w:trPr>
          <w:cantSplit/>
        </w:trPr>
        <w:tc>
          <w:tcPr>
            <w:tcW w:type="dxa" w:w="1728"/>
            <w:tcMar>
              <w:top w:w="70" w:type="dxa"/>
              <w:start w:w="90" w:type="dxa"/>
              <w:bottom w:w="70" w:type="dxa"/>
              <w:end w:w="90" w:type="dxa"/>
            </w:tcMar>
            <w:vAlign w:val="top"/>
            <w:shd w:fill="F5F7F8"/>
          </w:tcPr>
          <w:p>
            <w:pPr>
              <w:spacing w:before="0" w:after="0" w:line="240" w:lineRule="auto"/>
            </w:pPr>
            <w:r>
              <w:rPr>
                <w:rFonts w:ascii="Aptos" w:hAnsi="Aptos"/>
                <w:color w:val="24313D"/>
                <w:sz w:val="16"/>
              </w:rPr>
              <w:t>Licence analysis</w:t>
            </w:r>
          </w:p>
        </w:tc>
        <w:tc>
          <w:tcPr>
            <w:tcW w:type="dxa" w:w="6192"/>
            <w:tcMar>
              <w:top w:w="70" w:type="dxa"/>
              <w:start w:w="90" w:type="dxa"/>
              <w:bottom w:w="70" w:type="dxa"/>
              <w:end w:w="90" w:type="dxa"/>
            </w:tcMar>
            <w:vAlign w:val="top"/>
            <w:shd w:fill="F5F7F8"/>
          </w:tcPr>
          <w:p>
            <w:pPr>
              <w:spacing w:before="0" w:after="0" w:line="240" w:lineRule="auto"/>
            </w:pPr>
            <w:r>
              <w:rPr>
                <w:rFonts w:ascii="Aptos" w:hAnsi="Aptos"/>
                <w:color w:val="24313D"/>
                <w:sz w:val="16"/>
              </w:rPr>
              <w:t>Destination/reason matrix, exceptions/general authorizations, quantity/value and conditions</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6"/>
              </w:rPr>
              <w:t>NLR/authorization/licence/review/block</w:t>
            </w:r>
          </w:p>
        </w:tc>
      </w:tr>
      <w:tr>
        <w:trPr>
          <w:cantSplit/>
        </w:trPr>
        <w:tc>
          <w:tcPr>
            <w:tcW w:type="dxa" w:w="1728"/>
            <w:tcMar>
              <w:top w:w="70" w:type="dxa"/>
              <w:start w:w="90" w:type="dxa"/>
              <w:bottom w:w="70" w:type="dxa"/>
              <w:end w:w="90" w:type="dxa"/>
            </w:tcMar>
            <w:vAlign w:val="top"/>
          </w:tcPr>
          <w:p>
            <w:pPr>
              <w:spacing w:before="0" w:after="0" w:line="240" w:lineRule="auto"/>
            </w:pPr>
            <w:r>
              <w:rPr>
                <w:rFonts w:ascii="Aptos" w:hAnsi="Aptos"/>
                <w:color w:val="24313D"/>
                <w:sz w:val="16"/>
              </w:rPr>
              <w:t>External evidence</w:t>
            </w:r>
          </w:p>
        </w:tc>
        <w:tc>
          <w:tcPr>
            <w:tcW w:type="dxa" w:w="6192"/>
            <w:tcMar>
              <w:top w:w="70" w:type="dxa"/>
              <w:start w:w="90" w:type="dxa"/>
              <w:bottom w:w="70" w:type="dxa"/>
              <w:end w:w="90" w:type="dxa"/>
            </w:tcMar>
            <w:vAlign w:val="top"/>
          </w:tcPr>
          <w:p>
            <w:pPr>
              <w:spacing w:before="0" w:after="0" w:line="240" w:lineRule="auto"/>
            </w:pPr>
            <w:r>
              <w:rPr>
                <w:rFonts w:ascii="Aptos" w:hAnsi="Aptos"/>
                <w:color w:val="24313D"/>
                <w:sz w:val="16"/>
              </w:rPr>
              <w:t>Authority licence/permit, holder, parties, goods, validity and conditions</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6"/>
              </w:rPr>
              <w:t>Authenticated approval</w:t>
            </w:r>
          </w:p>
        </w:tc>
      </w:tr>
      <w:tr>
        <w:trPr>
          <w:cantSplit/>
        </w:trPr>
        <w:tc>
          <w:tcPr>
            <w:tcW w:type="dxa" w:w="1728"/>
            <w:tcMar>
              <w:top w:w="70" w:type="dxa"/>
              <w:start w:w="90" w:type="dxa"/>
              <w:bottom w:w="70" w:type="dxa"/>
              <w:end w:w="90" w:type="dxa"/>
            </w:tcMar>
            <w:vAlign w:val="top"/>
            <w:shd w:fill="F5F7F8"/>
          </w:tcPr>
          <w:p>
            <w:pPr>
              <w:spacing w:before="0" w:after="0" w:line="240" w:lineRule="auto"/>
            </w:pPr>
            <w:r>
              <w:rPr>
                <w:rFonts w:ascii="Aptos" w:hAnsi="Aptos"/>
                <w:color w:val="24313D"/>
                <w:sz w:val="16"/>
              </w:rPr>
              <w:t>Consumption</w:t>
            </w:r>
          </w:p>
        </w:tc>
        <w:tc>
          <w:tcPr>
            <w:tcW w:type="dxa" w:w="6192"/>
            <w:tcMar>
              <w:top w:w="70" w:type="dxa"/>
              <w:start w:w="90" w:type="dxa"/>
              <w:bottom w:w="70" w:type="dxa"/>
              <w:end w:w="90" w:type="dxa"/>
            </w:tcMar>
            <w:vAlign w:val="top"/>
            <w:shd w:fill="F5F7F8"/>
          </w:tcPr>
          <w:p>
            <w:pPr>
              <w:spacing w:before="0" w:after="0" w:line="240" w:lineRule="auto"/>
            </w:pPr>
            <w:r>
              <w:rPr>
                <w:rFonts w:ascii="Aptos" w:hAnsi="Aptos"/>
                <w:color w:val="24313D"/>
                <w:sz w:val="16"/>
              </w:rPr>
              <w:t>Atomic reservation/decrement and reporting balance</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6"/>
              </w:rPr>
              <w:t>No overuse</w:t>
            </w:r>
          </w:p>
        </w:tc>
      </w:tr>
      <w:tr>
        <w:trPr>
          <w:cantSplit/>
        </w:trPr>
        <w:tc>
          <w:tcPr>
            <w:tcW w:type="dxa" w:w="1728"/>
            <w:tcMar>
              <w:top w:w="70" w:type="dxa"/>
              <w:start w:w="90" w:type="dxa"/>
              <w:bottom w:w="70" w:type="dxa"/>
              <w:end w:w="90" w:type="dxa"/>
            </w:tcMar>
            <w:vAlign w:val="top"/>
          </w:tcPr>
          <w:p>
            <w:pPr>
              <w:spacing w:before="0" w:after="0" w:line="240" w:lineRule="auto"/>
            </w:pPr>
            <w:r>
              <w:rPr>
                <w:rFonts w:ascii="Aptos" w:hAnsi="Aptos"/>
                <w:color w:val="24313D"/>
                <w:sz w:val="16"/>
              </w:rPr>
              <w:t>Diversion monitoring</w:t>
            </w:r>
          </w:p>
        </w:tc>
        <w:tc>
          <w:tcPr>
            <w:tcW w:type="dxa" w:w="6192"/>
            <w:tcMar>
              <w:top w:w="70" w:type="dxa"/>
              <w:start w:w="90" w:type="dxa"/>
              <w:bottom w:w="70" w:type="dxa"/>
              <w:end w:w="90" w:type="dxa"/>
            </w:tcMar>
            <w:vAlign w:val="top"/>
          </w:tcPr>
          <w:p>
            <w:pPr>
              <w:spacing w:before="0" w:after="0" w:line="240" w:lineRule="auto"/>
            </w:pPr>
            <w:r>
              <w:rPr>
                <w:rFonts w:ascii="Aptos" w:hAnsi="Aptos"/>
                <w:color w:val="24313D"/>
                <w:sz w:val="16"/>
              </w:rPr>
              <w:t>Rerouting, split shipments, opacity, inconsistent parties/use and transshipment patterns</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6"/>
              </w:rPr>
              <w:t>Hold/case when triggered</w:t>
            </w:r>
          </w:p>
        </w:tc>
      </w:tr>
    </w:tbl>
    <w:p>
      <w:pPr>
        <w:pStyle w:val="Heading2"/>
        <w:keepNext/>
      </w:pPr>
      <w:r>
        <w:t>7.4 Screening data protection</w:t>
      </w:r>
    </w:p>
    <w:p>
      <w:pPr>
        <w:spacing w:before="0" w:after="80" w:line="259" w:lineRule="auto"/>
      </w:pPr>
      <w:r>
        <w:t>Limit screening data to the purpose and retention required by applicable law and defensible audit. Mask sensitive identifiers, restrict candidate evidence and reviewer notes, separate false-positive rationale from customer-facing explanations, and retain list versions and match features sufficient to reproduce the disposition.</w:t>
      </w:r>
    </w:p>
    <w:p>
      <w:r>
        <w:br w:type="page"/>
      </w:r>
    </w:p>
    <w:p>
      <w:pPr>
        <w:pStyle w:val="Heading1"/>
        <w:keepNext/>
      </w:pPr>
      <w:r>
        <w:t>8. Commodity, customs, tax and documents</w:t>
      </w:r>
    </w:p>
    <w:p>
      <w:pPr>
        <w:pStyle w:val="Heading2"/>
        <w:keepNext/>
      </w:pPr>
      <w:r>
        <w:t>8.1 Product and description controls</w:t>
      </w:r>
    </w:p>
    <w:p>
      <w:pPr>
        <w:pStyle w:val="ListBullet"/>
        <w:spacing w:before="0" w:after="40" w:line="254" w:lineRule="auto"/>
        <w:ind w:left="259" w:hanging="173"/>
      </w:pPr>
      <w:r>
        <w:t>A product version must state what the item is, materials/composition, function/use, brand/model where relevant, manufacturer, condition and regulatory indicators.</w:t>
      </w:r>
    </w:p>
    <w:p>
      <w:pPr>
        <w:pStyle w:val="ListBullet"/>
        <w:spacing w:before="0" w:after="40" w:line="254" w:lineRule="auto"/>
        <w:ind w:left="259" w:hanging="173"/>
      </w:pPr>
      <w:r>
        <w:t>Reject vague declaration descriptions such as “parts”, “sample”, “gift”, “accessories” or internal SKUs without a specific commercial description.</w:t>
      </w:r>
    </w:p>
    <w:p>
      <w:pPr>
        <w:pStyle w:val="ListBullet"/>
        <w:spacing w:before="0" w:after="40" w:line="254" w:lineRule="auto"/>
        <w:ind w:left="259" w:hanging="173"/>
      </w:pPr>
      <w:r>
        <w:t>Machine classification may suggest HS/export/DG/product categories with rationale, confidence and alternatives; it must not silently certify high-risk outcomes.</w:t>
      </w:r>
    </w:p>
    <w:p>
      <w:pPr>
        <w:pStyle w:val="ListBullet"/>
        <w:spacing w:before="0" w:after="40" w:line="254" w:lineRule="auto"/>
        <w:ind w:left="259" w:hanging="173"/>
      </w:pPr>
      <w:r>
        <w:t>Material changes invalidate affected classifications, documents and permissions.</w:t>
      </w:r>
    </w:p>
    <w:p>
      <w:pPr>
        <w:pStyle w:val="Heading2"/>
        <w:keepNext/>
      </w:pPr>
      <w:r>
        <w:t>8.2 Classification, origin and valuation</w:t>
      </w:r>
    </w:p>
    <w:tbl>
      <w:tblPr>
        <w:tblW w:type="dxa" w:w="9503"/>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655"/>
        <w:gridCol w:w="5544"/>
        <w:gridCol w:w="2304"/>
      </w:tblGrid>
      <w:tr>
        <w:trPr>
          <w:tblHeader w:val="true"/>
        </w:trPr>
        <w:tc>
          <w:tcPr>
            <w:tcW w:type="dxa" w:w="1655"/>
            <w:shd w:fill="0F6B78"/>
            <w:tcMar>
              <w:top w:w="70" w:type="dxa"/>
              <w:start w:w="90" w:type="dxa"/>
              <w:bottom w:w="70" w:type="dxa"/>
              <w:end w:w="90" w:type="dxa"/>
            </w:tcMar>
            <w:vAlign w:val="center"/>
          </w:tcPr>
          <w:p>
            <w:pPr>
              <w:spacing w:before="0" w:after="0" w:line="240" w:lineRule="auto"/>
            </w:pPr>
            <w:r>
              <w:rPr>
                <w:rFonts w:ascii="Aptos" w:hAnsi="Aptos"/>
                <w:b/>
                <w:color w:val="FFFFFF"/>
                <w:sz w:val="15"/>
              </w:rPr>
              <w:t>Domain</w:t>
            </w:r>
          </w:p>
        </w:tc>
        <w:tc>
          <w:tcPr>
            <w:tcW w:type="dxa" w:w="5544"/>
            <w:shd w:fill="0F6B78"/>
            <w:tcMar>
              <w:top w:w="70" w:type="dxa"/>
              <w:start w:w="90" w:type="dxa"/>
              <w:bottom w:w="70" w:type="dxa"/>
              <w:end w:w="90" w:type="dxa"/>
            </w:tcMar>
            <w:vAlign w:val="center"/>
          </w:tcPr>
          <w:p>
            <w:pPr>
              <w:spacing w:before="0" w:after="0" w:line="240" w:lineRule="auto"/>
            </w:pPr>
            <w:r>
              <w:rPr>
                <w:rFonts w:ascii="Aptos" w:hAnsi="Aptos"/>
                <w:b/>
                <w:color w:val="FFFFFF"/>
                <w:sz w:val="15"/>
              </w:rPr>
              <w:t>System requirement</w:t>
            </w:r>
          </w:p>
        </w:tc>
        <w:tc>
          <w:tcPr>
            <w:tcW w:type="dxa" w:w="2304"/>
            <w:shd w:fill="0F6B78"/>
            <w:tcMar>
              <w:top w:w="70" w:type="dxa"/>
              <w:start w:w="90" w:type="dxa"/>
              <w:bottom w:w="70" w:type="dxa"/>
              <w:end w:w="90" w:type="dxa"/>
            </w:tcMar>
            <w:vAlign w:val="center"/>
          </w:tcPr>
          <w:p>
            <w:pPr>
              <w:spacing w:before="0" w:after="0" w:line="240" w:lineRule="auto"/>
            </w:pPr>
            <w:r>
              <w:rPr>
                <w:rFonts w:ascii="Aptos" w:hAnsi="Aptos"/>
                <w:b/>
                <w:color w:val="FFFFFF"/>
                <w:sz w:val="15"/>
              </w:rPr>
              <w:t>Approval / evidence</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color w:val="24313D"/>
                <w:sz w:val="15"/>
              </w:rPr>
              <w:t>HS/national tariff</w:t>
            </w:r>
          </w:p>
        </w:tc>
        <w:tc>
          <w:tcPr>
            <w:tcW w:type="dxa" w:w="5544"/>
            <w:tcMar>
              <w:top w:w="70" w:type="dxa"/>
              <w:start w:w="90" w:type="dxa"/>
              <w:bottom w:w="70" w:type="dxa"/>
              <w:end w:w="90" w:type="dxa"/>
            </w:tcMar>
            <w:vAlign w:val="top"/>
          </w:tcPr>
          <w:p>
            <w:pPr>
              <w:spacing w:before="0" w:after="0" w:line="240" w:lineRule="auto"/>
            </w:pPr>
            <w:r>
              <w:rPr>
                <w:rFonts w:ascii="Aptos" w:hAnsi="Aptos"/>
                <w:color w:val="24313D"/>
                <w:sz w:val="15"/>
              </w:rPr>
              <w:t>Six-digit HS baseline plus origin/export and destination extensions where required; nomenclature edition and validity</w:t>
            </w:r>
          </w:p>
        </w:tc>
        <w:tc>
          <w:tcPr>
            <w:tcW w:type="dxa" w:w="2304"/>
            <w:tcMar>
              <w:top w:w="70" w:type="dxa"/>
              <w:start w:w="90" w:type="dxa"/>
              <w:bottom w:w="70" w:type="dxa"/>
              <w:end w:w="90" w:type="dxa"/>
            </w:tcMar>
            <w:vAlign w:val="top"/>
          </w:tcPr>
          <w:p>
            <w:pPr>
              <w:spacing w:before="0" w:after="0" w:line="240" w:lineRule="auto"/>
            </w:pPr>
            <w:r>
              <w:rPr>
                <w:rFonts w:ascii="Aptos" w:hAnsi="Aptos"/>
                <w:color w:val="24313D"/>
                <w:sz w:val="15"/>
              </w:rPr>
              <w:t>Qualified classifier for low-confidence, controlled or trade-remedy cases</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color w:val="24313D"/>
                <w:sz w:val="15"/>
              </w:rPr>
              <w:t>Binding ruling</w:t>
            </w:r>
          </w:p>
        </w:tc>
        <w:tc>
          <w:tcPr>
            <w:tcW w:type="dxa" w:w="5544"/>
            <w:tcMar>
              <w:top w:w="70" w:type="dxa"/>
              <w:start w:w="90" w:type="dxa"/>
              <w:bottom w:w="70" w:type="dxa"/>
              <w:end w:w="90" w:type="dxa"/>
            </w:tcMar>
            <w:vAlign w:val="top"/>
            <w:shd w:fill="F5F7F8"/>
          </w:tcPr>
          <w:p>
            <w:pPr>
              <w:spacing w:before="0" w:after="0" w:line="240" w:lineRule="auto"/>
            </w:pPr>
            <w:r>
              <w:rPr>
                <w:rFonts w:ascii="Aptos" w:hAnsi="Aptos"/>
                <w:color w:val="24313D"/>
                <w:sz w:val="15"/>
              </w:rPr>
              <w:t>Ruling holder, jurisdiction, decision number, product scope and dates; never cross-tenant by default</w:t>
            </w:r>
          </w:p>
        </w:tc>
        <w:tc>
          <w:tcPr>
            <w:tcW w:type="dxa" w:w="2304"/>
            <w:tcMar>
              <w:top w:w="70" w:type="dxa"/>
              <w:start w:w="90" w:type="dxa"/>
              <w:bottom w:w="70" w:type="dxa"/>
              <w:end w:w="90" w:type="dxa"/>
            </w:tcMar>
            <w:vAlign w:val="top"/>
            <w:shd w:fill="F5F7F8"/>
          </w:tcPr>
          <w:p>
            <w:pPr>
              <w:spacing w:before="0" w:after="0" w:line="240" w:lineRule="auto"/>
            </w:pPr>
            <w:r>
              <w:rPr>
                <w:rFonts w:ascii="Aptos" w:hAnsi="Aptos"/>
                <w:color w:val="24313D"/>
                <w:sz w:val="15"/>
              </w:rPr>
              <w:t>Ruling document and applicability review</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color w:val="24313D"/>
                <w:sz w:val="15"/>
              </w:rPr>
              <w:t>Origin</w:t>
            </w:r>
          </w:p>
        </w:tc>
        <w:tc>
          <w:tcPr>
            <w:tcW w:type="dxa" w:w="5544"/>
            <w:tcMar>
              <w:top w:w="70" w:type="dxa"/>
              <w:start w:w="90" w:type="dxa"/>
              <w:bottom w:w="70" w:type="dxa"/>
              <w:end w:w="90" w:type="dxa"/>
            </w:tcMar>
            <w:vAlign w:val="top"/>
          </w:tcPr>
          <w:p>
            <w:pPr>
              <w:spacing w:before="0" w:after="0" w:line="240" w:lineRule="auto"/>
            </w:pPr>
            <w:r>
              <w:rPr>
                <w:rFonts w:ascii="Aptos" w:hAnsi="Aptos"/>
                <w:color w:val="24313D"/>
                <w:sz w:val="15"/>
              </w:rPr>
              <w:t>Manufacture/growth/production origin distinct from ship-from; preferential origin uses agreement-specific tests</w:t>
            </w:r>
          </w:p>
        </w:tc>
        <w:tc>
          <w:tcPr>
            <w:tcW w:type="dxa" w:w="2304"/>
            <w:tcMar>
              <w:top w:w="70" w:type="dxa"/>
              <w:start w:w="90" w:type="dxa"/>
              <w:bottom w:w="70" w:type="dxa"/>
              <w:end w:w="90" w:type="dxa"/>
            </w:tcMar>
            <w:vAlign w:val="top"/>
          </w:tcPr>
          <w:p>
            <w:pPr>
              <w:spacing w:before="0" w:after="0" w:line="240" w:lineRule="auto"/>
            </w:pPr>
            <w:r>
              <w:rPr>
                <w:rFonts w:ascii="Aptos" w:hAnsi="Aptos"/>
                <w:color w:val="24313D"/>
                <w:sz w:val="15"/>
              </w:rPr>
              <w:t>Production facts, supplier declarations and certificates</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color w:val="24313D"/>
                <w:sz w:val="15"/>
              </w:rPr>
              <w:t>Valuation</w:t>
            </w:r>
          </w:p>
        </w:tc>
        <w:tc>
          <w:tcPr>
            <w:tcW w:type="dxa" w:w="5544"/>
            <w:tcMar>
              <w:top w:w="70" w:type="dxa"/>
              <w:start w:w="90" w:type="dxa"/>
              <w:bottom w:w="70" w:type="dxa"/>
              <w:end w:w="90" w:type="dxa"/>
            </w:tcMar>
            <w:vAlign w:val="top"/>
            <w:shd w:fill="F5F7F8"/>
          </w:tcPr>
          <w:p>
            <w:pPr>
              <w:spacing w:before="0" w:after="0" w:line="240" w:lineRule="auto"/>
            </w:pPr>
            <w:r>
              <w:rPr>
                <w:rFonts w:ascii="Aptos" w:hAnsi="Aptos"/>
                <w:color w:val="24313D"/>
                <w:sz w:val="15"/>
              </w:rPr>
              <w:t>Transaction value where applicable plus required additions/deductions; sequential alternative method when needed</w:t>
            </w:r>
          </w:p>
        </w:tc>
        <w:tc>
          <w:tcPr>
            <w:tcW w:type="dxa" w:w="2304"/>
            <w:tcMar>
              <w:top w:w="70" w:type="dxa"/>
              <w:start w:w="90" w:type="dxa"/>
              <w:bottom w:w="70" w:type="dxa"/>
              <w:end w:w="90" w:type="dxa"/>
            </w:tcMar>
            <w:vAlign w:val="top"/>
            <w:shd w:fill="F5F7F8"/>
          </w:tcPr>
          <w:p>
            <w:pPr>
              <w:spacing w:before="0" w:after="0" w:line="240" w:lineRule="auto"/>
            </w:pPr>
            <w:r>
              <w:rPr>
                <w:rFonts w:ascii="Aptos" w:hAnsi="Aptos"/>
                <w:color w:val="24313D"/>
                <w:sz w:val="15"/>
              </w:rPr>
              <w:t>Invoice, relationship, assists, royalties, freight/insurance and rationale</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color w:val="24313D"/>
                <w:sz w:val="15"/>
              </w:rPr>
              <w:t>Currency</w:t>
            </w:r>
          </w:p>
        </w:tc>
        <w:tc>
          <w:tcPr>
            <w:tcW w:type="dxa" w:w="5544"/>
            <w:tcMar>
              <w:top w:w="70" w:type="dxa"/>
              <w:start w:w="90" w:type="dxa"/>
              <w:bottom w:w="70" w:type="dxa"/>
              <w:end w:w="90" w:type="dxa"/>
            </w:tcMar>
            <w:vAlign w:val="top"/>
          </w:tcPr>
          <w:p>
            <w:pPr>
              <w:spacing w:before="0" w:after="0" w:line="240" w:lineRule="auto"/>
            </w:pPr>
            <w:r>
              <w:rPr>
                <w:rFonts w:ascii="Aptos" w:hAnsi="Aptos"/>
                <w:color w:val="24313D"/>
                <w:sz w:val="15"/>
              </w:rPr>
              <w:t>Authority rate/period applicable to declaration; original and converted values retained</w:t>
            </w:r>
          </w:p>
        </w:tc>
        <w:tc>
          <w:tcPr>
            <w:tcW w:type="dxa" w:w="2304"/>
            <w:tcMar>
              <w:top w:w="70" w:type="dxa"/>
              <w:start w:w="90" w:type="dxa"/>
              <w:bottom w:w="70" w:type="dxa"/>
              <w:end w:w="90" w:type="dxa"/>
            </w:tcMar>
            <w:vAlign w:val="top"/>
          </w:tcPr>
          <w:p>
            <w:pPr>
              <w:spacing w:before="0" w:after="0" w:line="240" w:lineRule="auto"/>
            </w:pPr>
            <w:r>
              <w:rPr>
                <w:rFonts w:ascii="Aptos" w:hAnsi="Aptos"/>
                <w:color w:val="24313D"/>
                <w:sz w:val="15"/>
              </w:rPr>
              <w:t>Rate source/version and calculation</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color w:val="24313D"/>
                <w:sz w:val="15"/>
              </w:rPr>
              <w:t>Non-sale flows</w:t>
            </w:r>
          </w:p>
        </w:tc>
        <w:tc>
          <w:tcPr>
            <w:tcW w:type="dxa" w:w="5544"/>
            <w:tcMar>
              <w:top w:w="70" w:type="dxa"/>
              <w:start w:w="90" w:type="dxa"/>
              <w:bottom w:w="70" w:type="dxa"/>
              <w:end w:w="90" w:type="dxa"/>
            </w:tcMar>
            <w:vAlign w:val="top"/>
            <w:shd w:fill="F5F7F8"/>
          </w:tcPr>
          <w:p>
            <w:pPr>
              <w:spacing w:before="0" w:after="0" w:line="240" w:lineRule="auto"/>
            </w:pPr>
            <w:r>
              <w:rPr>
                <w:rFonts w:ascii="Aptos" w:hAnsi="Aptos"/>
                <w:color w:val="24313D"/>
                <w:sz w:val="15"/>
              </w:rPr>
              <w:t>Gifts, samples, returns, warranties and personal effects still need defensible customs value</w:t>
            </w:r>
          </w:p>
        </w:tc>
        <w:tc>
          <w:tcPr>
            <w:tcW w:type="dxa" w:w="2304"/>
            <w:tcMar>
              <w:top w:w="70" w:type="dxa"/>
              <w:start w:w="90" w:type="dxa"/>
              <w:bottom w:w="70" w:type="dxa"/>
              <w:end w:w="90" w:type="dxa"/>
            </w:tcMar>
            <w:vAlign w:val="top"/>
            <w:shd w:fill="F5F7F8"/>
          </w:tcPr>
          <w:p>
            <w:pPr>
              <w:spacing w:before="0" w:after="0" w:line="240" w:lineRule="auto"/>
            </w:pPr>
            <w:r>
              <w:rPr>
                <w:rFonts w:ascii="Aptos" w:hAnsi="Aptos"/>
                <w:color w:val="24313D"/>
                <w:sz w:val="15"/>
              </w:rPr>
              <w:t>Attestation and valuation basis</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color w:val="24313D"/>
                <w:sz w:val="15"/>
              </w:rPr>
              <w:t>Measures</w:t>
            </w:r>
          </w:p>
        </w:tc>
        <w:tc>
          <w:tcPr>
            <w:tcW w:type="dxa" w:w="5544"/>
            <w:tcMar>
              <w:top w:w="70" w:type="dxa"/>
              <w:start w:w="90" w:type="dxa"/>
              <w:bottom w:w="70" w:type="dxa"/>
              <w:end w:w="90" w:type="dxa"/>
            </w:tcMar>
            <w:vAlign w:val="top"/>
          </w:tcPr>
          <w:p>
            <w:pPr>
              <w:spacing w:before="0" w:after="0" w:line="240" w:lineRule="auto"/>
            </w:pPr>
            <w:r>
              <w:rPr>
                <w:rFonts w:ascii="Aptos" w:hAnsi="Aptos"/>
                <w:color w:val="24313D"/>
                <w:sz w:val="15"/>
              </w:rPr>
              <w:t>Duty, VAT/GST, excise, trade remedies, quotas, prohibitions, licences and agency referrals</w:t>
            </w:r>
          </w:p>
        </w:tc>
        <w:tc>
          <w:tcPr>
            <w:tcW w:type="dxa" w:w="2304"/>
            <w:tcMar>
              <w:top w:w="70" w:type="dxa"/>
              <w:start w:w="90" w:type="dxa"/>
              <w:bottom w:w="70" w:type="dxa"/>
              <w:end w:w="90" w:type="dxa"/>
            </w:tcMar>
            <w:vAlign w:val="top"/>
          </w:tcPr>
          <w:p>
            <w:pPr>
              <w:spacing w:before="0" w:after="0" w:line="240" w:lineRule="auto"/>
            </w:pPr>
            <w:r>
              <w:rPr>
                <w:rFonts w:ascii="Aptos" w:hAnsi="Aptos"/>
                <w:color w:val="24313D"/>
                <w:sz w:val="15"/>
              </w:rPr>
              <w:t>National tariff/measure source and effective date</w:t>
            </w:r>
          </w:p>
        </w:tc>
      </w:tr>
    </w:tbl>
    <w:p>
      <w:pPr>
        <w:pStyle w:val="Heading2"/>
        <w:keepNext/>
      </w:pPr>
      <w:r>
        <w:t>8.3 DDP and DAP</w:t>
      </w:r>
    </w:p>
    <w:tbl>
      <w:tblPr>
        <w:tblW w:type="dxa" w:w="9504"/>
        <w:tblLayout w:type="fixed"/>
        <w:tblLook w:firstColumn="1" w:firstRow="1" w:lastColumn="0" w:lastRow="0" w:noHBand="0" w:noVBand="1" w:val="04A0"/>
        <w:tblBorders>
          <w:top w:val="single" w:sz="8" w:space="0" w:color="E6812A"/>
          <w:left w:val="single" w:sz="8" w:space="0" w:color="E6812A"/>
          <w:bottom w:val="single" w:sz="8" w:space="0" w:color="E6812A"/>
          <w:right w:val="single" w:sz="8" w:space="0" w:color="E6812A"/>
          <w:insideH w:val="single" w:sz="8" w:space="0" w:color="E6812A"/>
          <w:insideV w:val="single" w:sz="8" w:space="0" w:color="E6812A"/>
        </w:tblBorders>
        <w:jc w:val="left"/>
        <w:tblInd w:w="140" w:type="dxa"/>
      </w:tblPr>
      <w:tblGrid>
        <w:gridCol w:w="9504"/>
      </w:tblGrid>
      <w:tr>
        <w:trPr>
          <w:tblHeader w:val="true"/>
        </w:trPr>
        <w:tc>
          <w:tcPr>
            <w:tcW w:type="dxa" w:w="9504"/>
            <w:shd w:fill="E6812A"/>
            <w:tcMar>
              <w:top w:w="90" w:type="dxa"/>
              <w:start w:w="140" w:type="dxa"/>
              <w:bottom w:w="90" w:type="dxa"/>
              <w:end w:w="140" w:type="dxa"/>
            </w:tcMar>
          </w:tcPr>
          <w:p>
            <w:pPr>
              <w:spacing w:before="0" w:after="0" w:line="240" w:lineRule="auto"/>
            </w:pPr>
            <w:r>
              <w:rPr>
                <w:rFonts w:ascii="Aptos Display" w:hAnsi="Aptos Display"/>
                <w:b/>
                <w:color w:val="FFFFFF"/>
                <w:sz w:val="20"/>
              </w:rPr>
              <w:t>Trade-term eligibility</w:t>
            </w:r>
          </w:p>
        </w:tc>
      </w:tr>
      <w:tr>
        <w:tc>
          <w:tcPr>
            <w:tcW w:type="dxa" w:w="9504"/>
            <w:shd w:fill="FFF0E2"/>
            <w:tcMar>
              <w:top w:w="90" w:type="dxa"/>
              <w:start w:w="140" w:type="dxa"/>
              <w:bottom w:w="90" w:type="dxa"/>
              <w:end w:w="140" w:type="dxa"/>
            </w:tcMar>
          </w:tcPr>
          <w:p>
            <w:pPr>
              <w:spacing w:before="0" w:after="0" w:line="252" w:lineRule="auto"/>
            </w:pPr>
            <w:r>
              <w:rPr>
                <w:rFonts w:ascii="Aptos" w:hAnsi="Aptos"/>
                <w:color w:val="24313D"/>
                <w:sz w:val="18"/>
              </w:rPr>
              <w:t>Do not offer DDP merely because a user selected it. DDP requires an eligible importer, tax/customs identifiers, carrier service support, payment/disbursement authority, country-pack permission and separate treatment of VAT-remittance schemes. DAP must clearly assign destination clearance and payment responsibility subject to local law and carrier terms.</w:t>
            </w:r>
          </w:p>
        </w:tc>
      </w:tr>
    </w:tbl>
    <w:p>
      <w:pPr>
        <w:spacing w:after="0"/>
      </w:pPr>
    </w:p>
    <w:p>
      <w:pPr>
        <w:pStyle w:val="Heading2"/>
        <w:keepNext/>
      </w:pPr>
      <w:r>
        <w:t>8.4 Indirect filing and declaration state</w:t>
      </w:r>
    </w:p>
    <w:p>
      <w:pPr>
        <w:pStyle w:val="ListBullet"/>
        <w:spacing w:before="0" w:after="40" w:line="254" w:lineRule="auto"/>
        <w:ind w:left="259" w:hanging="173"/>
      </w:pPr>
      <w:r>
        <w:t>Validate canonical line-level data before mapping: parties/roles, identifiers, precise descriptions, HS codes, origin, values/currency/method, quantities/weights, purpose/procedure, licences and documents.</w:t>
      </w:r>
    </w:p>
    <w:p>
      <w:pPr>
        <w:pStyle w:val="ListBullet"/>
        <w:spacing w:before="0" w:after="40" w:line="254" w:lineRule="auto"/>
        <w:ind w:left="259" w:hanging="173"/>
      </w:pPr>
      <w:r>
        <w:t>Transmit only through an approved carrier, postal operator or contracted filing-partner adapter.</w:t>
      </w:r>
    </w:p>
    <w:p>
      <w:pPr>
        <w:pStyle w:val="ListBullet"/>
        <w:spacing w:before="0" w:after="40" w:line="254" w:lineRule="auto"/>
        <w:ind w:left="259" w:hanging="173"/>
      </w:pPr>
      <w:r>
        <w:t>Normalize external status to PENDING, ACCEPTED, REJECTED, REFERRED, CANCELLED or UNKNOWN while retaining raw codes.</w:t>
      </w:r>
    </w:p>
    <w:p>
      <w:pPr>
        <w:pStyle w:val="ListBullet"/>
        <w:spacing w:before="0" w:after="40" w:line="254" w:lineRule="auto"/>
        <w:ind w:left="259" w:hanging="173"/>
      </w:pPr>
      <w:r>
        <w:t>HTTP success does not mean declaration acceptance. Timeout or lost correlation is UNKNOWN; query/reconcile before retry.</w:t>
      </w:r>
    </w:p>
    <w:p>
      <w:pPr>
        <w:pStyle w:val="ListBullet"/>
        <w:spacing w:before="0" w:after="40" w:line="254" w:lineRule="auto"/>
        <w:ind w:left="259" w:hanging="173"/>
      </w:pPr>
      <w:r>
        <w:t>Use external amendment/void/cancel processes; preserve original payload, response and identifiers.</w:t>
      </w:r>
    </w:p>
    <w:p>
      <w:pPr>
        <w:pStyle w:val="Heading2"/>
        <w:keepNext/>
      </w:pPr>
      <w:r>
        <w:t>8.5 Document integrity</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872"/>
        <w:gridCol w:w="7632"/>
      </w:tblGrid>
      <w:tr>
        <w:trPr>
          <w:tblHeader w:val="true"/>
        </w:trPr>
        <w:tc>
          <w:tcPr>
            <w:tcW w:type="dxa" w:w="187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Control</w:t>
            </w:r>
          </w:p>
        </w:tc>
        <w:tc>
          <w:tcPr>
            <w:tcW w:type="dxa" w:w="763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Mandatory behavior</w:t>
            </w:r>
          </w:p>
        </w:tc>
      </w:tr>
      <w:tr>
        <w:trPr>
          <w:cantSplit/>
        </w:trPr>
        <w:tc>
          <w:tcPr>
            <w:tcW w:type="dxa" w:w="1872"/>
            <w:tcMar>
              <w:top w:w="70" w:type="dxa"/>
              <w:start w:w="90" w:type="dxa"/>
              <w:bottom w:w="70" w:type="dxa"/>
              <w:end w:w="90" w:type="dxa"/>
            </w:tcMar>
            <w:vAlign w:val="top"/>
          </w:tcPr>
          <w:p>
            <w:pPr>
              <w:spacing w:before="0" w:after="0" w:line="240" w:lineRule="auto"/>
            </w:pPr>
            <w:r>
              <w:rPr>
                <w:rFonts w:ascii="Aptos" w:hAnsi="Aptos"/>
                <w:b/>
                <w:color w:val="24313D"/>
                <w:sz w:val="16"/>
              </w:rPr>
              <w:t>Single truth source</w:t>
            </w:r>
          </w:p>
        </w:tc>
        <w:tc>
          <w:tcPr>
            <w:tcW w:type="dxa" w:w="7632"/>
            <w:tcMar>
              <w:top w:w="70" w:type="dxa"/>
              <w:start w:w="90" w:type="dxa"/>
              <w:bottom w:w="70" w:type="dxa"/>
              <w:end w:w="90" w:type="dxa"/>
            </w:tcMar>
            <w:vAlign w:val="top"/>
          </w:tcPr>
          <w:p>
            <w:pPr>
              <w:spacing w:before="0" w:after="0" w:line="240" w:lineRule="auto"/>
            </w:pPr>
            <w:r>
              <w:rPr>
                <w:rFonts w:ascii="Aptos" w:hAnsi="Aptos"/>
                <w:color w:val="24313D"/>
                <w:sz w:val="16"/>
              </w:rPr>
              <w:t>Invoice, packing list, customs payload, origin statement, permits, CN22/CN23, AWB and DG documents derive from the same versioned canonical shipment.</w:t>
            </w:r>
          </w:p>
        </w:tc>
      </w:tr>
      <w:tr>
        <w:trPr>
          <w:cantSplit/>
        </w:trPr>
        <w:tc>
          <w:tcPr>
            <w:tcW w:type="dxa" w:w="1872"/>
            <w:tcMar>
              <w:top w:w="70" w:type="dxa"/>
              <w:start w:w="90" w:type="dxa"/>
              <w:bottom w:w="70" w:type="dxa"/>
              <w:end w:w="90" w:type="dxa"/>
            </w:tcMar>
            <w:vAlign w:val="top"/>
            <w:shd w:fill="F5F7F8"/>
          </w:tcPr>
          <w:p>
            <w:pPr>
              <w:spacing w:before="0" w:after="0" w:line="240" w:lineRule="auto"/>
            </w:pPr>
            <w:r>
              <w:rPr>
                <w:rFonts w:ascii="Aptos" w:hAnsi="Aptos"/>
                <w:b/>
                <w:color w:val="24313D"/>
                <w:sz w:val="16"/>
              </w:rPr>
              <w:t>Line fidelity</w:t>
            </w:r>
          </w:p>
        </w:tc>
        <w:tc>
          <w:tcPr>
            <w:tcW w:type="dxa" w:w="7632"/>
            <w:tcMar>
              <w:top w:w="70" w:type="dxa"/>
              <w:start w:w="90" w:type="dxa"/>
              <w:bottom w:w="70" w:type="dxa"/>
              <w:end w:w="90" w:type="dxa"/>
            </w:tcMar>
            <w:vAlign w:val="top"/>
            <w:shd w:fill="F5F7F8"/>
          </w:tcPr>
          <w:p>
            <w:pPr>
              <w:spacing w:before="0" w:after="0" w:line="240" w:lineRule="auto"/>
            </w:pPr>
            <w:r>
              <w:rPr>
                <w:rFonts w:ascii="Aptos" w:hAnsi="Aptos"/>
                <w:color w:val="24313D"/>
                <w:sz w:val="16"/>
              </w:rPr>
              <w:t>Do not aggregate lines where code, origin, value, regulation, tax, licence, lot or document treatment differs.</w:t>
            </w:r>
          </w:p>
        </w:tc>
      </w:tr>
      <w:tr>
        <w:trPr>
          <w:cantSplit/>
        </w:trPr>
        <w:tc>
          <w:tcPr>
            <w:tcW w:type="dxa" w:w="1872"/>
            <w:tcMar>
              <w:top w:w="70" w:type="dxa"/>
              <w:start w:w="90" w:type="dxa"/>
              <w:bottom w:w="70" w:type="dxa"/>
              <w:end w:w="90" w:type="dxa"/>
            </w:tcMar>
            <w:vAlign w:val="top"/>
          </w:tcPr>
          <w:p>
            <w:pPr>
              <w:spacing w:before="0" w:after="0" w:line="240" w:lineRule="auto"/>
            </w:pPr>
            <w:r>
              <w:rPr>
                <w:rFonts w:ascii="Aptos" w:hAnsi="Aptos"/>
                <w:b/>
                <w:color w:val="24313D"/>
                <w:sz w:val="16"/>
              </w:rPr>
              <w:t>Templates</w:t>
            </w:r>
          </w:p>
        </w:tc>
        <w:tc>
          <w:tcPr>
            <w:tcW w:type="dxa" w:w="7632"/>
            <w:tcMar>
              <w:top w:w="70" w:type="dxa"/>
              <w:start w:w="90" w:type="dxa"/>
              <w:bottom w:w="70" w:type="dxa"/>
              <w:end w:w="90" w:type="dxa"/>
            </w:tcMar>
            <w:vAlign w:val="top"/>
          </w:tcPr>
          <w:p>
            <w:pPr>
              <w:spacing w:before="0" w:after="0" w:line="240" w:lineRule="auto"/>
            </w:pPr>
            <w:r>
              <w:rPr>
                <w:rFonts w:ascii="Aptos" w:hAnsi="Aptos"/>
                <w:color w:val="24313D"/>
                <w:sz w:val="16"/>
              </w:rPr>
              <w:t>Version by jurisdiction, carrier, language, copies, placement, signature/stamp and effective date.</w:t>
            </w:r>
          </w:p>
        </w:tc>
      </w:tr>
      <w:tr>
        <w:trPr>
          <w:cantSplit/>
        </w:trPr>
        <w:tc>
          <w:tcPr>
            <w:tcW w:type="dxa" w:w="1872"/>
            <w:tcMar>
              <w:top w:w="70" w:type="dxa"/>
              <w:start w:w="90" w:type="dxa"/>
              <w:bottom w:w="70" w:type="dxa"/>
              <w:end w:w="90" w:type="dxa"/>
            </w:tcMar>
            <w:vAlign w:val="top"/>
            <w:shd w:fill="F5F7F8"/>
          </w:tcPr>
          <w:p>
            <w:pPr>
              <w:spacing w:before="0" w:after="0" w:line="240" w:lineRule="auto"/>
            </w:pPr>
            <w:r>
              <w:rPr>
                <w:rFonts w:ascii="Aptos" w:hAnsi="Aptos"/>
                <w:b/>
                <w:color w:val="24313D"/>
                <w:sz w:val="16"/>
              </w:rPr>
              <w:t>Electronic signatures</w:t>
            </w:r>
          </w:p>
        </w:tc>
        <w:tc>
          <w:tcPr>
            <w:tcW w:type="dxa" w:w="7632"/>
            <w:tcMar>
              <w:top w:w="70" w:type="dxa"/>
              <w:start w:w="90" w:type="dxa"/>
              <w:bottom w:w="70" w:type="dxa"/>
              <w:end w:w="90" w:type="dxa"/>
            </w:tcMar>
            <w:vAlign w:val="top"/>
            <w:shd w:fill="F5F7F8"/>
          </w:tcPr>
          <w:p>
            <w:pPr>
              <w:spacing w:before="0" w:after="0" w:line="240" w:lineRule="auto"/>
            </w:pPr>
            <w:r>
              <w:rPr>
                <w:rFonts w:ascii="Aptos" w:hAnsi="Aptos"/>
                <w:color w:val="24313D"/>
                <w:sz w:val="16"/>
              </w:rPr>
              <w:t>Use only where the country pack and recipient permit; retain identity, intent, method, time and tamper evidence.</w:t>
            </w:r>
          </w:p>
        </w:tc>
      </w:tr>
      <w:tr>
        <w:trPr>
          <w:cantSplit/>
        </w:trPr>
        <w:tc>
          <w:tcPr>
            <w:tcW w:type="dxa" w:w="1872"/>
            <w:tcMar>
              <w:top w:w="70" w:type="dxa"/>
              <w:start w:w="90" w:type="dxa"/>
              <w:bottom w:w="70" w:type="dxa"/>
              <w:end w:w="90" w:type="dxa"/>
            </w:tcMar>
            <w:vAlign w:val="top"/>
          </w:tcPr>
          <w:p>
            <w:pPr>
              <w:spacing w:before="0" w:after="0" w:line="240" w:lineRule="auto"/>
            </w:pPr>
            <w:r>
              <w:rPr>
                <w:rFonts w:ascii="Aptos" w:hAnsi="Aptos"/>
                <w:b/>
                <w:color w:val="24313D"/>
                <w:sz w:val="16"/>
              </w:rPr>
              <w:t>Consistency</w:t>
            </w:r>
          </w:p>
        </w:tc>
        <w:tc>
          <w:tcPr>
            <w:tcW w:type="dxa" w:w="7632"/>
            <w:tcMar>
              <w:top w:w="70" w:type="dxa"/>
              <w:start w:w="90" w:type="dxa"/>
              <w:bottom w:w="70" w:type="dxa"/>
              <w:end w:w="90" w:type="dxa"/>
            </w:tcMar>
            <w:vAlign w:val="top"/>
          </w:tcPr>
          <w:p>
            <w:pPr>
              <w:spacing w:before="0" w:after="0" w:line="240" w:lineRule="auto"/>
            </w:pPr>
            <w:r>
              <w:rPr>
                <w:rFonts w:ascii="Aptos" w:hAnsi="Aptos"/>
                <w:color w:val="24313D"/>
                <w:sz w:val="16"/>
              </w:rPr>
              <w:t>Hash and reconcile rendered, uploaded and transmitted content; a mismatch holds the shipment.</w:t>
            </w:r>
          </w:p>
        </w:tc>
      </w:tr>
      <w:tr>
        <w:trPr>
          <w:cantSplit/>
        </w:trPr>
        <w:tc>
          <w:tcPr>
            <w:tcW w:type="dxa" w:w="1872"/>
            <w:tcMar>
              <w:top w:w="70" w:type="dxa"/>
              <w:start w:w="90" w:type="dxa"/>
              <w:bottom w:w="70" w:type="dxa"/>
              <w:end w:w="90" w:type="dxa"/>
            </w:tcMar>
            <w:vAlign w:val="top"/>
            <w:shd w:fill="F5F7F8"/>
          </w:tcPr>
          <w:p>
            <w:pPr>
              <w:spacing w:before="0" w:after="0" w:line="240" w:lineRule="auto"/>
            </w:pPr>
            <w:r>
              <w:rPr>
                <w:rFonts w:ascii="Aptos" w:hAnsi="Aptos"/>
                <w:b/>
                <w:color w:val="24313D"/>
                <w:sz w:val="16"/>
              </w:rPr>
              <w:t>References</w:t>
            </w:r>
          </w:p>
        </w:tc>
        <w:tc>
          <w:tcPr>
            <w:tcW w:type="dxa" w:w="7632"/>
            <w:tcMar>
              <w:top w:w="70" w:type="dxa"/>
              <w:start w:w="90" w:type="dxa"/>
              <w:bottom w:w="70" w:type="dxa"/>
              <w:end w:w="90" w:type="dxa"/>
            </w:tcMar>
            <w:vAlign w:val="top"/>
            <w:shd w:fill="F5F7F8"/>
          </w:tcPr>
          <w:p>
            <w:pPr>
              <w:spacing w:before="0" w:after="0" w:line="240" w:lineRule="auto"/>
            </w:pPr>
            <w:r>
              <w:rPr>
                <w:rFonts w:ascii="Aptos" w:hAnsi="Aptos"/>
                <w:color w:val="24313D"/>
                <w:sz w:val="16"/>
              </w:rPr>
              <w:t>Store MRN/entry/declaration/referral/message identifiers as typed references, never inferred from tracking numbers.</w:t>
            </w:r>
          </w:p>
        </w:tc>
      </w:tr>
    </w:tbl>
    <w:p>
      <w:r>
        <w:br w:type="page"/>
      </w:r>
    </w:p>
    <w:p>
      <w:pPr>
        <w:pStyle w:val="Heading1"/>
        <w:keepNext/>
      </w:pPr>
      <w:r>
        <w:t>9. Parcel and express</w:t>
      </w:r>
    </w:p>
    <w:p>
      <w:pPr>
        <w:pStyle w:val="Heading2"/>
        <w:keepNext/>
      </w:pPr>
      <w:r>
        <w:t>9.1 Service selection and rating</w:t>
      </w:r>
    </w:p>
    <w:p>
      <w:pPr>
        <w:pStyle w:val="ListBullet"/>
        <w:spacing w:before="0" w:after="40" w:line="254" w:lineRule="auto"/>
        <w:ind w:left="259" w:hanging="173"/>
      </w:pPr>
      <w:r>
        <w:t>Offer a service only after a live or policy-fresh carrier capability/rate result for the exact account, lane, planned ship time, packages, commodity, value, DG/special services and Incoterm.</w:t>
      </w:r>
    </w:p>
    <w:p>
      <w:pPr>
        <w:pStyle w:val="ListBullet"/>
        <w:spacing w:before="0" w:after="40" w:line="254" w:lineRule="auto"/>
        <w:ind w:left="259" w:hanging="173"/>
      </w:pPr>
      <w:r>
        <w:t>Separate rates, duties/taxes, disbursement, remote area, fuel, DG, oversize, brokerage and other surcharges. Mark landed cost as estimate until externally assessed.</w:t>
      </w:r>
    </w:p>
    <w:p>
      <w:pPr>
        <w:pStyle w:val="ListBullet"/>
        <w:spacing w:before="0" w:after="40" w:line="254" w:lineRule="auto"/>
        <w:ind w:left="259" w:hanging="173"/>
      </w:pPr>
      <w:r>
        <w:t>Retain quote currency, exchange basis, expiry, request hash, provider version and selected offer.</w:t>
      </w:r>
    </w:p>
    <w:p>
      <w:pPr>
        <w:pStyle w:val="ListBullet"/>
        <w:spacing w:before="0" w:after="40" w:line="254" w:lineRule="auto"/>
        <w:ind w:left="259" w:hanging="173"/>
      </w:pPr>
      <w:r>
        <w:t>Re-rate and revalidate after weight/dimensions, route, service, commodity, value or special-service changes.</w:t>
      </w:r>
    </w:p>
    <w:p>
      <w:pPr>
        <w:pStyle w:val="Heading2"/>
        <w:keepNext/>
      </w:pPr>
      <w:r>
        <w:t>9.2 Shipment, labels and pickups</w:t>
      </w:r>
    </w:p>
    <w:p>
      <w:pPr>
        <w:pStyle w:val="ListBullet"/>
        <w:spacing w:before="0" w:after="40" w:line="254" w:lineRule="auto"/>
        <w:ind w:left="259" w:hanging="173"/>
      </w:pPr>
      <w:r>
        <w:t>Use stable idempotency/correlation keys and query ambiguous outcomes before creating another shipment or charge.</w:t>
      </w:r>
    </w:p>
    <w:p>
      <w:pPr>
        <w:pStyle w:val="ListBullet"/>
        <w:spacing w:before="0" w:after="40" w:line="254" w:lineRule="auto"/>
        <w:ind w:left="259" w:hanging="173"/>
      </w:pPr>
      <w:r>
        <w:t>A label is generated only after the required pre-label gates; carrier creation does not prove customs acceptance or physical tender.</w:t>
      </w:r>
    </w:p>
    <w:p>
      <w:pPr>
        <w:pStyle w:val="ListBullet"/>
        <w:spacing w:before="0" w:after="40" w:line="254" w:lineRule="auto"/>
        <w:ind w:left="259" w:hanging="173"/>
      </w:pPr>
      <w:r>
        <w:t>Control reprints, retain reprint reason/count and invalidate prior labels after void/replacement.</w:t>
      </w:r>
    </w:p>
    <w:p>
      <w:pPr>
        <w:pStyle w:val="ListBullet"/>
        <w:spacing w:before="0" w:after="40" w:line="254" w:lineRule="auto"/>
        <w:ind w:left="259" w:hanging="173"/>
      </w:pPr>
      <w:r>
        <w:t>Pickup creation requires an approved account/site/time window; pickup reference is not proof of custody.</w:t>
      </w:r>
    </w:p>
    <w:p>
      <w:pPr>
        <w:pStyle w:val="ListBullet"/>
        <w:spacing w:before="0" w:after="40" w:line="254" w:lineRule="auto"/>
        <w:ind w:left="259" w:hanging="173"/>
      </w:pPr>
      <w:r>
        <w:t>Carrier handover requires package scans, manifest/closeout where applicable, carrier/driver reference, location/time and exception record.</w:t>
      </w:r>
    </w:p>
    <w:p>
      <w:pPr>
        <w:pStyle w:val="Heading2"/>
        <w:keepNext/>
      </w:pPr>
      <w:r>
        <w:t>9.3 Returns and post-tender events</w:t>
      </w:r>
    </w:p>
    <w:p>
      <w:pPr>
        <w:spacing w:before="0" w:after="80" w:line="259" w:lineRule="auto"/>
      </w:pPr>
      <w:r>
        <w:t>Return labels and reverse flows must link the original shipment, declaration, item/serial/lot, value and reason. Route changes, sanctions/list changes, damage, loss, customs referrals and delivery exceptions drive intercept/notify/return decisions based on current custody. The UI must not imply that the 3PL can intercept cargo after carrier control makes that impossible.</w:t>
      </w:r>
    </w:p>
    <w:p>
      <w:r>
        <w:br w:type="page"/>
      </w:r>
    </w:p>
    <w:p>
      <w:pPr>
        <w:pStyle w:val="Heading1"/>
        <w:keepNext/>
      </w:pPr>
      <w:r>
        <w:t>10. Postal packets and UPU-compatible flows</w:t>
      </w:r>
    </w:p>
    <w:p>
      <w:pPr>
        <w:pStyle w:val="Heading2"/>
        <w:keepNext/>
      </w:pPr>
      <w:r>
        <w:t>10.1 Mandatory message and identifier controls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44"/>
        <w:gridCol w:w="7560"/>
      </w:tblGrid>
      <w:tr>
        <w:trPr>
          <w:tblHeader w:val="true"/>
        </w:trPr>
        <w:tc>
          <w:tcPr>
            <w:tcW w:type="dxa" w:w="194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Control</w:t>
            </w:r>
          </w:p>
        </w:tc>
        <w:tc>
          <w:tcPr>
            <w:tcW w:type="dxa" w:w="756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Requirement</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Origin authority</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Use a contracted designated operator or authorized consolidator whose account permits the traffic and commodity.</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S10</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Allocate atomically, validate service indicator/check structure as applicable and prevent prohibited identifier reuse.</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ITMATT</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Transmit complete content-line electronic advance data including description, quantity, value/currency, weight, origin and HS where required.</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CN22/CN23</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Rendered/signed form must match electronic data and actual contents.</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PREDES nesting</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Nest item to receptacle/dispatch; prohibit duplicate or orphan identifiers; reconcile scans.</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CARDIT</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Where applicable, transmit dispatch/transport and advance-risk data to the air carrier before tender.</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CUSITM/CUSRSP</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Support customs item/response exchanges through the contracted operator or partner mapping.</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ITMREF/REFRSP</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Normalize RFI/RFS/DNL and partner equivalents; only external clearance can release.</w:t>
            </w:r>
          </w:p>
        </w:tc>
      </w:tr>
    </w:tbl>
    <w:p>
      <w:pPr>
        <w:pStyle w:val="Heading2"/>
        <w:keepNext/>
      </w:pPr>
      <w:r>
        <w:t>10.2 EAD and PLACI timing</w:t>
      </w:r>
    </w:p>
    <w:p>
      <w:pPr>
        <w:spacing w:before="0" w:after="80" w:line="259" w:lineRule="auto"/>
      </w:pPr>
      <w:r>
        <w:t>The WCO-UPU 2025 guidelines make electronic advance data quality and data-before-goods sequencing a core baseline. Where PLACI applies, validate at least the consignor name/address, consignee name/address, package count, gross weight/unit, brief description and identifier before the applicable cut-off. Country/operator rules determine whether additional data, six-digit HS codes and signed paper forms are mandatory. [SRC-POST-001]</w:t>
      </w:r>
    </w:p>
    <w:tbl>
      <w:tblPr>
        <w:tblW w:type="dxa" w:w="9504"/>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jc w:val="left"/>
        <w:tblInd w:w="140" w:type="dxa"/>
      </w:tblPr>
      <w:tblGrid>
        <w:gridCol w:w="9504"/>
      </w:tblGrid>
      <w:tr>
        <w:trPr>
          <w:tblHeader w:val="true"/>
        </w:trPr>
        <w:tc>
          <w:tcPr>
            <w:tcW w:type="dxa" w:w="9504"/>
            <w:shd w:fill="B42318"/>
            <w:tcMar>
              <w:top w:w="90" w:type="dxa"/>
              <w:start w:w="140" w:type="dxa"/>
              <w:bottom w:w="90" w:type="dxa"/>
              <w:end w:w="140" w:type="dxa"/>
            </w:tcMar>
          </w:tcPr>
          <w:p>
            <w:pPr>
              <w:spacing w:before="0" w:after="0" w:line="240" w:lineRule="auto"/>
            </w:pPr>
            <w:r>
              <w:rPr>
                <w:rFonts w:ascii="Aptos Display" w:hAnsi="Aptos Display"/>
                <w:b/>
                <w:color w:val="FFFFFF"/>
                <w:sz w:val="20"/>
              </w:rPr>
              <w:t>Postal DNL</w:t>
            </w:r>
          </w:p>
        </w:tc>
      </w:tr>
      <w:tr>
        <w:tc>
          <w:tcPr>
            <w:tcW w:type="dxa" w:w="9504"/>
            <w:shd w:fill="FDE7E5"/>
            <w:tcMar>
              <w:top w:w="90" w:type="dxa"/>
              <w:start w:w="140" w:type="dxa"/>
              <w:bottom w:w="90" w:type="dxa"/>
              <w:end w:w="140" w:type="dxa"/>
            </w:tcMar>
          </w:tcPr>
          <w:p>
            <w:pPr>
              <w:spacing w:before="0" w:after="0" w:line="252" w:lineRule="auto"/>
            </w:pPr>
            <w:r>
              <w:rPr>
                <w:rFonts w:ascii="Aptos" w:hAnsi="Aptos"/>
                <w:color w:val="24313D"/>
                <w:sz w:val="18"/>
              </w:rPr>
              <w:t>A do-not-load or unresolved security referral prevents dispatch/container close and physical handover. The item must be scanned into a secure hold location and may be released only from an authenticated carrier/authority response.</w:t>
            </w:r>
          </w:p>
        </w:tc>
      </w:tr>
    </w:tbl>
    <w:p>
      <w:pPr>
        <w:spacing w:after="0"/>
      </w:pPr>
    </w:p>
    <w:p>
      <w:pPr>
        <w:pStyle w:val="Heading2"/>
        <w:keepNext/>
      </w:pPr>
      <w:r>
        <w:t>10.3 Operator deviations</w:t>
      </w:r>
    </w:p>
    <w:p>
      <w:pPr>
        <w:spacing w:before="0" w:after="80" w:line="259" w:lineRule="auto"/>
      </w:pPr>
      <w:r>
        <w:t>UPU standards are the canonical mapping baseline, but bilateral and designated-operator versions, code lists, service eligibility, cut-offs and response semantics vary. The postal adapter must declare exactly what it supports and pass conformance tests; an unknown message version fails closed.</w:t>
      </w:r>
    </w:p>
    <w:p>
      <w:r>
        <w:br w:type="page"/>
      </w:r>
    </w:p>
    <w:p>
      <w:pPr>
        <w:pStyle w:val="Heading1"/>
        <w:keepNext/>
      </w:pPr>
      <w:r>
        <w:t>11. Air freight and aviation security</w:t>
      </w:r>
    </w:p>
    <w:p>
      <w:pPr>
        <w:pStyle w:val="Heading2"/>
        <w:keepNext/>
      </w:pPr>
      <w:r>
        <w:t>11.1 Legal-role and security boundary</w:t>
      </w:r>
    </w:p>
    <w:p>
      <w:pPr>
        <w:spacing w:before="0" w:after="80" w:line="259" w:lineRule="auto"/>
      </w:pPr>
      <w:r>
        <w:t>Identify the contracted carrier/forwarder/platform and the party performing booking, AWB allocation, cargo security and PLACI filing. The warehouse operator is not an airline, freight forwarder or regulated agent unless separately authorized. Known-consignor/regulated-agent status, authority, ID, scope and expiry must be recorded when a regime requires it.</w:t>
      </w:r>
    </w:p>
    <w:p>
      <w:pPr>
        <w:pStyle w:val="Heading2"/>
        <w:keepNext/>
      </w:pPr>
      <w:r>
        <w:t>11.2 PLACI and referrals</w:t>
      </w:r>
    </w:p>
    <w:p>
      <w:pPr>
        <w:pStyle w:val="ListBullet"/>
        <w:spacing w:before="0" w:after="40" w:line="254" w:lineRule="auto"/>
        <w:ind w:left="259" w:hanging="173"/>
      </w:pPr>
      <w:r>
        <w:t>Determine applicable pre-loading regimes from origin, transit, destination, route, carrier and cargo.</w:t>
      </w:r>
    </w:p>
    <w:p>
      <w:pPr>
        <w:pStyle w:val="ListBullet"/>
        <w:spacing w:before="0" w:after="40" w:line="254" w:lineRule="auto"/>
        <w:ind w:left="259" w:hanging="173"/>
      </w:pPr>
      <w:r>
        <w:t>Calculate carrier/regime cut-offs and transmit only through the contracted carrier/forwarder/postal partner.</w:t>
      </w:r>
    </w:p>
    <w:p>
      <w:pPr>
        <w:pStyle w:val="ListBullet"/>
        <w:spacing w:before="0" w:after="40" w:line="254" w:lineRule="auto"/>
        <w:ind w:left="259" w:hanging="173"/>
      </w:pPr>
      <w:r>
        <w:t>Normalize RFI, RFS, DNL and equivalent statuses without losing raw codes, authority, scope or deadlines.</w:t>
      </w:r>
    </w:p>
    <w:p>
      <w:pPr>
        <w:pStyle w:val="ListBullet"/>
        <w:spacing w:before="0" w:after="40" w:line="254" w:lineRule="auto"/>
        <w:ind w:left="259" w:hanging="173"/>
      </w:pPr>
      <w:r>
        <w:t>DNL blocks loading. RFI/RFS require externally accepted response/clearance; a tenant user cannot clear them.</w:t>
      </w:r>
    </w:p>
    <w:p>
      <w:pPr>
        <w:pStyle w:val="ListBullet"/>
        <w:spacing w:before="0" w:after="40" w:line="254" w:lineRule="auto"/>
        <w:ind w:left="259" w:hanging="173"/>
      </w:pPr>
      <w:r>
        <w:t>Route changes trigger renewed sanctions, security, temperature and transit analysis.</w:t>
      </w:r>
    </w:p>
    <w:p>
      <w:pPr>
        <w:pStyle w:val="Heading2"/>
        <w:keepNext/>
      </w:pPr>
      <w:r>
        <w:t>11.3 AWB, booking and cargo data</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088"/>
        <w:gridCol w:w="7416"/>
      </w:tblGrid>
      <w:tr>
        <w:trPr>
          <w:tblHeader w:val="true"/>
        </w:trPr>
        <w:tc>
          <w:tcPr>
            <w:tcW w:type="dxa" w:w="208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Capability</w:t>
            </w:r>
          </w:p>
        </w:tc>
        <w:tc>
          <w:tcPr>
            <w:tcW w:type="dxa" w:w="741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Requirement</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Booking</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Account/service capability, routing, commodity, handling, dimensions/weight and cut-off accepted by partner</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6"/>
              </w:rPr>
              <w:t>MAWB/HAWB</w:t>
            </w:r>
          </w:p>
        </w:tc>
        <w:tc>
          <w:tcPr>
            <w:tcW w:type="dxa" w:w="7416"/>
            <w:tcMar>
              <w:top w:w="70" w:type="dxa"/>
              <w:start w:w="90" w:type="dxa"/>
              <w:bottom w:w="70" w:type="dxa"/>
              <w:end w:w="90" w:type="dxa"/>
            </w:tcMar>
            <w:vAlign w:val="top"/>
            <w:shd w:fill="F5F7F8"/>
          </w:tcPr>
          <w:p>
            <w:pPr>
              <w:spacing w:before="0" w:after="0" w:line="240" w:lineRule="auto"/>
            </w:pPr>
            <w:r>
              <w:rPr>
                <w:rFonts w:ascii="Aptos" w:hAnsi="Aptos"/>
                <w:color w:val="24313D"/>
                <w:sz w:val="16"/>
              </w:rPr>
              <w:t>Allocation-authority validation, parent/child graph and uniqueness</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e-AWB</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Use only where route/participants accept; country/partner-specific paper fallback</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6"/>
              </w:rPr>
              <w:t>Cargo-XML / ONE Record</w:t>
            </w:r>
          </w:p>
        </w:tc>
        <w:tc>
          <w:tcPr>
            <w:tcW w:type="dxa" w:w="7416"/>
            <w:tcMar>
              <w:top w:w="70" w:type="dxa"/>
              <w:start w:w="90" w:type="dxa"/>
              <w:bottom w:w="70" w:type="dxa"/>
              <w:end w:w="90" w:type="dxa"/>
            </w:tcMar>
            <w:vAlign w:val="top"/>
            <w:shd w:fill="F5F7F8"/>
          </w:tcPr>
          <w:p>
            <w:pPr>
              <w:spacing w:before="0" w:after="0" w:line="240" w:lineRule="auto"/>
            </w:pPr>
            <w:r>
              <w:rPr>
                <w:rFonts w:ascii="Aptos" w:hAnsi="Aptos"/>
                <w:color w:val="24313D"/>
                <w:sz w:val="16"/>
              </w:rPr>
              <w:t>Loss-aware mapping from canonical cargo graph; preserve IDs, events, data ownership and security</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e-DGD</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Link approved DG/package data, authorized signature and carrier acceptance</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6"/>
              </w:rPr>
              <w:t>Special handling</w:t>
            </w:r>
          </w:p>
        </w:tc>
        <w:tc>
          <w:tcPr>
            <w:tcW w:type="dxa" w:w="7416"/>
            <w:tcMar>
              <w:top w:w="70" w:type="dxa"/>
              <w:start w:w="90" w:type="dxa"/>
              <w:bottom w:w="70" w:type="dxa"/>
              <w:end w:w="90" w:type="dxa"/>
            </w:tcMar>
            <w:vAlign w:val="top"/>
            <w:shd w:fill="F5F7F8"/>
          </w:tcPr>
          <w:p>
            <w:pPr>
              <w:spacing w:before="0" w:after="0" w:line="240" w:lineRule="auto"/>
            </w:pPr>
            <w:r>
              <w:rPr>
                <w:rFonts w:ascii="Aptos" w:hAnsi="Aptos"/>
                <w:color w:val="24313D"/>
                <w:sz w:val="16"/>
              </w:rPr>
              <w:t>Temperature, pharma, DG, dry ice, vulnerable/high-value and other codes confirmed by carrier</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Manifest/build-up</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All packages scanned, weights reconciled, filings/approvals current and booking accepted before close</w:t>
            </w:r>
          </w:p>
        </w:tc>
      </w:tr>
    </w:tbl>
    <w:p>
      <w:pPr>
        <w:pStyle w:val="Heading2"/>
        <w:keepNext/>
      </w:pPr>
      <w:r>
        <w:t>11.4 Air-carriage legal data</w:t>
      </w:r>
    </w:p>
    <w:p>
      <w:pPr>
        <w:spacing w:before="0" w:after="80" w:line="259" w:lineRule="auto"/>
      </w:pPr>
      <w:r>
        <w:t>Treaty applicability, parties and liability limits must be effective-dated by lane and event. For example, ICAO published revised Montreal Convention limits effective 28 December 2024; the cargo limit is not a universal constant outside the convention’s applicable scope. Store the rule version and display informational estimates with a legal qualifier. [SRC-AIR-013 / SRC-AIR-014]</w:t>
      </w:r>
    </w:p>
    <w:p>
      <w:r>
        <w:br w:type="page"/>
      </w:r>
    </w:p>
    <w:p>
      <w:pPr>
        <w:pStyle w:val="Heading1"/>
        <w:keepNext/>
      </w:pPr>
      <w:r>
        <w:t>12. Dangerous goods and lithium batteries</w:t>
      </w:r>
    </w:p>
    <w:p>
      <w:pPr>
        <w:pStyle w:val="Heading2"/>
        <w:keepNext/>
      </w:pPr>
      <w:r>
        <w:t>12.1 Mandatory three-layer approval</w:t>
      </w:r>
    </w:p>
    <w:tbl>
      <w:tblPr>
        <w:tblW w:type="dxa" w:w="9503"/>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015"/>
        <w:gridCol w:w="5328"/>
        <w:gridCol w:w="2160"/>
      </w:tblGrid>
      <w:tr>
        <w:trPr>
          <w:tblHeader w:val="true"/>
        </w:trPr>
        <w:tc>
          <w:tcPr>
            <w:tcW w:type="dxa" w:w="2015"/>
            <w:shd w:fill="0F6B78"/>
            <w:tcMar>
              <w:top w:w="70" w:type="dxa"/>
              <w:start w:w="90" w:type="dxa"/>
              <w:bottom w:w="70" w:type="dxa"/>
              <w:end w:w="90" w:type="dxa"/>
            </w:tcMar>
            <w:vAlign w:val="center"/>
          </w:tcPr>
          <w:p>
            <w:pPr>
              <w:spacing w:before="0" w:after="0" w:line="240" w:lineRule="auto"/>
            </w:pPr>
            <w:r>
              <w:rPr>
                <w:rFonts w:ascii="Aptos" w:hAnsi="Aptos"/>
                <w:b/>
                <w:color w:val="FFFFFF"/>
                <w:sz w:val="16"/>
              </w:rPr>
              <w:t>Layer</w:t>
            </w:r>
          </w:p>
        </w:tc>
        <w:tc>
          <w:tcPr>
            <w:tcW w:type="dxa" w:w="532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Decision</w:t>
            </w:r>
          </w:p>
        </w:tc>
        <w:tc>
          <w:tcPr>
            <w:tcW w:type="dxa" w:w="216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Required authority</w:t>
            </w:r>
          </w:p>
        </w:tc>
      </w:tr>
      <w:tr>
        <w:trPr>
          <w:cantSplit/>
        </w:trPr>
        <w:tc>
          <w:tcPr>
            <w:tcW w:type="dxa" w:w="2015"/>
            <w:tcMar>
              <w:top w:w="70" w:type="dxa"/>
              <w:start w:w="90" w:type="dxa"/>
              <w:bottom w:w="70" w:type="dxa"/>
              <w:end w:w="90" w:type="dxa"/>
            </w:tcMar>
            <w:vAlign w:val="top"/>
          </w:tcPr>
          <w:p>
            <w:pPr>
              <w:spacing w:before="0" w:after="0" w:line="240" w:lineRule="auto"/>
            </w:pPr>
            <w:r>
              <w:rPr>
                <w:rFonts w:ascii="Aptos" w:hAnsi="Aptos"/>
                <w:color w:val="24313D"/>
                <w:sz w:val="16"/>
              </w:rPr>
              <w:t>1. Product/classification</w:t>
            </w:r>
          </w:p>
        </w:tc>
        <w:tc>
          <w:tcPr>
            <w:tcW w:type="dxa" w:w="5328"/>
            <w:tcMar>
              <w:top w:w="70" w:type="dxa"/>
              <w:start w:w="90" w:type="dxa"/>
              <w:bottom w:w="70" w:type="dxa"/>
              <w:end w:w="90" w:type="dxa"/>
            </w:tcMar>
            <w:vAlign w:val="top"/>
          </w:tcPr>
          <w:p>
            <w:pPr>
              <w:spacing w:before="0" w:after="0" w:line="240" w:lineRule="auto"/>
            </w:pPr>
            <w:r>
              <w:rPr>
                <w:rFonts w:ascii="Aptos" w:hAnsi="Aptos"/>
                <w:color w:val="24313D"/>
                <w:sz w:val="16"/>
              </w:rPr>
              <w:t>Potential DG screen; UN identity/class, test and evidence</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6"/>
              </w:rPr>
              <w:t>Certified/qualified DG reviewer</w:t>
            </w:r>
          </w:p>
        </w:tc>
      </w:tr>
      <w:tr>
        <w:trPr>
          <w:cantSplit/>
        </w:trPr>
        <w:tc>
          <w:tcPr>
            <w:tcW w:type="dxa" w:w="2015"/>
            <w:tcMar>
              <w:top w:w="70" w:type="dxa"/>
              <w:start w:w="90" w:type="dxa"/>
              <w:bottom w:w="70" w:type="dxa"/>
              <w:end w:w="90" w:type="dxa"/>
            </w:tcMar>
            <w:vAlign w:val="top"/>
            <w:shd w:fill="F5F7F8"/>
          </w:tcPr>
          <w:p>
            <w:pPr>
              <w:spacing w:before="0" w:after="0" w:line="240" w:lineRule="auto"/>
            </w:pPr>
            <w:r>
              <w:rPr>
                <w:rFonts w:ascii="Aptos" w:hAnsi="Aptos"/>
                <w:color w:val="24313D"/>
                <w:sz w:val="16"/>
              </w:rPr>
              <w:t>2. Shipment/package</w:t>
            </w:r>
          </w:p>
        </w:tc>
        <w:tc>
          <w:tcPr>
            <w:tcW w:type="dxa" w:w="5328"/>
            <w:tcMar>
              <w:top w:w="70" w:type="dxa"/>
              <w:start w:w="90" w:type="dxa"/>
              <w:bottom w:w="70" w:type="dxa"/>
              <w:end w:w="90" w:type="dxa"/>
            </w:tcMar>
            <w:vAlign w:val="top"/>
            <w:shd w:fill="F5F7F8"/>
          </w:tcPr>
          <w:p>
            <w:pPr>
              <w:spacing w:before="0" w:after="0" w:line="240" w:lineRule="auto"/>
            </w:pPr>
            <w:r>
              <w:rPr>
                <w:rFonts w:ascii="Aptos" w:hAnsi="Aptos"/>
                <w:color w:val="24313D"/>
                <w:sz w:val="16"/>
              </w:rPr>
              <w:t>Edition/variations, packing instruction, quantities, packaging, marks/labels and declaration</w:t>
            </w:r>
          </w:p>
        </w:tc>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6"/>
              </w:rPr>
              <w:t>Certified DG reviewer scoped to mode/class</w:t>
            </w:r>
          </w:p>
        </w:tc>
      </w:tr>
      <w:tr>
        <w:trPr>
          <w:cantSplit/>
        </w:trPr>
        <w:tc>
          <w:tcPr>
            <w:tcW w:type="dxa" w:w="2015"/>
            <w:tcMar>
              <w:top w:w="70" w:type="dxa"/>
              <w:start w:w="90" w:type="dxa"/>
              <w:bottom w:w="70" w:type="dxa"/>
              <w:end w:w="90" w:type="dxa"/>
            </w:tcMar>
            <w:vAlign w:val="top"/>
          </w:tcPr>
          <w:p>
            <w:pPr>
              <w:spacing w:before="0" w:after="0" w:line="240" w:lineRule="auto"/>
            </w:pPr>
            <w:r>
              <w:rPr>
                <w:rFonts w:ascii="Aptos" w:hAnsi="Aptos"/>
                <w:color w:val="24313D"/>
                <w:sz w:val="16"/>
              </w:rPr>
              <w:t>3. External acceptance</w:t>
            </w:r>
          </w:p>
        </w:tc>
        <w:tc>
          <w:tcPr>
            <w:tcW w:type="dxa" w:w="5328"/>
            <w:tcMar>
              <w:top w:w="70" w:type="dxa"/>
              <w:start w:w="90" w:type="dxa"/>
              <w:bottom w:w="70" w:type="dxa"/>
              <w:end w:w="90" w:type="dxa"/>
            </w:tcMar>
            <w:vAlign w:val="top"/>
          </w:tcPr>
          <w:p>
            <w:pPr>
              <w:spacing w:before="0" w:after="0" w:line="240" w:lineRule="auto"/>
            </w:pPr>
            <w:r>
              <w:rPr>
                <w:rFonts w:ascii="Aptos" w:hAnsi="Aptos"/>
                <w:color w:val="24313D"/>
                <w:sz w:val="16"/>
              </w:rPr>
              <w:t>Account/service/operator acceptance, booking and any competent-authority approval</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6"/>
              </w:rPr>
              <w:t>Carrier, forwarder or competent external party</w:t>
            </w:r>
          </w:p>
        </w:tc>
      </w:tr>
    </w:tbl>
    <w:tbl>
      <w:tblPr>
        <w:tblW w:type="dxa" w:w="9504"/>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jc w:val="left"/>
        <w:tblInd w:w="140" w:type="dxa"/>
      </w:tblPr>
      <w:tblGrid>
        <w:gridCol w:w="9504"/>
      </w:tblGrid>
      <w:tr>
        <w:trPr>
          <w:tblHeader w:val="true"/>
        </w:trPr>
        <w:tc>
          <w:tcPr>
            <w:tcW w:type="dxa" w:w="9504"/>
            <w:shd w:fill="B42318"/>
            <w:tcMar>
              <w:top w:w="90" w:type="dxa"/>
              <w:start w:w="140" w:type="dxa"/>
              <w:bottom w:w="90" w:type="dxa"/>
              <w:end w:w="140" w:type="dxa"/>
            </w:tcMar>
          </w:tcPr>
          <w:p>
            <w:pPr>
              <w:spacing w:before="0" w:after="0" w:line="240" w:lineRule="auto"/>
            </w:pPr>
            <w:r>
              <w:rPr>
                <w:rFonts w:ascii="Aptos Display" w:hAnsi="Aptos Display"/>
                <w:b/>
                <w:color w:val="FFFFFF"/>
                <w:sz w:val="20"/>
              </w:rPr>
              <w:t>No combined shortcut</w:t>
            </w:r>
          </w:p>
        </w:tc>
      </w:tr>
      <w:tr>
        <w:tc>
          <w:tcPr>
            <w:tcW w:type="dxa" w:w="9504"/>
            <w:shd w:fill="FDE7E5"/>
            <w:tcMar>
              <w:top w:w="90" w:type="dxa"/>
              <w:start w:w="140" w:type="dxa"/>
              <w:bottom w:w="90" w:type="dxa"/>
              <w:end w:w="140" w:type="dxa"/>
            </w:tcMar>
          </w:tcPr>
          <w:p>
            <w:pPr>
              <w:spacing w:before="0" w:after="0" w:line="252" w:lineRule="auto"/>
            </w:pPr>
            <w:r>
              <w:rPr>
                <w:rFonts w:ascii="Aptos" w:hAnsi="Aptos"/>
                <w:color w:val="24313D"/>
                <w:sz w:val="18"/>
              </w:rPr>
              <w:t>An internal certified approval does not create carrier acceptance. A carrier product code does not certify classification. Both must exist, and any state/operator variation or product/package change invalidates the affected approval.</w:t>
            </w:r>
          </w:p>
        </w:tc>
      </w:tr>
    </w:tbl>
    <w:p>
      <w:pPr>
        <w:spacing w:after="0"/>
      </w:pPr>
    </w:p>
    <w:p>
      <w:pPr>
        <w:pStyle w:val="Heading2"/>
        <w:keepNext/>
      </w:pPr>
      <w:r>
        <w:t>12.2 Rule stack and product dossier</w:t>
      </w:r>
    </w:p>
    <w:p>
      <w:pPr>
        <w:pStyle w:val="ListBullet"/>
        <w:spacing w:before="0" w:after="40" w:line="254" w:lineRule="auto"/>
        <w:ind w:left="259" w:hanging="173"/>
      </w:pPr>
      <w:r>
        <w:t>Select the ICAO Technical Instructions/IATA DGR edition by acceptance date; include origin, transit and destination state variations, operator variations and carrier contract limits.</w:t>
      </w:r>
    </w:p>
    <w:p>
      <w:pPr>
        <w:pStyle w:val="ListBullet"/>
        <w:spacing w:before="0" w:after="40" w:line="254" w:lineRule="auto"/>
        <w:ind w:left="259" w:hanging="173"/>
      </w:pPr>
      <w:r>
        <w:t>Capture UN/ID number, proper shipping name, class/division/subsidiary risk, packing group, special provisions, packing instruction, quantity limits, marks/labels and required documents.</w:t>
      </w:r>
    </w:p>
    <w:p>
      <w:pPr>
        <w:pStyle w:val="ListBullet"/>
        <w:spacing w:before="0" w:after="40" w:line="254" w:lineRule="auto"/>
        <w:ind w:left="259" w:hanging="173"/>
      </w:pPr>
      <w:r>
        <w:t>Retain SDS, test data, competent-authority approvals and manufacturer statements tied to the exact product version.</w:t>
      </w:r>
    </w:p>
    <w:p>
      <w:pPr>
        <w:pStyle w:val="ListBullet"/>
        <w:spacing w:before="0" w:after="40" w:line="254" w:lineRule="auto"/>
        <w:ind w:left="259" w:hanging="173"/>
      </w:pPr>
      <w:r>
        <w:t>Enforce packaging compatibility, performance level, closures, inner quantity, absorbent/cushioning, orientation, pressure/temperature, segregation and overpack rules.</w:t>
      </w:r>
    </w:p>
    <w:p>
      <w:pPr>
        <w:pStyle w:val="ListBullet"/>
        <w:spacing w:before="0" w:after="40" w:line="254" w:lineRule="auto"/>
        <w:ind w:left="259" w:hanging="173"/>
      </w:pPr>
      <w:r>
        <w:t>Generate DGD/e-DGD only from approved locked data and an authorized shipper signatory; reconcile to physical package and booking.</w:t>
      </w:r>
    </w:p>
    <w:p>
      <w:pPr>
        <w:pStyle w:val="Heading2"/>
        <w:keepNext/>
      </w:pPr>
      <w:r>
        <w:t>12.3 Lithium battery controls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088"/>
        <w:gridCol w:w="7416"/>
      </w:tblGrid>
      <w:tr>
        <w:trPr>
          <w:tblHeader w:val="true"/>
        </w:trPr>
        <w:tc>
          <w:tcPr>
            <w:tcW w:type="dxa" w:w="208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Attribute / case</w:t>
            </w:r>
          </w:p>
        </w:tc>
        <w:tc>
          <w:tcPr>
            <w:tcW w:type="dxa" w:w="741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Mandatory control</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Identity</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Chemistry, UN number, watt-hours/lithium content, cell/battery counts, net battery mass and manufacturer/model</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6"/>
              </w:rPr>
              <w:t>Configuration</w:t>
            </w:r>
          </w:p>
        </w:tc>
        <w:tc>
          <w:tcPr>
            <w:tcW w:type="dxa" w:w="7416"/>
            <w:tcMar>
              <w:top w:w="70" w:type="dxa"/>
              <w:start w:w="90" w:type="dxa"/>
              <w:bottom w:w="70" w:type="dxa"/>
              <w:end w:w="90" w:type="dxa"/>
            </w:tcMar>
            <w:vAlign w:val="top"/>
            <w:shd w:fill="F5F7F8"/>
          </w:tcPr>
          <w:p>
            <w:pPr>
              <w:spacing w:before="0" w:after="0" w:line="240" w:lineRule="auto"/>
            </w:pPr>
            <w:r>
              <w:rPr>
                <w:rFonts w:ascii="Aptos" w:hAnsi="Aptos"/>
                <w:color w:val="24313D"/>
                <w:sz w:val="16"/>
              </w:rPr>
              <w:t>Standalone, packed with or contained in equipment; package and consignment quantities</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Evidence</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UN 38.3 test-summary reference tied to model/production type; retrieve for carrier request</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6"/>
              </w:rPr>
              <w:t>State of charge</w:t>
            </w:r>
          </w:p>
        </w:tc>
        <w:tc>
          <w:tcPr>
            <w:tcW w:type="dxa" w:w="7416"/>
            <w:tcMar>
              <w:top w:w="70" w:type="dxa"/>
              <w:start w:w="90" w:type="dxa"/>
              <w:bottom w:w="70" w:type="dxa"/>
              <w:end w:w="90" w:type="dxa"/>
            </w:tcMar>
            <w:vAlign w:val="top"/>
            <w:shd w:fill="F5F7F8"/>
          </w:tcPr>
          <w:p>
            <w:pPr>
              <w:spacing w:before="0" w:after="0" w:line="240" w:lineRule="auto"/>
            </w:pPr>
            <w:r>
              <w:rPr>
                <w:rFonts w:ascii="Aptos" w:hAnsi="Aptos"/>
                <w:color w:val="24313D"/>
                <w:sz w:val="16"/>
              </w:rPr>
              <w:t>Capture/enforce when edition/state/operator/service requires it</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Condition</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Damaged, defective, recalled, waste/recycling defaults BLOCKED for air in this product</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b/>
                <w:color w:val="24313D"/>
                <w:sz w:val="16"/>
              </w:rPr>
              <w:t>Prototype/small run</w:t>
            </w:r>
          </w:p>
        </w:tc>
        <w:tc>
          <w:tcPr>
            <w:tcW w:type="dxa" w:w="7416"/>
            <w:tcMar>
              <w:top w:w="70" w:type="dxa"/>
              <w:start w:w="90" w:type="dxa"/>
              <w:bottom w:w="70" w:type="dxa"/>
              <w:end w:w="90" w:type="dxa"/>
            </w:tcMar>
            <w:vAlign w:val="top"/>
            <w:shd w:fill="F5F7F8"/>
          </w:tcPr>
          <w:p>
            <w:pPr>
              <w:spacing w:before="0" w:after="0" w:line="240" w:lineRule="auto"/>
            </w:pPr>
            <w:r>
              <w:rPr>
                <w:rFonts w:ascii="Aptos" w:hAnsi="Aptos"/>
                <w:color w:val="24313D"/>
                <w:sz w:val="16"/>
              </w:rPr>
              <w:t>Competent-authority approval plus carrier acceptance</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b/>
                <w:color w:val="24313D"/>
                <w:sz w:val="16"/>
              </w:rPr>
              <w:t>Variations</w:t>
            </w:r>
          </w:p>
        </w:tc>
        <w:tc>
          <w:tcPr>
            <w:tcW w:type="dxa" w:w="7416"/>
            <w:tcMar>
              <w:top w:w="70" w:type="dxa"/>
              <w:start w:w="90" w:type="dxa"/>
              <w:bottom w:w="70" w:type="dxa"/>
              <w:end w:w="90" w:type="dxa"/>
            </w:tcMar>
            <w:vAlign w:val="top"/>
          </w:tcPr>
          <w:p>
            <w:pPr>
              <w:spacing w:before="0" w:after="0" w:line="240" w:lineRule="auto"/>
            </w:pPr>
            <w:r>
              <w:rPr>
                <w:rFonts w:ascii="Aptos" w:hAnsi="Aptos"/>
                <w:color w:val="24313D"/>
                <w:sz w:val="16"/>
              </w:rPr>
              <w:t>No globally permissive default for standalone or large batteries; state/operator/service rule required</w:t>
            </w:r>
          </w:p>
        </w:tc>
      </w:tr>
    </w:tbl>
    <w:p>
      <w:pPr>
        <w:pStyle w:val="Heading2"/>
        <w:keepNext/>
      </w:pPr>
      <w:r>
        <w:t>12.4 Warehouse and incident controls</w:t>
      </w:r>
    </w:p>
    <w:p>
      <w:pPr>
        <w:spacing w:before="0" w:after="80" w:line="259" w:lineRule="auto"/>
      </w:pPr>
      <w:r>
        <w:t>DG storage, picking, co-packing, overpacking and build-up must enforce segregation/compatibility, trained functions, calibrated measurements, label verification and quarantine. Leakage, damage, misdeclaration or thermal event triggers site emergency SOP, isolation, carrier notification, evidence preservation and country-specific escalation.</w:t>
      </w:r>
    </w:p>
    <w:p>
      <w:r>
        <w:br w:type="page"/>
      </w:r>
    </w:p>
    <w:p>
      <w:pPr>
        <w:pStyle w:val="Heading1"/>
        <w:keepNext/>
      </w:pPr>
      <w:r>
        <w:t>13. Regulated and special commodities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44"/>
        <w:gridCol w:w="5400"/>
        <w:gridCol w:w="2160"/>
      </w:tblGrid>
      <w:tr>
        <w:trPr>
          <w:tblHeader w:val="true"/>
        </w:trPr>
        <w:tc>
          <w:tcPr>
            <w:tcW w:type="dxa" w:w="1944"/>
            <w:shd w:fill="0F6B78"/>
            <w:tcMar>
              <w:top w:w="70" w:type="dxa"/>
              <w:start w:w="90" w:type="dxa"/>
              <w:bottom w:w="70" w:type="dxa"/>
              <w:end w:w="90" w:type="dxa"/>
            </w:tcMar>
            <w:vAlign w:val="center"/>
          </w:tcPr>
          <w:p>
            <w:pPr>
              <w:spacing w:before="0" w:after="0" w:line="240" w:lineRule="auto"/>
            </w:pPr>
            <w:r>
              <w:rPr>
                <w:rFonts w:ascii="Aptos" w:hAnsi="Aptos"/>
                <w:b/>
                <w:color w:val="FFFFFF"/>
                <w:sz w:val="15"/>
              </w:rPr>
              <w:t>Family</w:t>
            </w:r>
          </w:p>
        </w:tc>
        <w:tc>
          <w:tcPr>
            <w:tcW w:type="dxa" w:w="5400"/>
            <w:shd w:fill="0F6B78"/>
            <w:tcMar>
              <w:top w:w="70" w:type="dxa"/>
              <w:start w:w="90" w:type="dxa"/>
              <w:bottom w:w="70" w:type="dxa"/>
              <w:end w:w="90" w:type="dxa"/>
            </w:tcMar>
            <w:vAlign w:val="center"/>
          </w:tcPr>
          <w:p>
            <w:pPr>
              <w:spacing w:before="0" w:after="0" w:line="240" w:lineRule="auto"/>
            </w:pPr>
            <w:r>
              <w:rPr>
                <w:rFonts w:ascii="Aptos" w:hAnsi="Aptos"/>
                <w:b/>
                <w:color w:val="FFFFFF"/>
                <w:sz w:val="15"/>
              </w:rPr>
              <w:t>Minimum eligibility controls</w:t>
            </w:r>
          </w:p>
        </w:tc>
        <w:tc>
          <w:tcPr>
            <w:tcW w:type="dxa" w:w="2160"/>
            <w:shd w:fill="0F6B78"/>
            <w:tcMar>
              <w:top w:w="70" w:type="dxa"/>
              <w:start w:w="90" w:type="dxa"/>
              <w:bottom w:w="70" w:type="dxa"/>
              <w:end w:w="90" w:type="dxa"/>
            </w:tcMar>
            <w:vAlign w:val="center"/>
          </w:tcPr>
          <w:p>
            <w:pPr>
              <w:spacing w:before="0" w:after="0" w:line="240" w:lineRule="auto"/>
            </w:pPr>
            <w:r>
              <w:rPr>
                <w:rFonts w:ascii="Aptos" w:hAnsi="Aptos"/>
                <w:b/>
                <w:color w:val="FFFFFF"/>
                <w:sz w:val="15"/>
              </w:rPr>
              <w:t>Approval boundary</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5"/>
              </w:rPr>
              <w:t>Food / SPS</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Ingredients/material, origin, manufacturer/establishment, registrations, health/phytosanitary certificates, prior notice, control-post routing, shelf life and labelling</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5"/>
              </w:rPr>
              <w:t>Food/SPS specialist plus external carrier/filer/authority</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5"/>
              </w:rPr>
              <w:t>Perishables / cold chain</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Temperature range, stability budget, qualified packaging/coolant, sensors/calibration, delay/weekend/customs plan, re-icing/disposal</w:t>
            </w:r>
          </w:p>
        </w:tc>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5"/>
              </w:rPr>
              <w:t>Quality release; DG approval for dry ice/regulated coolant</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5"/>
              </w:rPr>
              <w:t>Pharmaceuticals</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Market/product/site/customer authorization, GDP, batch/expiry, anti-falsification, recalls and temperature</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5"/>
              </w:rPr>
              <w:t>Responsible quality/regulatory person plus external authority where required</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5"/>
              </w:rPr>
              <w:t>Medical devices</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Device/model/class, UDI, registration/listing/authorization, manufacturer/importer, lot/serial and recall status</w:t>
            </w:r>
          </w:p>
        </w:tc>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5"/>
              </w:rPr>
              <w:t>Qualified device reviewer plus agency/carrier data</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5"/>
              </w:rPr>
              <w:t>Alcohol / tobacco</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Product/excise data, producer/warehouse/importer/customer licences, labels/tax marks, movement references, age service and carrier contract</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5"/>
              </w:rPr>
              <w:t>Excise specialist plus external carrier/authority</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5"/>
              </w:rPr>
              <w:t>Dual-use</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Technical classification, nexuses, end user/use, licence/exception, diversion and sanctions</w:t>
            </w:r>
          </w:p>
        </w:tc>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5"/>
              </w:rPr>
              <w:t>Export-control specialist plus external licensing authority</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5"/>
              </w:rPr>
              <w:t>High-value / precious</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Valuation, carrier limits, declared value/insurance, secure zones, dual control, tamper evidence, provenance and KP where applicable</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5"/>
              </w:rPr>
              <w:t>Security/specialist plus external carrier/authority</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5"/>
              </w:rPr>
              <w:t>Art / cultural goods</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Object identity, age/materials, provenance/ownership, valuation, permits, stolen-art and CITES checks</w:t>
            </w:r>
          </w:p>
        </w:tc>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5"/>
              </w:rPr>
              <w:t>Cultural-property specialist plus competent authority</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5"/>
              </w:rPr>
              <w:t>Personal effects</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Owner/residency/move context, itemized used-goods inventory, values, restricted-item questionnaire and relief evidence</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5"/>
              </w:rPr>
              <w:t>Customs specialist/external filer</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5"/>
              </w:rPr>
              <w:t>Gifts / samples</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Genuine purpose, party types, no consideration where gift, defensible line values, threshold/exclusions and anti-splitting</w:t>
            </w:r>
          </w:p>
        </w:tc>
        <w:tc>
          <w:tcPr>
            <w:tcW w:type="dxa" w:w="2160"/>
            <w:tcMar>
              <w:top w:w="70" w:type="dxa"/>
              <w:start w:w="90" w:type="dxa"/>
              <w:bottom w:w="70" w:type="dxa"/>
              <w:end w:w="90" w:type="dxa"/>
            </w:tcMar>
            <w:vAlign w:val="top"/>
            <w:shd w:fill="F5F7F8"/>
          </w:tcPr>
          <w:p>
            <w:pPr>
              <w:spacing w:before="0" w:after="0" w:line="240" w:lineRule="auto"/>
            </w:pPr>
            <w:r>
              <w:rPr>
                <w:rFonts w:ascii="Aptos" w:hAnsi="Aptos"/>
                <w:color w:val="24313D"/>
                <w:sz w:val="15"/>
              </w:rPr>
              <w:t>Country-pack logic; reviewer for relief/high risk</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5"/>
              </w:rPr>
              <w:t>Returns / temporary</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Original export/declaration, serial identity, reason/condition, authorization/carnet, expiry and discharge evidence</w:t>
            </w:r>
          </w:p>
        </w:tc>
        <w:tc>
          <w:tcPr>
            <w:tcW w:type="dxa" w:w="2160"/>
            <w:tcMar>
              <w:top w:w="70" w:type="dxa"/>
              <w:start w:w="90" w:type="dxa"/>
              <w:bottom w:w="70" w:type="dxa"/>
              <w:end w:w="90" w:type="dxa"/>
            </w:tcMar>
            <w:vAlign w:val="top"/>
          </w:tcPr>
          <w:p>
            <w:pPr>
              <w:spacing w:before="0" w:after="0" w:line="240" w:lineRule="auto"/>
            </w:pPr>
            <w:r>
              <w:rPr>
                <w:rFonts w:ascii="Aptos" w:hAnsi="Aptos"/>
                <w:color w:val="24313D"/>
                <w:sz w:val="15"/>
              </w:rPr>
              <w:t>Customs specialist plus external filing/authority</w:t>
            </w:r>
          </w:p>
        </w:tc>
      </w:tr>
    </w:tbl>
    <w:p>
      <w:pPr>
        <w:pStyle w:val="Heading2"/>
        <w:keepNext/>
      </w:pPr>
      <w:r>
        <w:t>13.1 Cold-chain release formula</w:t>
      </w:r>
    </w:p>
    <w:p>
      <w:pPr>
        <w:spacing w:before="0" w:after="80" w:line="259" w:lineRule="auto"/>
      </w:pPr>
      <w:r>
        <w:t>A lane is qualified only if the approved packaging and coolant duration minus planned transit, cut-off buffer, customs/inspection allowance and contingency margin remains non-negative for the product’s stability profile. Use experimentally qualified pack-out data; the SaaS must not infer stability from a temperature range alone.</w:t>
      </w:r>
    </w:p>
    <w:p>
      <w:pPr>
        <w:pStyle w:val="Heading2"/>
        <w:keepNext/>
      </w:pPr>
      <w:r>
        <w:t>13.2 Traceability and recall</w:t>
      </w:r>
    </w:p>
    <w:p>
      <w:pPr>
        <w:spacing w:before="0" w:after="80" w:line="259" w:lineRule="auto"/>
      </w:pPr>
      <w:r>
        <w:t>Food, pharmaceuticals and devices must be searchable by product, manufacturer, lot/batch/serial/UDI, customer, destination and shipment. A recall can place inventory, open orders and in-process packages on hold, identify tendered shipments for intercept/notification, and preserve decision, notification and disposition evidence.</w:t>
      </w:r>
    </w:p>
    <w:p>
      <w:r>
        <w:br w:type="page"/>
      </w:r>
    </w:p>
    <w:p>
      <w:pPr>
        <w:pStyle w:val="Heading1"/>
        <w:keepNext/>
      </w:pPr>
      <w:r>
        <w:t>14. Warehouse and fulfilment execution</w:t>
      </w:r>
    </w:p>
    <w:tbl>
      <w:tblPr>
        <w:tblW w:type="dxa" w:w="9503"/>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655"/>
        <w:gridCol w:w="7848"/>
      </w:tblGrid>
      <w:tr>
        <w:trPr>
          <w:tblHeader w:val="true"/>
        </w:trPr>
        <w:tc>
          <w:tcPr>
            <w:tcW w:type="dxa" w:w="1655"/>
            <w:shd w:fill="0F6B78"/>
            <w:tcMar>
              <w:top w:w="70" w:type="dxa"/>
              <w:start w:w="90" w:type="dxa"/>
              <w:bottom w:w="70" w:type="dxa"/>
              <w:end w:w="90" w:type="dxa"/>
            </w:tcMar>
            <w:vAlign w:val="center"/>
          </w:tcPr>
          <w:p>
            <w:pPr>
              <w:spacing w:before="0" w:after="0" w:line="240" w:lineRule="auto"/>
            </w:pPr>
            <w:r>
              <w:rPr>
                <w:rFonts w:ascii="Aptos" w:hAnsi="Aptos"/>
                <w:b/>
                <w:color w:val="FFFFFF"/>
                <w:sz w:val="16"/>
              </w:rPr>
              <w:t>Gate</w:t>
            </w:r>
          </w:p>
        </w:tc>
        <w:tc>
          <w:tcPr>
            <w:tcW w:type="dxa" w:w="784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Mandatory evidence</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b/>
                <w:color w:val="24313D"/>
                <w:sz w:val="16"/>
              </w:rPr>
              <w:t>Receive</w:t>
            </w:r>
          </w:p>
        </w:tc>
        <w:tc>
          <w:tcPr>
            <w:tcW w:type="dxa" w:w="7848"/>
            <w:tcMar>
              <w:top w:w="70" w:type="dxa"/>
              <w:start w:w="90" w:type="dxa"/>
              <w:bottom w:w="70" w:type="dxa"/>
              <w:end w:w="90" w:type="dxa"/>
            </w:tcMar>
            <w:vAlign w:val="top"/>
          </w:tcPr>
          <w:p>
            <w:pPr>
              <w:spacing w:before="0" w:after="0" w:line="240" w:lineRule="auto"/>
            </w:pPr>
            <w:r>
              <w:rPr>
                <w:rFonts w:ascii="Aptos" w:hAnsi="Aptos"/>
                <w:color w:val="24313D"/>
                <w:sz w:val="16"/>
              </w:rPr>
              <w:t>Expected order/product/version/lot/serial/quantity/condition reconciled; unknown/damaged/temperature-exposed stock quarantined</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b/>
                <w:color w:val="24313D"/>
                <w:sz w:val="16"/>
              </w:rPr>
              <w:t>Put away</w:t>
            </w:r>
          </w:p>
        </w:tc>
        <w:tc>
          <w:tcPr>
            <w:tcW w:type="dxa" w:w="7848"/>
            <w:tcMar>
              <w:top w:w="70" w:type="dxa"/>
              <w:start w:w="90" w:type="dxa"/>
              <w:bottom w:w="70" w:type="dxa"/>
              <w:end w:w="90" w:type="dxa"/>
            </w:tcMar>
            <w:vAlign w:val="top"/>
            <w:shd w:fill="F5F7F8"/>
          </w:tcPr>
          <w:p>
            <w:pPr>
              <w:spacing w:before="0" w:after="0" w:line="240" w:lineRule="auto"/>
            </w:pPr>
            <w:r>
              <w:rPr>
                <w:rFonts w:ascii="Aptos" w:hAnsi="Aptos"/>
                <w:color w:val="24313D"/>
                <w:sz w:val="16"/>
              </w:rPr>
              <w:t>Location capability validates temperature, security, DG compatibility, hygiene, excise and high-value restrictions</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b/>
                <w:color w:val="24313D"/>
                <w:sz w:val="16"/>
              </w:rPr>
              <w:t>Allocate</w:t>
            </w:r>
          </w:p>
        </w:tc>
        <w:tc>
          <w:tcPr>
            <w:tcW w:type="dxa" w:w="7848"/>
            <w:tcMar>
              <w:top w:w="70" w:type="dxa"/>
              <w:start w:w="90" w:type="dxa"/>
              <w:bottom w:w="70" w:type="dxa"/>
              <w:end w:w="90" w:type="dxa"/>
            </w:tcMar>
            <w:vAlign w:val="top"/>
          </w:tcPr>
          <w:p>
            <w:pPr>
              <w:spacing w:before="0" w:after="0" w:line="240" w:lineRule="auto"/>
            </w:pPr>
            <w:r>
              <w:rPr>
                <w:rFonts w:ascii="Aptos" w:hAnsi="Aptos"/>
                <w:color w:val="24313D"/>
                <w:sz w:val="16"/>
              </w:rPr>
              <w:t>No recalled/quarantined/expired stock; FEFO, market authorization and remaining shelf-life rules pass</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b/>
                <w:color w:val="24313D"/>
                <w:sz w:val="16"/>
              </w:rPr>
              <w:t>Pick</w:t>
            </w:r>
          </w:p>
        </w:tc>
        <w:tc>
          <w:tcPr>
            <w:tcW w:type="dxa" w:w="7848"/>
            <w:tcMar>
              <w:top w:w="70" w:type="dxa"/>
              <w:start w:w="90" w:type="dxa"/>
              <w:bottom w:w="70" w:type="dxa"/>
              <w:end w:w="90" w:type="dxa"/>
            </w:tcMar>
            <w:vAlign w:val="top"/>
            <w:shd w:fill="F5F7F8"/>
          </w:tcPr>
          <w:p>
            <w:pPr>
              <w:spacing w:before="0" w:after="0" w:line="240" w:lineRule="auto"/>
            </w:pPr>
            <w:r>
              <w:rPr>
                <w:rFonts w:ascii="Aptos" w:hAnsi="Aptos"/>
                <w:color w:val="24313D"/>
                <w:sz w:val="16"/>
              </w:rPr>
              <w:t>Product/lot/serial/quantity scans; substitutions require new compliance evaluation</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b/>
                <w:color w:val="24313D"/>
                <w:sz w:val="16"/>
              </w:rPr>
              <w:t>Pack</w:t>
            </w:r>
          </w:p>
        </w:tc>
        <w:tc>
          <w:tcPr>
            <w:tcW w:type="dxa" w:w="7848"/>
            <w:tcMar>
              <w:top w:w="70" w:type="dxa"/>
              <w:start w:w="90" w:type="dxa"/>
              <w:bottom w:w="70" w:type="dxa"/>
              <w:end w:w="90" w:type="dxa"/>
            </w:tcMar>
            <w:vAlign w:val="top"/>
          </w:tcPr>
          <w:p>
            <w:pPr>
              <w:spacing w:before="0" w:after="0" w:line="240" w:lineRule="auto"/>
            </w:pPr>
            <w:r>
              <w:rPr>
                <w:rFonts w:ascii="Aptos" w:hAnsi="Aptos"/>
                <w:color w:val="24313D"/>
                <w:sz w:val="16"/>
              </w:rPr>
              <w:t>Locked instruction; approved materials; actual contents; calibrated weight/dimensions; marks/labels, sensors and seals</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b/>
                <w:color w:val="24313D"/>
                <w:sz w:val="16"/>
              </w:rPr>
              <w:t>Documents</w:t>
            </w:r>
          </w:p>
        </w:tc>
        <w:tc>
          <w:tcPr>
            <w:tcW w:type="dxa" w:w="7848"/>
            <w:tcMar>
              <w:top w:w="70" w:type="dxa"/>
              <w:start w:w="90" w:type="dxa"/>
              <w:bottom w:w="70" w:type="dxa"/>
              <w:end w:w="90" w:type="dxa"/>
            </w:tcMar>
            <w:vAlign w:val="top"/>
            <w:shd w:fill="F5F7F8"/>
          </w:tcPr>
          <w:p>
            <w:pPr>
              <w:spacing w:before="0" w:after="0" w:line="240" w:lineRule="auto"/>
            </w:pPr>
            <w:r>
              <w:rPr>
                <w:rFonts w:ascii="Aptos" w:hAnsi="Aptos"/>
                <w:color w:val="24313D"/>
                <w:sz w:val="16"/>
              </w:rPr>
              <w:t>Correct originals/copies/languages/signatures and pouch/inside placement; privacy-minimized</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b/>
                <w:color w:val="24313D"/>
                <w:sz w:val="16"/>
              </w:rPr>
              <w:t>Release</w:t>
            </w:r>
          </w:p>
        </w:tc>
        <w:tc>
          <w:tcPr>
            <w:tcW w:type="dxa" w:w="7848"/>
            <w:tcMar>
              <w:top w:w="70" w:type="dxa"/>
              <w:start w:w="90" w:type="dxa"/>
              <w:bottom w:w="70" w:type="dxa"/>
              <w:end w:w="90" w:type="dxa"/>
            </w:tcMar>
            <w:vAlign w:val="top"/>
          </w:tcPr>
          <w:p>
            <w:pPr>
              <w:spacing w:before="0" w:after="0" w:line="240" w:lineRule="auto"/>
            </w:pPr>
            <w:r>
              <w:rPr>
                <w:rFonts w:ascii="Aptos" w:hAnsi="Aptos"/>
                <w:color w:val="24313D"/>
                <w:sz w:val="16"/>
              </w:rPr>
              <w:t>Current screening, eligibility, approvals, booking, filing, documents, physical reconciliation and no holds</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b/>
                <w:color w:val="24313D"/>
                <w:sz w:val="16"/>
              </w:rPr>
              <w:t>Manifest</w:t>
            </w:r>
          </w:p>
        </w:tc>
        <w:tc>
          <w:tcPr>
            <w:tcW w:type="dxa" w:w="7848"/>
            <w:tcMar>
              <w:top w:w="70" w:type="dxa"/>
              <w:start w:w="90" w:type="dxa"/>
              <w:bottom w:w="70" w:type="dxa"/>
              <w:end w:w="90" w:type="dxa"/>
            </w:tcMar>
            <w:vAlign w:val="top"/>
            <w:shd w:fill="F5F7F8"/>
          </w:tcPr>
          <w:p>
            <w:pPr>
              <w:spacing w:before="0" w:after="0" w:line="240" w:lineRule="auto"/>
            </w:pPr>
            <w:r>
              <w:rPr>
                <w:rFonts w:ascii="Aptos" w:hAnsi="Aptos"/>
                <w:color w:val="24313D"/>
                <w:sz w:val="16"/>
              </w:rPr>
              <w:t>All packages scanned; postal/air/parcel closeout and referrals acceptable</w:t>
            </w:r>
          </w:p>
        </w:tc>
      </w:tr>
      <w:tr>
        <w:trPr>
          <w:cantSplit/>
        </w:trPr>
        <w:tc>
          <w:tcPr>
            <w:tcW w:type="dxa" w:w="1655"/>
            <w:tcMar>
              <w:top w:w="70" w:type="dxa"/>
              <w:start w:w="90" w:type="dxa"/>
              <w:bottom w:w="70" w:type="dxa"/>
              <w:end w:w="90" w:type="dxa"/>
            </w:tcMar>
            <w:vAlign w:val="top"/>
          </w:tcPr>
          <w:p>
            <w:pPr>
              <w:spacing w:before="0" w:after="0" w:line="240" w:lineRule="auto"/>
            </w:pPr>
            <w:r>
              <w:rPr>
                <w:rFonts w:ascii="Aptos" w:hAnsi="Aptos"/>
                <w:b/>
                <w:color w:val="24313D"/>
                <w:sz w:val="16"/>
              </w:rPr>
              <w:t>Handover</w:t>
            </w:r>
          </w:p>
        </w:tc>
        <w:tc>
          <w:tcPr>
            <w:tcW w:type="dxa" w:w="7848"/>
            <w:tcMar>
              <w:top w:w="70" w:type="dxa"/>
              <w:start w:w="90" w:type="dxa"/>
              <w:bottom w:w="70" w:type="dxa"/>
              <w:end w:w="90" w:type="dxa"/>
            </w:tcMar>
            <w:vAlign w:val="top"/>
          </w:tcPr>
          <w:p>
            <w:pPr>
              <w:spacing w:before="0" w:after="0" w:line="240" w:lineRule="auto"/>
            </w:pPr>
            <w:r>
              <w:rPr>
                <w:rFonts w:ascii="Aptos" w:hAnsi="Aptos"/>
                <w:color w:val="24313D"/>
                <w:sz w:val="16"/>
              </w:rPr>
              <w:t>Carrier/driver/pickup reference, package/seal scans, time/location and exception proof</w:t>
            </w:r>
          </w:p>
        </w:tc>
      </w:tr>
      <w:tr>
        <w:trPr>
          <w:cantSplit/>
        </w:trPr>
        <w:tc>
          <w:tcPr>
            <w:tcW w:type="dxa" w:w="1655"/>
            <w:tcMar>
              <w:top w:w="70" w:type="dxa"/>
              <w:start w:w="90" w:type="dxa"/>
              <w:bottom w:w="70" w:type="dxa"/>
              <w:end w:w="90" w:type="dxa"/>
            </w:tcMar>
            <w:vAlign w:val="top"/>
            <w:shd w:fill="F5F7F8"/>
          </w:tcPr>
          <w:p>
            <w:pPr>
              <w:spacing w:before="0" w:after="0" w:line="240" w:lineRule="auto"/>
            </w:pPr>
            <w:r>
              <w:rPr>
                <w:rFonts w:ascii="Aptos" w:hAnsi="Aptos"/>
                <w:b/>
                <w:color w:val="24313D"/>
                <w:sz w:val="16"/>
              </w:rPr>
              <w:t>Return</w:t>
            </w:r>
          </w:p>
        </w:tc>
        <w:tc>
          <w:tcPr>
            <w:tcW w:type="dxa" w:w="7848"/>
            <w:tcMar>
              <w:top w:w="70" w:type="dxa"/>
              <w:start w:w="90" w:type="dxa"/>
              <w:bottom w:w="70" w:type="dxa"/>
              <w:end w:w="90" w:type="dxa"/>
            </w:tcMar>
            <w:vAlign w:val="top"/>
            <w:shd w:fill="F5F7F8"/>
          </w:tcPr>
          <w:p>
            <w:pPr>
              <w:spacing w:before="0" w:after="0" w:line="240" w:lineRule="auto"/>
            </w:pPr>
            <w:r>
              <w:rPr>
                <w:rFonts w:ascii="Aptos" w:hAnsi="Aptos"/>
                <w:color w:val="24313D"/>
                <w:sz w:val="16"/>
              </w:rPr>
              <w:t>Identity/condition/tamper/temperature/recall/customs evaluated before restock, disposal or return</w:t>
            </w:r>
          </w:p>
        </w:tc>
      </w:tr>
    </w:tbl>
    <w:p>
      <w:pPr>
        <w:pStyle w:val="Heading2"/>
        <w:keepNext/>
      </w:pPr>
      <w:r>
        <w:t>14.1 Physical-control requirements</w:t>
      </w:r>
    </w:p>
    <w:p>
      <w:pPr>
        <w:pStyle w:val="ListBullet"/>
        <w:spacing w:before="0" w:after="40" w:line="254" w:lineRule="auto"/>
        <w:ind w:left="259" w:hanging="173"/>
      </w:pPr>
      <w:r>
        <w:t>System holds must map to physical quarantine/secure locations that cannot allocate or manifest.</w:t>
      </w:r>
    </w:p>
    <w:p>
      <w:pPr>
        <w:pStyle w:val="ListBullet"/>
        <w:spacing w:before="0" w:after="40" w:line="254" w:lineRule="auto"/>
        <w:ind w:left="259" w:hanging="173"/>
      </w:pPr>
      <w:r>
        <w:t>Measurements used for customs, DG, carrier or cold-chain decisions retain device ID, calibration status, unit, time and operator.</w:t>
      </w:r>
    </w:p>
    <w:p>
      <w:pPr>
        <w:pStyle w:val="ListBullet"/>
        <w:spacing w:before="0" w:after="40" w:line="254" w:lineRule="auto"/>
        <w:ind w:left="259" w:hanging="173"/>
      </w:pPr>
      <w:r>
        <w:t>High-value and regulated packing can require dual control, tamper-evident seals, photos and restricted access.</w:t>
      </w:r>
    </w:p>
    <w:p>
      <w:pPr>
        <w:pStyle w:val="ListBullet"/>
        <w:spacing w:before="0" w:after="40" w:line="254" w:lineRule="auto"/>
        <w:ind w:left="259" w:hanging="173"/>
      </w:pPr>
      <w:r>
        <w:t>Label reprints/voids are controlled; obsolete labels cannot remain active or attached.</w:t>
      </w:r>
    </w:p>
    <w:p>
      <w:pPr>
        <w:pStyle w:val="ListBullet"/>
        <w:spacing w:before="0" w:after="40" w:line="254" w:lineRule="auto"/>
        <w:ind w:left="259" w:hanging="173"/>
      </w:pPr>
      <w:r>
        <w:t>Handover is a custody event, not inferred from label creation, pickup booking or manifest generation.</w:t>
      </w:r>
    </w:p>
    <w:p>
      <w:pPr>
        <w:pStyle w:val="ListBullet"/>
        <w:spacing w:before="0" w:after="40" w:line="254" w:lineRule="auto"/>
        <w:ind w:left="259" w:hanging="173"/>
      </w:pPr>
      <w:r>
        <w:t>Destruction/disposal requires authorized vendor/method, approval, certificate and inventory/customs/licence reconciliation.</w:t>
      </w:r>
    </w:p>
    <w:p>
      <w:pPr>
        <w:pStyle w:val="Heading2"/>
        <w:keepNext/>
      </w:pPr>
      <w:r>
        <w:t>14.2 Post-release exceptions</w:t>
      </w:r>
    </w:p>
    <w:p>
      <w:pPr>
        <w:spacing w:before="0" w:after="80" w:line="259" w:lineRule="auto"/>
      </w:pPr>
      <w:r>
        <w:t>When a rule/list/route/condition change occurs after release, calculate the action from custody state: hold before tender, request carrier intercept after tender, notify carrier/authority/customer, return, quarantine at destination or open an incident. Preserve every attempted contact and response.</w:t>
      </w:r>
    </w:p>
    <w:p>
      <w:r>
        <w:br w:type="page"/>
      </w:r>
    </w:p>
    <w:p>
      <w:pPr>
        <w:pStyle w:val="Heading1"/>
        <w:keepNext/>
      </w:pPr>
      <w:r>
        <w:t>15. Partner adapter framework</w:t>
      </w:r>
    </w:p>
    <w:p>
      <w:pPr>
        <w:pStyle w:val="Heading2"/>
        <w:keepNext/>
      </w:pPr>
      <w:r>
        <w:t>15.1 Canonical capabilities</w:t>
      </w:r>
    </w:p>
    <w:p>
      <w:pPr>
        <w:spacing w:before="0" w:after="80" w:line="259" w:lineRule="auto"/>
      </w:pPr>
      <w:r>
        <w:t>Every partner adapter declares the canonical capabilities it supports: credential/account discovery, service capability, address validation, rate/transit, shipment/booking, label/AWB, customs data, document upload, DG/special service, pickup/tender, manifest/closeout, tracking/events, security referrals, cancel/void, returns, billing/reconciliation. Unsupported operations are explicit capability states, not runtime surprises.</w:t>
      </w:r>
    </w:p>
    <w:p>
      <w:pPr>
        <w:pStyle w:val="Heading2"/>
        <w:keepNext/>
      </w:pPr>
      <w:r>
        <w:t>15.2 Cross-provider invariants</w:t>
      </w:r>
    </w:p>
    <w:p>
      <w:pPr>
        <w:pStyle w:val="ListBullet"/>
        <w:spacing w:before="0" w:after="40" w:line="254" w:lineRule="auto"/>
        <w:ind w:left="259" w:hanging="173"/>
      </w:pPr>
      <w:r>
        <w:t>Credentials are tenant/account/environment scoped, encrypted, rotated and never logged.</w:t>
      </w:r>
    </w:p>
    <w:p>
      <w:pPr>
        <w:pStyle w:val="ListBullet"/>
        <w:spacing w:before="0" w:after="40" w:line="254" w:lineRule="auto"/>
        <w:ind w:left="259" w:hanging="173"/>
      </w:pPr>
      <w:r>
        <w:t>Validate outgoing/incoming schema and enumeration versions; preserve unknown provider codes for reconciliation.</w:t>
      </w:r>
    </w:p>
    <w:p>
      <w:pPr>
        <w:pStyle w:val="ListBullet"/>
        <w:spacing w:before="0" w:after="40" w:line="254" w:lineRule="auto"/>
        <w:ind w:left="259" w:hanging="173"/>
      </w:pPr>
      <w:r>
        <w:t>Authenticate webhooks, deduplicate and prevent out-of-order events from regressing terminal states.</w:t>
      </w:r>
    </w:p>
    <w:p>
      <w:pPr>
        <w:pStyle w:val="ListBullet"/>
        <w:spacing w:before="0" w:after="40" w:line="254" w:lineRule="auto"/>
        <w:ind w:left="259" w:hanging="173"/>
      </w:pPr>
      <w:r>
        <w:t>Retry only safe/idempotent operations with backoff and provider rate-limit respect; query ambiguous creation outcomes.</w:t>
      </w:r>
    </w:p>
    <w:p>
      <w:pPr>
        <w:pStyle w:val="ListBullet"/>
        <w:spacing w:before="0" w:after="40" w:line="254" w:lineRule="auto"/>
        <w:ind w:left="259" w:hanging="173"/>
      </w:pPr>
      <w:r>
        <w:t>Normalize errors and statuses but retain raw request/response, correlation, hash, endpoint and provider version within contractual/privacy limits.</w:t>
      </w:r>
    </w:p>
    <w:p>
      <w:pPr>
        <w:pStyle w:val="ListBullet"/>
        <w:spacing w:before="0" w:after="40" w:line="254" w:lineRule="auto"/>
        <w:ind w:left="259" w:hanging="173"/>
      </w:pPr>
      <w:r>
        <w:t>Production activation requires provider certification, resale/integrator authorization, label/document review and contract approval where required.</w:t>
      </w:r>
    </w:p>
    <w:p>
      <w:pPr>
        <w:pStyle w:val="Heading2"/>
        <w:keepNext/>
      </w:pPr>
      <w:r>
        <w:t>15.3 Provider-specific implementation scope</w:t>
      </w:r>
    </w:p>
    <w:tbl>
      <w:tblPr>
        <w:tblW w:type="dxa" w:w="9503"/>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088"/>
        <w:gridCol w:w="5400"/>
        <w:gridCol w:w="2015"/>
      </w:tblGrid>
      <w:tr>
        <w:trPr>
          <w:tblHeader w:val="true"/>
        </w:trPr>
        <w:tc>
          <w:tcPr>
            <w:tcW w:type="dxa" w:w="208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Provider family</w:t>
            </w:r>
          </w:p>
        </w:tc>
        <w:tc>
          <w:tcPr>
            <w:tcW w:type="dxa" w:w="5400"/>
            <w:shd w:fill="0F6B78"/>
            <w:tcMar>
              <w:top w:w="70" w:type="dxa"/>
              <w:start w:w="90" w:type="dxa"/>
              <w:bottom w:w="70" w:type="dxa"/>
              <w:end w:w="90" w:type="dxa"/>
            </w:tcMar>
            <w:vAlign w:val="center"/>
          </w:tcPr>
          <w:p>
            <w:pPr>
              <w:spacing w:before="0" w:after="0" w:line="240" w:lineRule="auto"/>
            </w:pPr>
            <w:r>
              <w:rPr>
                <w:rFonts w:ascii="Aptos" w:hAnsi="Aptos"/>
                <w:b/>
                <w:color w:val="FFFFFF"/>
                <w:sz w:val="15"/>
              </w:rPr>
              <w:t>Required scope</w:t>
            </w:r>
          </w:p>
        </w:tc>
        <w:tc>
          <w:tcPr>
            <w:tcW w:type="dxa" w:w="2015"/>
            <w:shd w:fill="0F6B78"/>
            <w:tcMar>
              <w:top w:w="70" w:type="dxa"/>
              <w:start w:w="90" w:type="dxa"/>
              <w:bottom w:w="70" w:type="dxa"/>
              <w:end w:w="90" w:type="dxa"/>
            </w:tcMar>
            <w:vAlign w:val="center"/>
          </w:tcPr>
          <w:p>
            <w:pPr>
              <w:spacing w:before="0" w:after="0" w:line="240" w:lineRule="auto"/>
            </w:pPr>
            <w:r>
              <w:rPr>
                <w:rFonts w:ascii="Aptos" w:hAnsi="Aptos"/>
                <w:b/>
                <w:color w:val="FFFFFF"/>
                <w:sz w:val="15"/>
              </w:rPr>
              <w:t>Special release gate</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color w:val="24313D"/>
                <w:sz w:val="15"/>
              </w:rPr>
              <w:t>DHL Express / MyDHL</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Account access, rates/capabilities, shipment validation/create, customs content, labels/docs, pickup, tracking and cancel where supported</w:t>
            </w:r>
          </w:p>
        </w:tc>
        <w:tc>
          <w:tcPr>
            <w:tcW w:type="dxa" w:w="2015"/>
            <w:tcMar>
              <w:top w:w="70" w:type="dxa"/>
              <w:start w:w="90" w:type="dxa"/>
              <w:bottom w:w="70" w:type="dxa"/>
              <w:end w:w="90" w:type="dxa"/>
            </w:tcMar>
            <w:vAlign w:val="top"/>
          </w:tcPr>
          <w:p>
            <w:pPr>
              <w:spacing w:before="0" w:after="0" w:line="240" w:lineRule="auto"/>
            </w:pPr>
            <w:r>
              <w:rPr>
                <w:rFonts w:ascii="Aptos" w:hAnsi="Aptos"/>
                <w:color w:val="24313D"/>
                <w:sz w:val="15"/>
              </w:rPr>
              <w:t>Active MyDHL and reference-data versions; account/country/service certification</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5"/>
              </w:rPr>
              <w:t>UPS</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OAuth, address validation, rating/time in transit, ship/labels, pickups, tracking, trade/paperless data, returns and voids</w:t>
            </w:r>
          </w:p>
        </w:tc>
        <w:tc>
          <w:tcPr>
            <w:tcW w:type="dxa" w:w="2015"/>
            <w:tcMar>
              <w:top w:w="70" w:type="dxa"/>
              <w:start w:w="90" w:type="dxa"/>
              <w:bottom w:w="70" w:type="dxa"/>
              <w:end w:w="90" w:type="dxa"/>
            </w:tcMar>
            <w:vAlign w:val="top"/>
            <w:shd w:fill="F5F7F8"/>
          </w:tcPr>
          <w:p>
            <w:pPr>
              <w:spacing w:before="0" w:after="0" w:line="240" w:lineRule="auto"/>
            </w:pPr>
            <w:r>
              <w:rPr>
                <w:rFonts w:ascii="Aptos" w:hAnsi="Aptos"/>
                <w:color w:val="24313D"/>
                <w:sz w:val="15"/>
              </w:rPr>
              <w:t>DG requires UPS contract/capability in addition to legal DG approval</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color w:val="24313D"/>
                <w:sz w:val="15"/>
              </w:rPr>
              <w:t>FedEx</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OAuth, address, rates/transit, Ship API, labels, returns, pickups, tracking/visibility, trade docs, special services and cancel</w:t>
            </w:r>
          </w:p>
        </w:tc>
        <w:tc>
          <w:tcPr>
            <w:tcW w:type="dxa" w:w="2015"/>
            <w:tcMar>
              <w:top w:w="70" w:type="dxa"/>
              <w:start w:w="90" w:type="dxa"/>
              <w:bottom w:w="70" w:type="dxa"/>
              <w:end w:w="90" w:type="dxa"/>
            </w:tcMar>
            <w:vAlign w:val="top"/>
          </w:tcPr>
          <w:p>
            <w:pPr>
              <w:spacing w:before="0" w:after="0" w:line="240" w:lineRule="auto"/>
            </w:pPr>
            <w:r>
              <w:rPr>
                <w:rFonts w:ascii="Aptos" w:hAnsi="Aptos"/>
                <w:color w:val="24313D"/>
                <w:sz w:val="15"/>
              </w:rPr>
              <w:t>SaaS resale/integrator program and account/country webhook/capability limits</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5"/>
              </w:rPr>
              <w:t>National postal</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S10, ITMATT, CN22/CN23, PREDES/RESDES, CARDIT/RESDIT, CUSITM/CUSRSP, referrals as contracted</w:t>
            </w:r>
          </w:p>
        </w:tc>
        <w:tc>
          <w:tcPr>
            <w:tcW w:type="dxa" w:w="2015"/>
            <w:tcMar>
              <w:top w:w="70" w:type="dxa"/>
              <w:start w:w="90" w:type="dxa"/>
              <w:bottom w:w="70" w:type="dxa"/>
              <w:end w:w="90" w:type="dxa"/>
            </w:tcMar>
            <w:vAlign w:val="top"/>
            <w:shd w:fill="F5F7F8"/>
          </w:tcPr>
          <w:p>
            <w:pPr>
              <w:spacing w:before="0" w:after="0" w:line="240" w:lineRule="auto"/>
            </w:pPr>
            <w:r>
              <w:rPr>
                <w:rFonts w:ascii="Aptos" w:hAnsi="Aptos"/>
                <w:color w:val="24313D"/>
                <w:sz w:val="15"/>
              </w:rPr>
              <w:t>Bilateral/operator conformance, identifier range and message-version approval</w:t>
            </w:r>
          </w:p>
        </w:tc>
      </w:tr>
      <w:tr>
        <w:trPr>
          <w:cantSplit/>
        </w:trPr>
        <w:tc>
          <w:tcPr>
            <w:tcW w:type="dxa" w:w="2088"/>
            <w:tcMar>
              <w:top w:w="70" w:type="dxa"/>
              <w:start w:w="90" w:type="dxa"/>
              <w:bottom w:w="70" w:type="dxa"/>
              <w:end w:w="90" w:type="dxa"/>
            </w:tcMar>
            <w:vAlign w:val="top"/>
          </w:tcPr>
          <w:p>
            <w:pPr>
              <w:spacing w:before="0" w:after="0" w:line="240" w:lineRule="auto"/>
            </w:pPr>
            <w:r>
              <w:rPr>
                <w:rFonts w:ascii="Aptos" w:hAnsi="Aptos"/>
                <w:color w:val="24313D"/>
                <w:sz w:val="15"/>
              </w:rPr>
              <w:t>Air / forwarder</w:t>
            </w:r>
          </w:p>
        </w:tc>
        <w:tc>
          <w:tcPr>
            <w:tcW w:type="dxa" w:w="5400"/>
            <w:tcMar>
              <w:top w:w="70" w:type="dxa"/>
              <w:start w:w="90" w:type="dxa"/>
              <w:bottom w:w="70" w:type="dxa"/>
              <w:end w:w="90" w:type="dxa"/>
            </w:tcMar>
            <w:vAlign w:val="top"/>
          </w:tcPr>
          <w:p>
            <w:pPr>
              <w:spacing w:before="0" w:after="0" w:line="240" w:lineRule="auto"/>
            </w:pPr>
            <w:r>
              <w:rPr>
                <w:rFonts w:ascii="Aptos" w:hAnsi="Aptos"/>
                <w:color w:val="24313D"/>
                <w:sz w:val="15"/>
              </w:rPr>
              <w:t>Booking, route, MAWB/HAWB, PLACI/referrals, e-AWB, e-DGD, Cargo-XML/ONE Record, manifest and cancel</w:t>
            </w:r>
          </w:p>
        </w:tc>
        <w:tc>
          <w:tcPr>
            <w:tcW w:type="dxa" w:w="2015"/>
            <w:tcMar>
              <w:top w:w="70" w:type="dxa"/>
              <w:start w:w="90" w:type="dxa"/>
              <w:bottom w:w="70" w:type="dxa"/>
              <w:end w:w="90" w:type="dxa"/>
            </w:tcMar>
            <w:vAlign w:val="top"/>
          </w:tcPr>
          <w:p>
            <w:pPr>
              <w:spacing w:before="0" w:after="0" w:line="240" w:lineRule="auto"/>
            </w:pPr>
            <w:r>
              <w:rPr>
                <w:rFonts w:ascii="Aptos" w:hAnsi="Aptos"/>
                <w:color w:val="24313D"/>
                <w:sz w:val="15"/>
              </w:rPr>
              <w:t>Legal/security role and partner data/booking certification</w:t>
            </w:r>
          </w:p>
        </w:tc>
      </w:tr>
      <w:tr>
        <w:trPr>
          <w:cantSplit/>
        </w:trPr>
        <w:tc>
          <w:tcPr>
            <w:tcW w:type="dxa" w:w="2088"/>
            <w:tcMar>
              <w:top w:w="70" w:type="dxa"/>
              <w:start w:w="90" w:type="dxa"/>
              <w:bottom w:w="70" w:type="dxa"/>
              <w:end w:w="90" w:type="dxa"/>
            </w:tcMar>
            <w:vAlign w:val="top"/>
            <w:shd w:fill="F5F7F8"/>
          </w:tcPr>
          <w:p>
            <w:pPr>
              <w:spacing w:before="0" w:after="0" w:line="240" w:lineRule="auto"/>
            </w:pPr>
            <w:r>
              <w:rPr>
                <w:rFonts w:ascii="Aptos" w:hAnsi="Aptos"/>
                <w:color w:val="24313D"/>
                <w:sz w:val="15"/>
              </w:rPr>
              <w:t>Regional / aggregator</w:t>
            </w:r>
          </w:p>
        </w:tc>
        <w:tc>
          <w:tcPr>
            <w:tcW w:type="dxa" w:w="5400"/>
            <w:tcMar>
              <w:top w:w="70" w:type="dxa"/>
              <w:start w:w="90" w:type="dxa"/>
              <w:bottom w:w="70" w:type="dxa"/>
              <w:end w:w="90" w:type="dxa"/>
            </w:tcMar>
            <w:vAlign w:val="top"/>
            <w:shd w:fill="F5F7F8"/>
          </w:tcPr>
          <w:p>
            <w:pPr>
              <w:spacing w:before="0" w:after="0" w:line="240" w:lineRule="auto"/>
            </w:pPr>
            <w:r>
              <w:rPr>
                <w:rFonts w:ascii="Aptos" w:hAnsi="Aptos"/>
                <w:color w:val="24313D"/>
                <w:sz w:val="15"/>
              </w:rPr>
              <w:t>Same canonical security, idempotency, capability, evidence and certification contract</w:t>
            </w:r>
          </w:p>
        </w:tc>
        <w:tc>
          <w:tcPr>
            <w:tcW w:type="dxa" w:w="2015"/>
            <w:tcMar>
              <w:top w:w="70" w:type="dxa"/>
              <w:start w:w="90" w:type="dxa"/>
              <w:bottom w:w="70" w:type="dxa"/>
              <w:end w:w="90" w:type="dxa"/>
            </w:tcMar>
            <w:vAlign w:val="top"/>
            <w:shd w:fill="F5F7F8"/>
          </w:tcPr>
          <w:p>
            <w:pPr>
              <w:spacing w:before="0" w:after="0" w:line="240" w:lineRule="auto"/>
            </w:pPr>
            <w:r>
              <w:rPr>
                <w:rFonts w:ascii="Aptos" w:hAnsi="Aptos"/>
                <w:color w:val="24313D"/>
                <w:sz w:val="15"/>
              </w:rPr>
              <w:t>Identify actual carrier/service when required by regulatory/carrier rules</w:t>
            </w:r>
          </w:p>
        </w:tc>
      </w:tr>
    </w:tbl>
    <w:p>
      <w:pPr>
        <w:pStyle w:val="Heading2"/>
        <w:keepNext/>
      </w:pPr>
      <w:r>
        <w:t>15.4 Outage and reconciliation</w:t>
      </w:r>
    </w:p>
    <w:p>
      <w:pPr>
        <w:spacing w:before="0" w:after="80" w:line="259" w:lineRule="auto"/>
      </w:pPr>
      <w:r>
        <w:t>During an outage, show affected capabilities, prohibit fabricated success, allow cached quoting only within an approved freshness policy, queue only safely replayable operations and hold release until ambiguous external operations are reconciled. Daily reconciliation covers shipment/label/declaration/pickup/tracking/void/charge/invoice records.</w:t>
      </w:r>
    </w:p>
    <w:p>
      <w:r>
        <w:br w:type="page"/>
      </w:r>
    </w:p>
    <w:p>
      <w:pPr>
        <w:pStyle w:val="Heading1"/>
        <w:keepNext/>
      </w:pPr>
      <w:r>
        <w:t>16. Privacy, regional hosting and security</w:t>
      </w:r>
    </w:p>
    <w:p>
      <w:pPr>
        <w:pStyle w:val="Heading2"/>
        <w:keepNext/>
      </w:pPr>
      <w:r>
        <w:t>16.1 Tenant-selected region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880"/>
        <w:gridCol w:w="3096"/>
        <w:gridCol w:w="3528"/>
      </w:tblGrid>
      <w:tr>
        <w:trPr>
          <w:tblHeader w:val="true"/>
        </w:trPr>
        <w:tc>
          <w:tcPr>
            <w:tcW w:type="dxa" w:w="288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Data plane</w:t>
            </w:r>
          </w:p>
        </w:tc>
        <w:tc>
          <w:tcPr>
            <w:tcW w:type="dxa" w:w="309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Default placement</w:t>
            </w:r>
          </w:p>
        </w:tc>
        <w:tc>
          <w:tcPr>
            <w:tcW w:type="dxa" w:w="352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Transfer rule</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color w:val="24313D"/>
                <w:sz w:val="16"/>
              </w:rPr>
              <w:t>Shipment/order/package/inventory</w:t>
            </w:r>
          </w:p>
        </w:tc>
        <w:tc>
          <w:tcPr>
            <w:tcW w:type="dxa" w:w="3096"/>
            <w:tcMar>
              <w:top w:w="70" w:type="dxa"/>
              <w:start w:w="90" w:type="dxa"/>
              <w:bottom w:w="70" w:type="dxa"/>
              <w:end w:w="90" w:type="dxa"/>
            </w:tcMar>
            <w:vAlign w:val="top"/>
          </w:tcPr>
          <w:p>
            <w:pPr>
              <w:spacing w:before="0" w:after="0" w:line="240" w:lineRule="auto"/>
            </w:pPr>
            <w:r>
              <w:rPr>
                <w:rFonts w:ascii="Aptos" w:hAnsi="Aptos"/>
                <w:color w:val="24313D"/>
                <w:sz w:val="16"/>
              </w:rPr>
              <w:t>Tenant-selected approved region</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Partner/authority disclosure only for documented service/legal purpose</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color w:val="24313D"/>
                <w:sz w:val="16"/>
              </w:rPr>
              <w:t>Parties/identifiers/screening</w:t>
            </w:r>
          </w:p>
        </w:tc>
        <w:tc>
          <w:tcPr>
            <w:tcW w:type="dxa" w:w="3096"/>
            <w:tcMar>
              <w:top w:w="70" w:type="dxa"/>
              <w:start w:w="90" w:type="dxa"/>
              <w:bottom w:w="70" w:type="dxa"/>
              <w:end w:w="90" w:type="dxa"/>
            </w:tcMar>
            <w:vAlign w:val="top"/>
            <w:shd w:fill="F5F7F8"/>
          </w:tcPr>
          <w:p>
            <w:pPr>
              <w:spacing w:before="0" w:after="0" w:line="240" w:lineRule="auto"/>
            </w:pPr>
            <w:r>
              <w:rPr>
                <w:rFonts w:ascii="Aptos" w:hAnsi="Aptos"/>
                <w:color w:val="24313D"/>
                <w:sz w:val="16"/>
              </w:rPr>
              <w:t>Tenant region with restricted service boundary</w:t>
            </w:r>
          </w:p>
        </w:tc>
        <w:tc>
          <w:tcPr>
            <w:tcW w:type="dxa" w:w="3528"/>
            <w:tcMar>
              <w:top w:w="70" w:type="dxa"/>
              <w:start w:w="90" w:type="dxa"/>
              <w:bottom w:w="70" w:type="dxa"/>
              <w:end w:w="90" w:type="dxa"/>
            </w:tcMar>
            <w:vAlign w:val="top"/>
            <w:shd w:fill="F5F7F8"/>
          </w:tcPr>
          <w:p>
            <w:pPr>
              <w:spacing w:before="0" w:after="0" w:line="240" w:lineRule="auto"/>
            </w:pPr>
            <w:r>
              <w:rPr>
                <w:rFonts w:ascii="Aptos" w:hAnsi="Aptos"/>
                <w:color w:val="24313D"/>
                <w:sz w:val="16"/>
              </w:rPr>
              <w:t>Apply transfer mechanism, minimization, masking and reviewer access</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color w:val="24313D"/>
                <w:sz w:val="16"/>
              </w:rPr>
              <w:t>Documents/uploads/extractions</w:t>
            </w:r>
          </w:p>
        </w:tc>
        <w:tc>
          <w:tcPr>
            <w:tcW w:type="dxa" w:w="3096"/>
            <w:tcMar>
              <w:top w:w="70" w:type="dxa"/>
              <w:start w:w="90" w:type="dxa"/>
              <w:bottom w:w="70" w:type="dxa"/>
              <w:end w:w="90" w:type="dxa"/>
            </w:tcMar>
            <w:vAlign w:val="top"/>
          </w:tcPr>
          <w:p>
            <w:pPr>
              <w:spacing w:before="0" w:after="0" w:line="240" w:lineRule="auto"/>
            </w:pPr>
            <w:r>
              <w:rPr>
                <w:rFonts w:ascii="Aptos" w:hAnsi="Aptos"/>
                <w:color w:val="24313D"/>
                <w:sz w:val="16"/>
              </w:rPr>
              <w:t>Tenant region; quarantine area for unsafe files</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Transmit required document or extracted fields only</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color w:val="24313D"/>
                <w:sz w:val="16"/>
              </w:rPr>
              <w:t>Search indexes/analytics/features</w:t>
            </w:r>
          </w:p>
        </w:tc>
        <w:tc>
          <w:tcPr>
            <w:tcW w:type="dxa" w:w="3096"/>
            <w:tcMar>
              <w:top w:w="70" w:type="dxa"/>
              <w:start w:w="90" w:type="dxa"/>
              <w:bottom w:w="70" w:type="dxa"/>
              <w:end w:w="90" w:type="dxa"/>
            </w:tcMar>
            <w:vAlign w:val="top"/>
            <w:shd w:fill="F5F7F8"/>
          </w:tcPr>
          <w:p>
            <w:pPr>
              <w:spacing w:before="0" w:after="0" w:line="240" w:lineRule="auto"/>
            </w:pPr>
            <w:r>
              <w:rPr>
                <w:rFonts w:ascii="Aptos" w:hAnsi="Aptos"/>
                <w:color w:val="24313D"/>
                <w:sz w:val="16"/>
              </w:rPr>
              <w:t>Tenant region unless irreversibly anonymized</w:t>
            </w:r>
          </w:p>
        </w:tc>
        <w:tc>
          <w:tcPr>
            <w:tcW w:type="dxa" w:w="3528"/>
            <w:tcMar>
              <w:top w:w="70" w:type="dxa"/>
              <w:start w:w="90" w:type="dxa"/>
              <w:bottom w:w="70" w:type="dxa"/>
              <w:end w:w="90" w:type="dxa"/>
            </w:tcMar>
            <w:vAlign w:val="top"/>
            <w:shd w:fill="F5F7F8"/>
          </w:tcPr>
          <w:p>
            <w:pPr>
              <w:spacing w:before="0" w:after="0" w:line="240" w:lineRule="auto"/>
            </w:pPr>
            <w:r>
              <w:rPr>
                <w:rFonts w:ascii="Aptos" w:hAnsi="Aptos"/>
                <w:color w:val="24313D"/>
                <w:sz w:val="16"/>
              </w:rPr>
              <w:t>No cross-tenant or secondary AI use without lawful basis and controls</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color w:val="24313D"/>
                <w:sz w:val="16"/>
              </w:rPr>
              <w:t>Audit/security logs</w:t>
            </w:r>
          </w:p>
        </w:tc>
        <w:tc>
          <w:tcPr>
            <w:tcW w:type="dxa" w:w="3096"/>
            <w:tcMar>
              <w:top w:w="70" w:type="dxa"/>
              <w:start w:w="90" w:type="dxa"/>
              <w:bottom w:w="70" w:type="dxa"/>
              <w:end w:w="90" w:type="dxa"/>
            </w:tcMar>
            <w:vAlign w:val="top"/>
          </w:tcPr>
          <w:p>
            <w:pPr>
              <w:spacing w:before="0" w:after="0" w:line="240" w:lineRule="auto"/>
            </w:pPr>
            <w:r>
              <w:rPr>
                <w:rFonts w:ascii="Aptos" w:hAnsi="Aptos"/>
                <w:color w:val="24313D"/>
                <w:sz w:val="16"/>
              </w:rPr>
              <w:t>Region policy with tamper-evident controls</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Central security metadata must be minimized/pseudonymized</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color w:val="24313D"/>
                <w:sz w:val="16"/>
              </w:rPr>
              <w:t>Backups/DR</w:t>
            </w:r>
          </w:p>
        </w:tc>
        <w:tc>
          <w:tcPr>
            <w:tcW w:type="dxa" w:w="3096"/>
            <w:tcMar>
              <w:top w:w="70" w:type="dxa"/>
              <w:start w:w="90" w:type="dxa"/>
              <w:bottom w:w="70" w:type="dxa"/>
              <w:end w:w="90" w:type="dxa"/>
            </w:tcMar>
            <w:vAlign w:val="top"/>
            <w:shd w:fill="F5F7F8"/>
          </w:tcPr>
          <w:p>
            <w:pPr>
              <w:spacing w:before="0" w:after="0" w:line="240" w:lineRule="auto"/>
            </w:pPr>
            <w:r>
              <w:rPr>
                <w:rFonts w:ascii="Aptos" w:hAnsi="Aptos"/>
                <w:color w:val="24313D"/>
                <w:sz w:val="16"/>
              </w:rPr>
              <w:t>Approved locations for region</w:t>
            </w:r>
          </w:p>
        </w:tc>
        <w:tc>
          <w:tcPr>
            <w:tcW w:type="dxa" w:w="3528"/>
            <w:tcMar>
              <w:top w:w="70" w:type="dxa"/>
              <w:start w:w="90" w:type="dxa"/>
              <w:bottom w:w="70" w:type="dxa"/>
              <w:end w:w="90" w:type="dxa"/>
            </w:tcMar>
            <w:vAlign w:val="top"/>
            <w:shd w:fill="F5F7F8"/>
          </w:tcPr>
          <w:p>
            <w:pPr>
              <w:spacing w:before="0" w:after="0" w:line="240" w:lineRule="auto"/>
            </w:pPr>
            <w:r>
              <w:rPr>
                <w:rFonts w:ascii="Aptos" w:hAnsi="Aptos"/>
                <w:color w:val="24313D"/>
                <w:sz w:val="16"/>
              </w:rPr>
              <w:t>Failover/replication requires legal and contract approval</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color w:val="24313D"/>
                <w:sz w:val="16"/>
              </w:rPr>
              <w:t>Keys/secrets</w:t>
            </w:r>
          </w:p>
        </w:tc>
        <w:tc>
          <w:tcPr>
            <w:tcW w:type="dxa" w:w="3096"/>
            <w:tcMar>
              <w:top w:w="70" w:type="dxa"/>
              <w:start w:w="90" w:type="dxa"/>
              <w:bottom w:w="70" w:type="dxa"/>
              <w:end w:w="90" w:type="dxa"/>
            </w:tcMar>
            <w:vAlign w:val="top"/>
          </w:tcPr>
          <w:p>
            <w:pPr>
              <w:spacing w:before="0" w:after="0" w:line="240" w:lineRule="auto"/>
            </w:pPr>
            <w:r>
              <w:rPr>
                <w:rFonts w:ascii="Aptos" w:hAnsi="Aptos"/>
                <w:color w:val="24313D"/>
                <w:sz w:val="16"/>
              </w:rPr>
              <w:t>Regional key service where required</w:t>
            </w:r>
          </w:p>
        </w:tc>
        <w:tc>
          <w:tcPr>
            <w:tcW w:type="dxa" w:w="3528"/>
            <w:tcMar>
              <w:top w:w="70" w:type="dxa"/>
              <w:start w:w="90" w:type="dxa"/>
              <w:bottom w:w="70" w:type="dxa"/>
              <w:end w:w="90" w:type="dxa"/>
            </w:tcMar>
            <w:vAlign w:val="top"/>
          </w:tcPr>
          <w:p>
            <w:pPr>
              <w:spacing w:before="0" w:after="0" w:line="240" w:lineRule="auto"/>
            </w:pPr>
            <w:r>
              <w:rPr>
                <w:rFonts w:ascii="Aptos" w:hAnsi="Aptos"/>
                <w:color w:val="24313D"/>
                <w:sz w:val="16"/>
              </w:rPr>
              <w:t>No credential reuse across tenant/account/environment</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color w:val="24313D"/>
                <w:sz w:val="16"/>
              </w:rPr>
              <w:t>Minimal global control plane</w:t>
            </w:r>
          </w:p>
        </w:tc>
        <w:tc>
          <w:tcPr>
            <w:tcW w:type="dxa" w:w="3096"/>
            <w:tcMar>
              <w:top w:w="70" w:type="dxa"/>
              <w:start w:w="90" w:type="dxa"/>
              <w:bottom w:w="70" w:type="dxa"/>
              <w:end w:w="90" w:type="dxa"/>
            </w:tcMar>
            <w:vAlign w:val="top"/>
            <w:shd w:fill="F5F7F8"/>
          </w:tcPr>
          <w:p>
            <w:pPr>
              <w:spacing w:before="0" w:after="0" w:line="240" w:lineRule="auto"/>
            </w:pPr>
            <w:r>
              <w:rPr>
                <w:rFonts w:ascii="Aptos" w:hAnsi="Aptos"/>
                <w:color w:val="24313D"/>
                <w:sz w:val="16"/>
              </w:rPr>
              <w:t>Tenant-to-region routing, subscription and safe service metadata</w:t>
            </w:r>
          </w:p>
        </w:tc>
        <w:tc>
          <w:tcPr>
            <w:tcW w:type="dxa" w:w="3528"/>
            <w:tcMar>
              <w:top w:w="70" w:type="dxa"/>
              <w:start w:w="90" w:type="dxa"/>
              <w:bottom w:w="70" w:type="dxa"/>
              <w:end w:w="90" w:type="dxa"/>
            </w:tcMar>
            <w:vAlign w:val="top"/>
            <w:shd w:fill="F5F7F8"/>
          </w:tcPr>
          <w:p>
            <w:pPr>
              <w:spacing w:before="0" w:after="0" w:line="240" w:lineRule="auto"/>
            </w:pPr>
            <w:r>
              <w:rPr>
                <w:rFonts w:ascii="Aptos" w:hAnsi="Aptos"/>
                <w:color w:val="24313D"/>
                <w:sz w:val="16"/>
              </w:rPr>
              <w:t>No shipment payloads or sensitive identifiers</w:t>
            </w:r>
          </w:p>
        </w:tc>
      </w:tr>
    </w:tbl>
    <w:tbl>
      <w:tblPr>
        <w:tblW w:type="dxa" w:w="9504"/>
        <w:tblLayout w:type="fixed"/>
        <w:tblLook w:firstColumn="1" w:firstRow="1" w:lastColumn="0" w:lastRow="0" w:noHBand="0" w:noVBand="1" w:val="04A0"/>
        <w:tblBorders>
          <w:top w:val="single" w:sz="8" w:space="0" w:color="E6812A"/>
          <w:left w:val="single" w:sz="8" w:space="0" w:color="E6812A"/>
          <w:bottom w:val="single" w:sz="8" w:space="0" w:color="E6812A"/>
          <w:right w:val="single" w:sz="8" w:space="0" w:color="E6812A"/>
          <w:insideH w:val="single" w:sz="8" w:space="0" w:color="E6812A"/>
          <w:insideV w:val="single" w:sz="8" w:space="0" w:color="E6812A"/>
        </w:tblBorders>
        <w:jc w:val="left"/>
        <w:tblInd w:w="140" w:type="dxa"/>
      </w:tblPr>
      <w:tblGrid>
        <w:gridCol w:w="9504"/>
      </w:tblGrid>
      <w:tr>
        <w:trPr>
          <w:tblHeader w:val="true"/>
        </w:trPr>
        <w:tc>
          <w:tcPr>
            <w:tcW w:type="dxa" w:w="9504"/>
            <w:shd w:fill="E6812A"/>
            <w:tcMar>
              <w:top w:w="90" w:type="dxa"/>
              <w:start w:w="140" w:type="dxa"/>
              <w:bottom w:w="90" w:type="dxa"/>
              <w:end w:w="140" w:type="dxa"/>
            </w:tcMar>
          </w:tcPr>
          <w:p>
            <w:pPr>
              <w:spacing w:before="0" w:after="0" w:line="240" w:lineRule="auto"/>
            </w:pPr>
            <w:r>
              <w:rPr>
                <w:rFonts w:ascii="Aptos Display" w:hAnsi="Aptos Display"/>
                <w:b/>
                <w:color w:val="FFFFFF"/>
                <w:sz w:val="20"/>
              </w:rPr>
              <w:t>Residency language</w:t>
            </w:r>
          </w:p>
        </w:tc>
      </w:tr>
      <w:tr>
        <w:tc>
          <w:tcPr>
            <w:tcW w:type="dxa" w:w="9504"/>
            <w:shd w:fill="FFF0E2"/>
            <w:tcMar>
              <w:top w:w="90" w:type="dxa"/>
              <w:start w:w="140" w:type="dxa"/>
              <w:bottom w:w="90" w:type="dxa"/>
              <w:end w:w="140" w:type="dxa"/>
            </w:tcMar>
          </w:tcPr>
          <w:p>
            <w:pPr>
              <w:spacing w:before="0" w:after="0" w:line="252" w:lineRule="auto"/>
            </w:pPr>
            <w:r>
              <w:rPr>
                <w:rFonts w:ascii="Aptos" w:hAnsi="Aptos"/>
                <w:color w:val="24313D"/>
                <w:sz w:val="18"/>
              </w:rPr>
              <w:t>Do not promise that tenant-selected hosting means no cross-border transfer. International shipping necessarily discloses selected data to carriers, postal/air partners, customs and other authorities. Contracts and UI must state the exact data categories, recipients, locations, purposes, mechanisms and retention.</w:t>
            </w:r>
          </w:p>
        </w:tc>
      </w:tr>
    </w:tbl>
    <w:p>
      <w:pPr>
        <w:spacing w:after="0"/>
      </w:pPr>
    </w:p>
    <w:p>
      <w:pPr>
        <w:pStyle w:val="Heading2"/>
        <w:keepNext/>
      </w:pPr>
      <w:r>
        <w:t>16.2 Privacy controls</w:t>
      </w:r>
    </w:p>
    <w:p>
      <w:pPr>
        <w:pStyle w:val="ListBullet"/>
        <w:spacing w:before="0" w:after="40" w:line="254" w:lineRule="auto"/>
        <w:ind w:left="259" w:hanging="173"/>
      </w:pPr>
      <w:r>
        <w:t>Maintain a country-pack privacy law/transfer profile and data-processing role matrix for tenant, SaaS, carriers, authorities and subprocessors.</w:t>
      </w:r>
    </w:p>
    <w:p>
      <w:pPr>
        <w:pStyle w:val="ListBullet"/>
        <w:spacing w:before="0" w:after="40" w:line="254" w:lineRule="auto"/>
        <w:ind w:left="259" w:hanging="173"/>
      </w:pPr>
      <w:r>
        <w:t>Attach purpose/legal basis or contractual instruction to fields and integrations; prohibit incompatible secondary use.</w:t>
      </w:r>
    </w:p>
    <w:p>
      <w:pPr>
        <w:pStyle w:val="ListBullet"/>
        <w:spacing w:before="0" w:after="40" w:line="254" w:lineRule="auto"/>
        <w:ind w:left="259" w:hanging="173"/>
      </w:pPr>
      <w:r>
        <w:t>Support data-subject access, correction, deletion, restriction, objection, portability and consent withdrawal as applicable, with verified identity and legal-hold exceptions.</w:t>
      </w:r>
    </w:p>
    <w:p>
      <w:pPr>
        <w:pStyle w:val="ListBullet"/>
        <w:spacing w:before="0" w:after="40" w:line="254" w:lineRule="auto"/>
        <w:ind w:left="259" w:hanging="173"/>
      </w:pPr>
      <w:r>
        <w:t>Compute retention from customs, tax, DG, aviation, sanctions, claims, contract and privacy obligations; document backup expiry and secure deletion.</w:t>
      </w:r>
    </w:p>
    <w:p>
      <w:pPr>
        <w:pStyle w:val="ListBullet"/>
        <w:spacing w:before="0" w:after="40" w:line="254" w:lineRule="auto"/>
        <w:ind w:left="259" w:hanging="173"/>
      </w:pPr>
      <w:r>
        <w:t>Maintain subprocessor, service location, data category, purpose, transfer mechanism and change-notice inventory by hosting region.</w:t>
      </w:r>
    </w:p>
    <w:p>
      <w:pPr>
        <w:pStyle w:val="Heading2"/>
        <w:keepNext/>
      </w:pPr>
      <w:r>
        <w:t>16.3 Security baseline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44"/>
        <w:gridCol w:w="7560"/>
      </w:tblGrid>
      <w:tr>
        <w:trPr>
          <w:tblHeader w:val="true"/>
        </w:trPr>
        <w:tc>
          <w:tcPr>
            <w:tcW w:type="dxa" w:w="194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Domain</w:t>
            </w:r>
          </w:p>
        </w:tc>
        <w:tc>
          <w:tcPr>
            <w:tcW w:type="dxa" w:w="756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Required baseline</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Identity</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OIDC/SAML SSO, MFA, SCIM where required, service identities, least privilege, tenant policy and just-in-time support</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Authorization</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Tenant/object/role/purpose/field checks on every API and job; segregation of duties</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Cryptography</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Current TLS, encryption at rest, KMS/HSM-backed regional keys, rotation/revocation and envelope encryption for sensitive documents</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Secrets</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Managed secret store, account/environment isolation, no logs/exports, automatic rotation support</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Uploads</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Malware, file-type/size and content safety checks; quarantine; protected extraction pipeline</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Application</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Threat modeling, secure code review, SAST/DAST, dependency/SBOM, secret scanning and penetration tests</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Network</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Private service networking, controlled egress allowlists, partner endpoint verification and DDoS/rate limits</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Audit</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Append-only/tamper-evident, time-synchronized logs; alert on gaps, modifications and privileged actions</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Incident</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Detection, containment, affected data/person/jurisdiction mapping, notification decision and evidence</w:t>
            </w:r>
          </w:p>
        </w:tc>
      </w:tr>
    </w:tbl>
    <w:p>
      <w:pPr>
        <w:pStyle w:val="Heading2"/>
        <w:keepNext/>
      </w:pPr>
      <w:r>
        <w:t>16.4 Availability and recovery objectives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44"/>
        <w:gridCol w:w="3168"/>
        <w:gridCol w:w="4392"/>
      </w:tblGrid>
      <w:tr>
        <w:trPr>
          <w:tblHeader w:val="true"/>
        </w:trPr>
        <w:tc>
          <w:tcPr>
            <w:tcW w:type="dxa" w:w="194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Objective</w:t>
            </w:r>
          </w:p>
        </w:tc>
        <w:tc>
          <w:tcPr>
            <w:tcW w:type="dxa" w:w="316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Baseline target</w:t>
            </w:r>
          </w:p>
        </w:tc>
        <w:tc>
          <w:tcPr>
            <w:tcW w:type="dxa" w:w="439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Qualification</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6"/>
              </w:rPr>
              <w:t>Decision/release services</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6"/>
              </w:rPr>
              <w:t>99.95% monthly per production region</w:t>
            </w:r>
          </w:p>
        </w:tc>
        <w:tc>
          <w:tcPr>
            <w:tcW w:type="dxa" w:w="4392"/>
            <w:tcMar>
              <w:top w:w="70" w:type="dxa"/>
              <w:start w:w="90" w:type="dxa"/>
              <w:bottom w:w="70" w:type="dxa"/>
              <w:end w:w="90" w:type="dxa"/>
            </w:tcMar>
            <w:vAlign w:val="top"/>
          </w:tcPr>
          <w:p>
            <w:pPr>
              <w:spacing w:before="0" w:after="0" w:line="240" w:lineRule="auto"/>
            </w:pPr>
            <w:r>
              <w:rPr>
                <w:rFonts w:ascii="Aptos" w:hAnsi="Aptos"/>
                <w:color w:val="24313D"/>
                <w:sz w:val="16"/>
              </w:rPr>
              <w:t>Degraded mode remains fail closed</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6"/>
              </w:rPr>
              <w:t>RPO</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6"/>
              </w:rPr>
              <w:t>≤ 5 minutes for compliance/shipment state</w:t>
            </w:r>
          </w:p>
        </w:tc>
        <w:tc>
          <w:tcPr>
            <w:tcW w:type="dxa" w:w="4392"/>
            <w:tcMar>
              <w:top w:w="70" w:type="dxa"/>
              <w:start w:w="90" w:type="dxa"/>
              <w:bottom w:w="70" w:type="dxa"/>
              <w:end w:w="90" w:type="dxa"/>
            </w:tcMar>
            <w:vAlign w:val="top"/>
            <w:shd w:fill="F5F7F8"/>
          </w:tcPr>
          <w:p>
            <w:pPr>
              <w:spacing w:before="0" w:after="0" w:line="240" w:lineRule="auto"/>
            </w:pPr>
            <w:r>
              <w:rPr>
                <w:rFonts w:ascii="Aptos" w:hAnsi="Aptos"/>
                <w:color w:val="24313D"/>
                <w:sz w:val="16"/>
              </w:rPr>
              <w:t>No loss of approval, filing or custody events</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6"/>
              </w:rPr>
              <w:t>RTO</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6"/>
              </w:rPr>
              <w:t>≤ 60 minutes for regional critical services</w:t>
            </w:r>
          </w:p>
        </w:tc>
        <w:tc>
          <w:tcPr>
            <w:tcW w:type="dxa" w:w="4392"/>
            <w:tcMar>
              <w:top w:w="70" w:type="dxa"/>
              <w:start w:w="90" w:type="dxa"/>
              <w:bottom w:w="70" w:type="dxa"/>
              <w:end w:w="90" w:type="dxa"/>
            </w:tcMar>
            <w:vAlign w:val="top"/>
          </w:tcPr>
          <w:p>
            <w:pPr>
              <w:spacing w:before="0" w:after="0" w:line="240" w:lineRule="auto"/>
            </w:pPr>
            <w:r>
              <w:rPr>
                <w:rFonts w:ascii="Aptos" w:hAnsi="Aptos"/>
                <w:color w:val="24313D"/>
                <w:sz w:val="16"/>
              </w:rPr>
              <w:t>Tenant/region contractual tier may be stricter</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6"/>
              </w:rPr>
              <w:t>Backups</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6"/>
              </w:rPr>
              <w:t>Encrypted, monitored; restore tested at least quarterly</w:t>
            </w:r>
          </w:p>
        </w:tc>
        <w:tc>
          <w:tcPr>
            <w:tcW w:type="dxa" w:w="4392"/>
            <w:tcMar>
              <w:top w:w="70" w:type="dxa"/>
              <w:start w:w="90" w:type="dxa"/>
              <w:bottom w:w="70" w:type="dxa"/>
              <w:end w:w="90" w:type="dxa"/>
            </w:tcMar>
            <w:vAlign w:val="top"/>
            <w:shd w:fill="F5F7F8"/>
          </w:tcPr>
          <w:p>
            <w:pPr>
              <w:spacing w:before="0" w:after="0" w:line="240" w:lineRule="auto"/>
            </w:pPr>
            <w:r>
              <w:rPr>
                <w:rFonts w:ascii="Aptos" w:hAnsi="Aptos"/>
                <w:color w:val="24313D"/>
                <w:sz w:val="16"/>
              </w:rPr>
              <w:t>Locations must satisfy region policy</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color w:val="24313D"/>
                <w:sz w:val="16"/>
              </w:rPr>
              <w:t>Rule/list feeds</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6"/>
              </w:rPr>
              <w:t>Health and freshness monitored continuously; critical failure alerts within 5 minutes</w:t>
            </w:r>
          </w:p>
        </w:tc>
        <w:tc>
          <w:tcPr>
            <w:tcW w:type="dxa" w:w="4392"/>
            <w:tcMar>
              <w:top w:w="70" w:type="dxa"/>
              <w:start w:w="90" w:type="dxa"/>
              <w:bottom w:w="70" w:type="dxa"/>
              <w:end w:w="90" w:type="dxa"/>
            </w:tcMar>
            <w:vAlign w:val="top"/>
          </w:tcPr>
          <w:p>
            <w:pPr>
              <w:spacing w:before="0" w:after="0" w:line="240" w:lineRule="auto"/>
            </w:pPr>
            <w:r>
              <w:rPr>
                <w:rFonts w:ascii="Aptos" w:hAnsi="Aptos"/>
                <w:color w:val="24313D"/>
                <w:sz w:val="16"/>
              </w:rPr>
              <w:t>Affected capability automatically suspended</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color w:val="24313D"/>
                <w:sz w:val="16"/>
              </w:rPr>
              <w:t>Partner outage</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6"/>
              </w:rPr>
              <w:t>Detect and surface within 5 minutes where provider telemetry permits</w:t>
            </w:r>
          </w:p>
        </w:tc>
        <w:tc>
          <w:tcPr>
            <w:tcW w:type="dxa" w:w="4392"/>
            <w:tcMar>
              <w:top w:w="70" w:type="dxa"/>
              <w:start w:w="90" w:type="dxa"/>
              <w:bottom w:w="70" w:type="dxa"/>
              <w:end w:w="90" w:type="dxa"/>
            </w:tcMar>
            <w:vAlign w:val="top"/>
            <w:shd w:fill="F5F7F8"/>
          </w:tcPr>
          <w:p>
            <w:pPr>
              <w:spacing w:before="0" w:after="0" w:line="240" w:lineRule="auto"/>
            </w:pPr>
            <w:r>
              <w:rPr>
                <w:rFonts w:ascii="Aptos" w:hAnsi="Aptos"/>
                <w:color w:val="24313D"/>
                <w:sz w:val="16"/>
              </w:rPr>
              <w:t>No fabricated success</w:t>
            </w:r>
          </w:p>
        </w:tc>
      </w:tr>
    </w:tbl>
    <w:p>
      <w:r>
        <w:br w:type="page"/>
      </w:r>
    </w:p>
    <w:p>
      <w:pPr>
        <w:pStyle w:val="Heading1"/>
        <w:keepNext/>
      </w:pPr>
      <w:r>
        <w:t>17. Canonical data, APIs and events</w:t>
      </w:r>
    </w:p>
    <w:p>
      <w:pPr>
        <w:pStyle w:val="Heading2"/>
        <w:keepNext/>
      </w:pPr>
      <w:r>
        <w:t>17.1 Canonical entities</w:t>
      </w:r>
    </w:p>
    <w:p>
      <w:pPr>
        <w:spacing w:before="0" w:after="80" w:line="259" w:lineRule="auto"/>
      </w:pPr>
      <w:r>
        <w:t>The minimum entity model includes: Tenant, Site, User/ServiceIdentity, ReviewerCredential, Customer, Party, Address, ProductVersion, ClassificationDecision, DGProfile, RegulatedProductDossier, Licence/Permit, Order, ShipmentVersion, Route, Item, Package, InventoryLot/Serial, Approval, ScreeningCase, Quote, Booking, Declaration, Document, Manifest/Dispatch, CustodyEvent, PartnerTransaction, Rule, CountryPack, Source, AuditEvent, RetentionDecision. The companion workbook’s Data Dictionary defines the cross-domain core fields.</w:t>
      </w:r>
    </w:p>
    <w:p>
      <w:pPr>
        <w:pStyle w:val="Heading2"/>
        <w:keepNext/>
      </w:pPr>
      <w:r>
        <w:t>17.2 API resource model</w:t>
      </w:r>
    </w:p>
    <w:tbl>
      <w:tblPr>
        <w:tblW w:type="dxa" w:w="9503"/>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3671"/>
        <w:gridCol w:w="5832"/>
      </w:tblGrid>
      <w:tr>
        <w:trPr>
          <w:tblHeader w:val="true"/>
        </w:trPr>
        <w:tc>
          <w:tcPr>
            <w:tcW w:type="dxa" w:w="3671"/>
            <w:shd w:fill="0F6B78"/>
            <w:tcMar>
              <w:top w:w="70" w:type="dxa"/>
              <w:start w:w="90" w:type="dxa"/>
              <w:bottom w:w="70" w:type="dxa"/>
              <w:end w:w="90" w:type="dxa"/>
            </w:tcMar>
            <w:vAlign w:val="center"/>
          </w:tcPr>
          <w:p>
            <w:pPr>
              <w:spacing w:before="0" w:after="0" w:line="240" w:lineRule="auto"/>
            </w:pPr>
            <w:r>
              <w:rPr>
                <w:rFonts w:ascii="Aptos" w:hAnsi="Aptos"/>
                <w:b/>
                <w:color w:val="FFFFFF"/>
                <w:sz w:val="15"/>
              </w:rPr>
              <w:t>Endpoint / command</w:t>
            </w:r>
          </w:p>
        </w:tc>
        <w:tc>
          <w:tcPr>
            <w:tcW w:type="dxa" w:w="5832"/>
            <w:shd w:fill="0F6B78"/>
            <w:tcMar>
              <w:top w:w="70" w:type="dxa"/>
              <w:start w:w="90" w:type="dxa"/>
              <w:bottom w:w="70" w:type="dxa"/>
              <w:end w:w="90" w:type="dxa"/>
            </w:tcMar>
            <w:vAlign w:val="center"/>
          </w:tcPr>
          <w:p>
            <w:pPr>
              <w:spacing w:before="0" w:after="0" w:line="240" w:lineRule="auto"/>
            </w:pPr>
            <w:r>
              <w:rPr>
                <w:rFonts w:ascii="Aptos" w:hAnsi="Aptos"/>
                <w:b/>
                <w:color w:val="FFFFFF"/>
                <w:sz w:val="15"/>
              </w:rPr>
              <w:t>Required behavior</w:t>
            </w:r>
          </w:p>
        </w:tc>
      </w:tr>
      <w:tr>
        <w:trPr>
          <w:cantSplit/>
        </w:trPr>
        <w:tc>
          <w:tcPr>
            <w:tcW w:type="dxa" w:w="3671"/>
            <w:tcMar>
              <w:top w:w="70" w:type="dxa"/>
              <w:start w:w="90" w:type="dxa"/>
              <w:bottom w:w="70" w:type="dxa"/>
              <w:end w:w="90" w:type="dxa"/>
            </w:tcMar>
            <w:vAlign w:val="top"/>
          </w:tcPr>
          <w:p>
            <w:pPr>
              <w:spacing w:before="0" w:after="0" w:line="240" w:lineRule="auto"/>
            </w:pPr>
            <w:r>
              <w:rPr>
                <w:rFonts w:ascii="Aptos" w:hAnsi="Aptos"/>
                <w:b/>
                <w:color w:val="24313D"/>
                <w:sz w:val="15"/>
              </w:rPr>
              <w:t>POST /v1/orders:validate</w:t>
            </w:r>
          </w:p>
        </w:tc>
        <w:tc>
          <w:tcPr>
            <w:tcW w:type="dxa" w:w="5832"/>
            <w:tcMar>
              <w:top w:w="70" w:type="dxa"/>
              <w:start w:w="90" w:type="dxa"/>
              <w:bottom w:w="70" w:type="dxa"/>
              <w:end w:w="90" w:type="dxa"/>
            </w:tcMar>
            <w:vAlign w:val="top"/>
          </w:tcPr>
          <w:p>
            <w:pPr>
              <w:spacing w:before="0" w:after="0" w:line="240" w:lineRule="auto"/>
            </w:pPr>
            <w:r>
              <w:rPr>
                <w:rFonts w:ascii="Aptos" w:hAnsi="Aptos"/>
                <w:color w:val="24313D"/>
                <w:sz w:val="15"/>
              </w:rPr>
              <w:t>Stage and validate order/customer/party/product data without creating a shippable shipment</w:t>
            </w:r>
          </w:p>
        </w:tc>
      </w:tr>
      <w:tr>
        <w:trPr>
          <w:cantSplit/>
        </w:trPr>
        <w:tc>
          <w:tcPr>
            <w:tcW w:type="dxa" w:w="3671"/>
            <w:tcMar>
              <w:top w:w="70" w:type="dxa"/>
              <w:start w:w="90" w:type="dxa"/>
              <w:bottom w:w="70" w:type="dxa"/>
              <w:end w:w="90" w:type="dxa"/>
            </w:tcMar>
            <w:vAlign w:val="top"/>
            <w:shd w:fill="F5F7F8"/>
          </w:tcPr>
          <w:p>
            <w:pPr>
              <w:spacing w:before="0" w:after="0" w:line="240" w:lineRule="auto"/>
            </w:pPr>
            <w:r>
              <w:rPr>
                <w:rFonts w:ascii="Aptos" w:hAnsi="Aptos"/>
                <w:b/>
                <w:color w:val="24313D"/>
                <w:sz w:val="15"/>
              </w:rPr>
              <w:t>POST /v1/shipments</w:t>
            </w:r>
          </w:p>
        </w:tc>
        <w:tc>
          <w:tcPr>
            <w:tcW w:type="dxa" w:w="5832"/>
            <w:tcMar>
              <w:top w:w="70" w:type="dxa"/>
              <w:start w:w="90" w:type="dxa"/>
              <w:bottom w:w="70" w:type="dxa"/>
              <w:end w:w="90" w:type="dxa"/>
            </w:tcMar>
            <w:vAlign w:val="top"/>
            <w:shd w:fill="F5F7F8"/>
          </w:tcPr>
          <w:p>
            <w:pPr>
              <w:spacing w:before="0" w:after="0" w:line="240" w:lineRule="auto"/>
            </w:pPr>
            <w:r>
              <w:rPr>
                <w:rFonts w:ascii="Aptos" w:hAnsi="Aptos"/>
                <w:color w:val="24313D"/>
                <w:sz w:val="15"/>
              </w:rPr>
              <w:t>Create canonical immutable shipment version using client idempotency key</w:t>
            </w:r>
          </w:p>
        </w:tc>
      </w:tr>
      <w:tr>
        <w:trPr>
          <w:cantSplit/>
        </w:trPr>
        <w:tc>
          <w:tcPr>
            <w:tcW w:type="dxa" w:w="3671"/>
            <w:tcMar>
              <w:top w:w="70" w:type="dxa"/>
              <w:start w:w="90" w:type="dxa"/>
              <w:bottom w:w="70" w:type="dxa"/>
              <w:end w:w="90" w:type="dxa"/>
            </w:tcMar>
            <w:vAlign w:val="top"/>
          </w:tcPr>
          <w:p>
            <w:pPr>
              <w:spacing w:before="0" w:after="0" w:line="240" w:lineRule="auto"/>
            </w:pPr>
            <w:r>
              <w:rPr>
                <w:rFonts w:ascii="Aptos" w:hAnsi="Aptos"/>
                <w:b/>
                <w:color w:val="24313D"/>
                <w:sz w:val="15"/>
              </w:rPr>
              <w:t>POST /v1/shipments/{id}/evaluate</w:t>
            </w:r>
          </w:p>
        </w:tc>
        <w:tc>
          <w:tcPr>
            <w:tcW w:type="dxa" w:w="5832"/>
            <w:tcMar>
              <w:top w:w="70" w:type="dxa"/>
              <w:start w:w="90" w:type="dxa"/>
              <w:bottom w:w="70" w:type="dxa"/>
              <w:end w:w="90" w:type="dxa"/>
            </w:tcMar>
            <w:vAlign w:val="top"/>
          </w:tcPr>
          <w:p>
            <w:pPr>
              <w:spacing w:before="0" w:after="0" w:line="240" w:lineRule="auto"/>
            </w:pPr>
            <w:r>
              <w:rPr>
                <w:rFonts w:ascii="Aptos" w:hAnsi="Aptos"/>
                <w:color w:val="24313D"/>
                <w:sz w:val="15"/>
              </w:rPr>
              <w:t>Run nexus, screening, country, commodity, filing and release decisions</w:t>
            </w:r>
          </w:p>
        </w:tc>
      </w:tr>
      <w:tr>
        <w:trPr>
          <w:cantSplit/>
        </w:trPr>
        <w:tc>
          <w:tcPr>
            <w:tcW w:type="dxa" w:w="3671"/>
            <w:tcMar>
              <w:top w:w="70" w:type="dxa"/>
              <w:start w:w="90" w:type="dxa"/>
              <w:bottom w:w="70" w:type="dxa"/>
              <w:end w:w="90" w:type="dxa"/>
            </w:tcMar>
            <w:vAlign w:val="top"/>
            <w:shd w:fill="F5F7F8"/>
          </w:tcPr>
          <w:p>
            <w:pPr>
              <w:spacing w:before="0" w:after="0" w:line="240" w:lineRule="auto"/>
            </w:pPr>
            <w:r>
              <w:rPr>
                <w:rFonts w:ascii="Aptos" w:hAnsi="Aptos"/>
                <w:b/>
                <w:color w:val="24313D"/>
                <w:sz w:val="15"/>
              </w:rPr>
              <w:t>GET /v1/shipments/{id}/decisions</w:t>
            </w:r>
          </w:p>
        </w:tc>
        <w:tc>
          <w:tcPr>
            <w:tcW w:type="dxa" w:w="5832"/>
            <w:tcMar>
              <w:top w:w="70" w:type="dxa"/>
              <w:start w:w="90" w:type="dxa"/>
              <w:bottom w:w="70" w:type="dxa"/>
              <w:end w:w="90" w:type="dxa"/>
            </w:tcMar>
            <w:vAlign w:val="top"/>
            <w:shd w:fill="F5F7F8"/>
          </w:tcPr>
          <w:p>
            <w:pPr>
              <w:spacing w:before="0" w:after="0" w:line="240" w:lineRule="auto"/>
            </w:pPr>
            <w:r>
              <w:rPr>
                <w:rFonts w:ascii="Aptos" w:hAnsi="Aptos"/>
                <w:color w:val="24313D"/>
                <w:sz w:val="15"/>
              </w:rPr>
              <w:t>Return states, reason codes, conditions, source/rule versions and remediation</w:t>
            </w:r>
          </w:p>
        </w:tc>
      </w:tr>
      <w:tr>
        <w:trPr>
          <w:cantSplit/>
        </w:trPr>
        <w:tc>
          <w:tcPr>
            <w:tcW w:type="dxa" w:w="3671"/>
            <w:tcMar>
              <w:top w:w="70" w:type="dxa"/>
              <w:start w:w="90" w:type="dxa"/>
              <w:bottom w:w="70" w:type="dxa"/>
              <w:end w:w="90" w:type="dxa"/>
            </w:tcMar>
            <w:vAlign w:val="top"/>
          </w:tcPr>
          <w:p>
            <w:pPr>
              <w:spacing w:before="0" w:after="0" w:line="240" w:lineRule="auto"/>
            </w:pPr>
            <w:r>
              <w:rPr>
                <w:rFonts w:ascii="Aptos" w:hAnsi="Aptos"/>
                <w:b/>
                <w:color w:val="24313D"/>
                <w:sz w:val="15"/>
              </w:rPr>
              <w:t>POST /v1/shipments/{id}/quotes</w:t>
            </w:r>
          </w:p>
        </w:tc>
        <w:tc>
          <w:tcPr>
            <w:tcW w:type="dxa" w:w="5832"/>
            <w:tcMar>
              <w:top w:w="70" w:type="dxa"/>
              <w:start w:w="90" w:type="dxa"/>
              <w:bottom w:w="70" w:type="dxa"/>
              <w:end w:w="90" w:type="dxa"/>
            </w:tcMar>
            <w:vAlign w:val="top"/>
          </w:tcPr>
          <w:p>
            <w:pPr>
              <w:spacing w:before="0" w:after="0" w:line="240" w:lineRule="auto"/>
            </w:pPr>
            <w:r>
              <w:rPr>
                <w:rFonts w:ascii="Aptos" w:hAnsi="Aptos"/>
                <w:color w:val="24313D"/>
                <w:sz w:val="15"/>
              </w:rPr>
              <w:t>Get live account-scoped carrier capabilities/rates/transit and landed-cost estimate</w:t>
            </w:r>
          </w:p>
        </w:tc>
      </w:tr>
      <w:tr>
        <w:trPr>
          <w:cantSplit/>
        </w:trPr>
        <w:tc>
          <w:tcPr>
            <w:tcW w:type="dxa" w:w="3671"/>
            <w:tcMar>
              <w:top w:w="70" w:type="dxa"/>
              <w:start w:w="90" w:type="dxa"/>
              <w:bottom w:w="70" w:type="dxa"/>
              <w:end w:w="90" w:type="dxa"/>
            </w:tcMar>
            <w:vAlign w:val="top"/>
            <w:shd w:fill="F5F7F8"/>
          </w:tcPr>
          <w:p>
            <w:pPr>
              <w:spacing w:before="0" w:after="0" w:line="240" w:lineRule="auto"/>
            </w:pPr>
            <w:r>
              <w:rPr>
                <w:rFonts w:ascii="Aptos" w:hAnsi="Aptos"/>
                <w:b/>
                <w:color w:val="24313D"/>
                <w:sz w:val="15"/>
              </w:rPr>
              <w:t>POST /v1/shipments/{id}/approvals</w:t>
            </w:r>
          </w:p>
        </w:tc>
        <w:tc>
          <w:tcPr>
            <w:tcW w:type="dxa" w:w="5832"/>
            <w:tcMar>
              <w:top w:w="70" w:type="dxa"/>
              <w:start w:w="90" w:type="dxa"/>
              <w:bottom w:w="70" w:type="dxa"/>
              <w:end w:w="90" w:type="dxa"/>
            </w:tcMar>
            <w:vAlign w:val="top"/>
            <w:shd w:fill="F5F7F8"/>
          </w:tcPr>
          <w:p>
            <w:pPr>
              <w:spacing w:before="0" w:after="0" w:line="240" w:lineRule="auto"/>
            </w:pPr>
            <w:r>
              <w:rPr>
                <w:rFonts w:ascii="Aptos" w:hAnsi="Aptos"/>
                <w:color w:val="24313D"/>
                <w:sz w:val="15"/>
              </w:rPr>
              <w:t>Create scoped human approval; enforce credential and segregation of duties</w:t>
            </w:r>
          </w:p>
        </w:tc>
      </w:tr>
      <w:tr>
        <w:trPr>
          <w:cantSplit/>
        </w:trPr>
        <w:tc>
          <w:tcPr>
            <w:tcW w:type="dxa" w:w="3671"/>
            <w:tcMar>
              <w:top w:w="70" w:type="dxa"/>
              <w:start w:w="90" w:type="dxa"/>
              <w:bottom w:w="70" w:type="dxa"/>
              <w:end w:w="90" w:type="dxa"/>
            </w:tcMar>
            <w:vAlign w:val="top"/>
          </w:tcPr>
          <w:p>
            <w:pPr>
              <w:spacing w:before="0" w:after="0" w:line="240" w:lineRule="auto"/>
            </w:pPr>
            <w:r>
              <w:rPr>
                <w:rFonts w:ascii="Aptos" w:hAnsi="Aptos"/>
                <w:b/>
                <w:color w:val="24313D"/>
                <w:sz w:val="15"/>
              </w:rPr>
              <w:t>POST /v1/shipments/{id}/bookings</w:t>
            </w:r>
          </w:p>
        </w:tc>
        <w:tc>
          <w:tcPr>
            <w:tcW w:type="dxa" w:w="5832"/>
            <w:tcMar>
              <w:top w:w="70" w:type="dxa"/>
              <w:start w:w="90" w:type="dxa"/>
              <w:bottom w:w="70" w:type="dxa"/>
              <w:end w:w="90" w:type="dxa"/>
            </w:tcMar>
            <w:vAlign w:val="top"/>
          </w:tcPr>
          <w:p>
            <w:pPr>
              <w:spacing w:before="0" w:after="0" w:line="240" w:lineRule="auto"/>
            </w:pPr>
            <w:r>
              <w:rPr>
                <w:rFonts w:ascii="Aptos" w:hAnsi="Aptos"/>
                <w:color w:val="24313D"/>
                <w:sz w:val="15"/>
              </w:rPr>
              <w:t>Create carrier/air/postal booking or shipment with idempotency</w:t>
            </w:r>
          </w:p>
        </w:tc>
      </w:tr>
      <w:tr>
        <w:trPr>
          <w:cantSplit/>
        </w:trPr>
        <w:tc>
          <w:tcPr>
            <w:tcW w:type="dxa" w:w="3671"/>
            <w:tcMar>
              <w:top w:w="70" w:type="dxa"/>
              <w:start w:w="90" w:type="dxa"/>
              <w:bottom w:w="70" w:type="dxa"/>
              <w:end w:w="90" w:type="dxa"/>
            </w:tcMar>
            <w:vAlign w:val="top"/>
            <w:shd w:fill="F5F7F8"/>
          </w:tcPr>
          <w:p>
            <w:pPr>
              <w:spacing w:before="0" w:after="0" w:line="240" w:lineRule="auto"/>
            </w:pPr>
            <w:r>
              <w:rPr>
                <w:rFonts w:ascii="Aptos" w:hAnsi="Aptos"/>
                <w:b/>
                <w:color w:val="24313D"/>
                <w:sz w:val="15"/>
              </w:rPr>
              <w:t>POST /v1/shipments/{id}/declarations</w:t>
            </w:r>
          </w:p>
        </w:tc>
        <w:tc>
          <w:tcPr>
            <w:tcW w:type="dxa" w:w="5832"/>
            <w:tcMar>
              <w:top w:w="70" w:type="dxa"/>
              <w:start w:w="90" w:type="dxa"/>
              <w:bottom w:w="70" w:type="dxa"/>
              <w:end w:w="90" w:type="dxa"/>
            </w:tcMar>
            <w:vAlign w:val="top"/>
            <w:shd w:fill="F5F7F8"/>
          </w:tcPr>
          <w:p>
            <w:pPr>
              <w:spacing w:before="0" w:after="0" w:line="240" w:lineRule="auto"/>
            </w:pPr>
            <w:r>
              <w:rPr>
                <w:rFonts w:ascii="Aptos" w:hAnsi="Aptos"/>
                <w:color w:val="24313D"/>
                <w:sz w:val="15"/>
              </w:rPr>
              <w:t>Transmit via approved carrier/postal/filer adapter only</w:t>
            </w:r>
          </w:p>
        </w:tc>
      </w:tr>
      <w:tr>
        <w:trPr>
          <w:cantSplit/>
        </w:trPr>
        <w:tc>
          <w:tcPr>
            <w:tcW w:type="dxa" w:w="3671"/>
            <w:tcMar>
              <w:top w:w="70" w:type="dxa"/>
              <w:start w:w="90" w:type="dxa"/>
              <w:bottom w:w="70" w:type="dxa"/>
              <w:end w:w="90" w:type="dxa"/>
            </w:tcMar>
            <w:vAlign w:val="top"/>
          </w:tcPr>
          <w:p>
            <w:pPr>
              <w:spacing w:before="0" w:after="0" w:line="240" w:lineRule="auto"/>
            </w:pPr>
            <w:r>
              <w:rPr>
                <w:rFonts w:ascii="Aptos" w:hAnsi="Aptos"/>
                <w:b/>
                <w:color w:val="24313D"/>
                <w:sz w:val="15"/>
              </w:rPr>
              <w:t>POST /v1/packages/{id}/close</w:t>
            </w:r>
          </w:p>
        </w:tc>
        <w:tc>
          <w:tcPr>
            <w:tcW w:type="dxa" w:w="5832"/>
            <w:tcMar>
              <w:top w:w="70" w:type="dxa"/>
              <w:start w:w="90" w:type="dxa"/>
              <w:bottom w:w="70" w:type="dxa"/>
              <w:end w:w="90" w:type="dxa"/>
            </w:tcMar>
            <w:vAlign w:val="top"/>
          </w:tcPr>
          <w:p>
            <w:pPr>
              <w:spacing w:before="0" w:after="0" w:line="240" w:lineRule="auto"/>
            </w:pPr>
            <w:r>
              <w:rPr>
                <w:rFonts w:ascii="Aptos" w:hAnsi="Aptos"/>
                <w:color w:val="24313D"/>
                <w:sz w:val="15"/>
              </w:rPr>
              <w:t>Reconcile actual package and lock compliance/document payload</w:t>
            </w:r>
          </w:p>
        </w:tc>
      </w:tr>
      <w:tr>
        <w:trPr>
          <w:cantSplit/>
        </w:trPr>
        <w:tc>
          <w:tcPr>
            <w:tcW w:type="dxa" w:w="3671"/>
            <w:tcMar>
              <w:top w:w="70" w:type="dxa"/>
              <w:start w:w="90" w:type="dxa"/>
              <w:bottom w:w="70" w:type="dxa"/>
              <w:end w:w="90" w:type="dxa"/>
            </w:tcMar>
            <w:vAlign w:val="top"/>
            <w:shd w:fill="F5F7F8"/>
          </w:tcPr>
          <w:p>
            <w:pPr>
              <w:spacing w:before="0" w:after="0" w:line="240" w:lineRule="auto"/>
            </w:pPr>
            <w:r>
              <w:rPr>
                <w:rFonts w:ascii="Aptos" w:hAnsi="Aptos"/>
                <w:b/>
                <w:color w:val="24313D"/>
                <w:sz w:val="15"/>
              </w:rPr>
              <w:t>POST /v1/manifests/{id}/close</w:t>
            </w:r>
          </w:p>
        </w:tc>
        <w:tc>
          <w:tcPr>
            <w:tcW w:type="dxa" w:w="5832"/>
            <w:tcMar>
              <w:top w:w="70" w:type="dxa"/>
              <w:start w:w="90" w:type="dxa"/>
              <w:bottom w:w="70" w:type="dxa"/>
              <w:end w:w="90" w:type="dxa"/>
            </w:tcMar>
            <w:vAlign w:val="top"/>
            <w:shd w:fill="F5F7F8"/>
          </w:tcPr>
          <w:p>
            <w:pPr>
              <w:spacing w:before="0" w:after="0" w:line="240" w:lineRule="auto"/>
            </w:pPr>
            <w:r>
              <w:rPr>
                <w:rFonts w:ascii="Aptos" w:hAnsi="Aptos"/>
                <w:color w:val="24313D"/>
                <w:sz w:val="15"/>
              </w:rPr>
              <w:t>Enforce all item/package/referral/release gates</w:t>
            </w:r>
          </w:p>
        </w:tc>
      </w:tr>
      <w:tr>
        <w:trPr>
          <w:cantSplit/>
        </w:trPr>
        <w:tc>
          <w:tcPr>
            <w:tcW w:type="dxa" w:w="3671"/>
            <w:tcMar>
              <w:top w:w="70" w:type="dxa"/>
              <w:start w:w="90" w:type="dxa"/>
              <w:bottom w:w="70" w:type="dxa"/>
              <w:end w:w="90" w:type="dxa"/>
            </w:tcMar>
            <w:vAlign w:val="top"/>
          </w:tcPr>
          <w:p>
            <w:pPr>
              <w:spacing w:before="0" w:after="0" w:line="240" w:lineRule="auto"/>
            </w:pPr>
            <w:r>
              <w:rPr>
                <w:rFonts w:ascii="Aptos" w:hAnsi="Aptos"/>
                <w:b/>
                <w:color w:val="24313D"/>
                <w:sz w:val="15"/>
              </w:rPr>
              <w:t>POST /v1/shipments/{id}/handover</w:t>
            </w:r>
          </w:p>
        </w:tc>
        <w:tc>
          <w:tcPr>
            <w:tcW w:type="dxa" w:w="5832"/>
            <w:tcMar>
              <w:top w:w="70" w:type="dxa"/>
              <w:start w:w="90" w:type="dxa"/>
              <w:bottom w:w="70" w:type="dxa"/>
              <w:end w:w="90" w:type="dxa"/>
            </w:tcMar>
            <w:vAlign w:val="top"/>
          </w:tcPr>
          <w:p>
            <w:pPr>
              <w:spacing w:before="0" w:after="0" w:line="240" w:lineRule="auto"/>
            </w:pPr>
            <w:r>
              <w:rPr>
                <w:rFonts w:ascii="Aptos" w:hAnsi="Aptos"/>
                <w:color w:val="24313D"/>
                <w:sz w:val="15"/>
              </w:rPr>
              <w:t>Record custody proof; require release token/version</w:t>
            </w:r>
          </w:p>
        </w:tc>
      </w:tr>
      <w:tr>
        <w:trPr>
          <w:cantSplit/>
        </w:trPr>
        <w:tc>
          <w:tcPr>
            <w:tcW w:type="dxa" w:w="3671"/>
            <w:tcMar>
              <w:top w:w="70" w:type="dxa"/>
              <w:start w:w="90" w:type="dxa"/>
              <w:bottom w:w="70" w:type="dxa"/>
              <w:end w:w="90" w:type="dxa"/>
            </w:tcMar>
            <w:vAlign w:val="top"/>
            <w:shd w:fill="F5F7F8"/>
          </w:tcPr>
          <w:p>
            <w:pPr>
              <w:spacing w:before="0" w:after="0" w:line="240" w:lineRule="auto"/>
            </w:pPr>
            <w:r>
              <w:rPr>
                <w:rFonts w:ascii="Aptos" w:hAnsi="Aptos"/>
                <w:b/>
                <w:color w:val="24313D"/>
                <w:sz w:val="15"/>
              </w:rPr>
              <w:t>POST /v1/shipments/{id}/cancel</w:t>
            </w:r>
          </w:p>
        </w:tc>
        <w:tc>
          <w:tcPr>
            <w:tcW w:type="dxa" w:w="5832"/>
            <w:tcMar>
              <w:top w:w="70" w:type="dxa"/>
              <w:start w:w="90" w:type="dxa"/>
              <w:bottom w:w="70" w:type="dxa"/>
              <w:end w:w="90" w:type="dxa"/>
            </w:tcMar>
            <w:vAlign w:val="top"/>
            <w:shd w:fill="F5F7F8"/>
          </w:tcPr>
          <w:p>
            <w:pPr>
              <w:spacing w:before="0" w:after="0" w:line="240" w:lineRule="auto"/>
            </w:pPr>
            <w:r>
              <w:rPr>
                <w:rFonts w:ascii="Aptos" w:hAnsi="Aptos"/>
                <w:color w:val="24313D"/>
                <w:sz w:val="15"/>
              </w:rPr>
              <w:t>Use external void/cancel workflow and preserve original state</w:t>
            </w:r>
          </w:p>
        </w:tc>
      </w:tr>
      <w:tr>
        <w:trPr>
          <w:cantSplit/>
        </w:trPr>
        <w:tc>
          <w:tcPr>
            <w:tcW w:type="dxa" w:w="3671"/>
            <w:tcMar>
              <w:top w:w="70" w:type="dxa"/>
              <w:start w:w="90" w:type="dxa"/>
              <w:bottom w:w="70" w:type="dxa"/>
              <w:end w:w="90" w:type="dxa"/>
            </w:tcMar>
            <w:vAlign w:val="top"/>
          </w:tcPr>
          <w:p>
            <w:pPr>
              <w:spacing w:before="0" w:after="0" w:line="240" w:lineRule="auto"/>
            </w:pPr>
            <w:r>
              <w:rPr>
                <w:rFonts w:ascii="Aptos" w:hAnsi="Aptos"/>
                <w:b/>
                <w:color w:val="24313D"/>
                <w:sz w:val="15"/>
              </w:rPr>
              <w:t>GET /v1/shipments/{id}/evidence</w:t>
            </w:r>
          </w:p>
        </w:tc>
        <w:tc>
          <w:tcPr>
            <w:tcW w:type="dxa" w:w="5832"/>
            <w:tcMar>
              <w:top w:w="70" w:type="dxa"/>
              <w:start w:w="90" w:type="dxa"/>
              <w:bottom w:w="70" w:type="dxa"/>
              <w:end w:w="90" w:type="dxa"/>
            </w:tcMar>
            <w:vAlign w:val="top"/>
          </w:tcPr>
          <w:p>
            <w:pPr>
              <w:spacing w:before="0" w:after="0" w:line="240" w:lineRule="auto"/>
            </w:pPr>
            <w:r>
              <w:rPr>
                <w:rFonts w:ascii="Aptos" w:hAnsi="Aptos"/>
                <w:color w:val="24313D"/>
                <w:sz w:val="15"/>
              </w:rPr>
              <w:t>Authorized human/machine evidence dossier export</w:t>
            </w:r>
          </w:p>
        </w:tc>
      </w:tr>
      <w:tr>
        <w:trPr>
          <w:cantSplit/>
        </w:trPr>
        <w:tc>
          <w:tcPr>
            <w:tcW w:type="dxa" w:w="3671"/>
            <w:tcMar>
              <w:top w:w="70" w:type="dxa"/>
              <w:start w:w="90" w:type="dxa"/>
              <w:bottom w:w="70" w:type="dxa"/>
              <w:end w:w="90" w:type="dxa"/>
            </w:tcMar>
            <w:vAlign w:val="top"/>
            <w:shd w:fill="F5F7F8"/>
          </w:tcPr>
          <w:p>
            <w:pPr>
              <w:spacing w:before="0" w:after="0" w:line="240" w:lineRule="auto"/>
            </w:pPr>
            <w:r>
              <w:rPr>
                <w:rFonts w:ascii="Aptos" w:hAnsi="Aptos"/>
                <w:b/>
                <w:color w:val="24313D"/>
                <w:sz w:val="15"/>
              </w:rPr>
              <w:t>POST /v1/partner-events/{adapter}</w:t>
            </w:r>
          </w:p>
        </w:tc>
        <w:tc>
          <w:tcPr>
            <w:tcW w:type="dxa" w:w="5832"/>
            <w:tcMar>
              <w:top w:w="70" w:type="dxa"/>
              <w:start w:w="90" w:type="dxa"/>
              <w:bottom w:w="70" w:type="dxa"/>
              <w:end w:w="90" w:type="dxa"/>
            </w:tcMar>
            <w:vAlign w:val="top"/>
            <w:shd w:fill="F5F7F8"/>
          </w:tcPr>
          <w:p>
            <w:pPr>
              <w:spacing w:before="0" w:after="0" w:line="240" w:lineRule="auto"/>
            </w:pPr>
            <w:r>
              <w:rPr>
                <w:rFonts w:ascii="Aptos" w:hAnsi="Aptos"/>
                <w:color w:val="24313D"/>
                <w:sz w:val="15"/>
              </w:rPr>
              <w:t>Authenticated, replay-safe webhook/event ingress</w:t>
            </w:r>
          </w:p>
        </w:tc>
      </w:tr>
    </w:tbl>
    <w:p>
      <w:pPr>
        <w:pStyle w:val="Heading2"/>
        <w:keepNext/>
      </w:pPr>
      <w:r>
        <w:t>17.3 Command requirements</w:t>
      </w:r>
    </w:p>
    <w:p>
      <w:pPr>
        <w:pStyle w:val="ListBullet"/>
        <w:spacing w:before="0" w:after="40" w:line="254" w:lineRule="auto"/>
        <w:ind w:left="259" w:hanging="173"/>
      </w:pPr>
      <w:r>
        <w:t>Require tenant context, actor/service identity, purpose/role authorization, idempotency key for side effects, expected aggregate version and correlation ID.</w:t>
      </w:r>
    </w:p>
    <w:p>
      <w:pPr>
        <w:pStyle w:val="ListBullet"/>
        <w:spacing w:before="0" w:after="40" w:line="254" w:lineRule="auto"/>
        <w:ind w:left="259" w:hanging="173"/>
      </w:pPr>
      <w:r>
        <w:t>Return canonical decision status, reason codes, missing inputs, conditions, external state and version tokens; never return a generic success that hides a hold.</w:t>
      </w:r>
    </w:p>
    <w:p>
      <w:pPr>
        <w:pStyle w:val="ListBullet"/>
        <w:spacing w:before="0" w:after="40" w:line="254" w:lineRule="auto"/>
        <w:ind w:left="259" w:hanging="173"/>
      </w:pPr>
      <w:r>
        <w:t>Use problem-detail error bodies with stable error code, field paths, retryability, provider correlation and safe human message.</w:t>
      </w:r>
    </w:p>
    <w:p>
      <w:pPr>
        <w:pStyle w:val="ListBullet"/>
        <w:spacing w:before="0" w:after="40" w:line="254" w:lineRule="auto"/>
        <w:ind w:left="259" w:hanging="173"/>
      </w:pPr>
      <w:r>
        <w:t>Schema versions are explicit; breaking removal/semantic changes require new version, migration, consumer inventory and deprecation window.</w:t>
      </w:r>
    </w:p>
    <w:p>
      <w:pPr>
        <w:pStyle w:val="ListBullet"/>
        <w:spacing w:before="0" w:after="40" w:line="254" w:lineRule="auto"/>
        <w:ind w:left="259" w:hanging="173"/>
      </w:pPr>
      <w:r>
        <w:t>Bulk import stages and previews row-level errors before commit; partial commit must be explicit and replayable.</w:t>
      </w:r>
    </w:p>
    <w:p>
      <w:pPr>
        <w:pStyle w:val="Heading2"/>
        <w:keepNext/>
      </w:pPr>
      <w:r>
        <w:t>17.4 Event envelope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3024"/>
        <w:gridCol w:w="6480"/>
      </w:tblGrid>
      <w:tr>
        <w:trPr>
          <w:tblHeader w:val="true"/>
        </w:trPr>
        <w:tc>
          <w:tcPr>
            <w:tcW w:type="dxa" w:w="302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Field</w:t>
            </w:r>
          </w:p>
        </w:tc>
        <w:tc>
          <w:tcPr>
            <w:tcW w:type="dxa" w:w="648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Requirement</w:t>
            </w:r>
          </w:p>
        </w:tc>
      </w:tr>
      <w:tr>
        <w:trPr>
          <w:cantSplit/>
        </w:trPr>
        <w:tc>
          <w:tcPr>
            <w:tcW w:type="dxa" w:w="3024"/>
            <w:tcMar>
              <w:top w:w="70" w:type="dxa"/>
              <w:start w:w="90" w:type="dxa"/>
              <w:bottom w:w="70" w:type="dxa"/>
              <w:end w:w="90" w:type="dxa"/>
            </w:tcMar>
            <w:vAlign w:val="top"/>
          </w:tcPr>
          <w:p>
            <w:pPr>
              <w:spacing w:before="0" w:after="0" w:line="240" w:lineRule="auto"/>
            </w:pPr>
            <w:r>
              <w:rPr>
                <w:rFonts w:ascii="Aptos" w:hAnsi="Aptos"/>
                <w:b/>
                <w:color w:val="24313D"/>
                <w:sz w:val="16"/>
              </w:rPr>
              <w:t>event_id</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Globally unique, immutable</w:t>
            </w:r>
          </w:p>
        </w:tc>
      </w:tr>
      <w:tr>
        <w:trPr>
          <w:cantSplit/>
        </w:trPr>
        <w:tc>
          <w:tcPr>
            <w:tcW w:type="dxa" w:w="3024"/>
            <w:tcMar>
              <w:top w:w="70" w:type="dxa"/>
              <w:start w:w="90" w:type="dxa"/>
              <w:bottom w:w="70" w:type="dxa"/>
              <w:end w:w="90" w:type="dxa"/>
            </w:tcMar>
            <w:vAlign w:val="top"/>
            <w:shd w:fill="F5F7F8"/>
          </w:tcPr>
          <w:p>
            <w:pPr>
              <w:spacing w:before="0" w:after="0" w:line="240" w:lineRule="auto"/>
            </w:pPr>
            <w:r>
              <w:rPr>
                <w:rFonts w:ascii="Aptos" w:hAnsi="Aptos"/>
                <w:b/>
                <w:color w:val="24313D"/>
                <w:sz w:val="16"/>
              </w:rPr>
              <w:t>tenant_id / region</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Partition and residency routing</w:t>
            </w:r>
          </w:p>
        </w:tc>
      </w:tr>
      <w:tr>
        <w:trPr>
          <w:cantSplit/>
        </w:trPr>
        <w:tc>
          <w:tcPr>
            <w:tcW w:type="dxa" w:w="3024"/>
            <w:tcMar>
              <w:top w:w="70" w:type="dxa"/>
              <w:start w:w="90" w:type="dxa"/>
              <w:bottom w:w="70" w:type="dxa"/>
              <w:end w:w="90" w:type="dxa"/>
            </w:tcMar>
            <w:vAlign w:val="top"/>
          </w:tcPr>
          <w:p>
            <w:pPr>
              <w:spacing w:before="0" w:after="0" w:line="240" w:lineRule="auto"/>
            </w:pPr>
            <w:r>
              <w:rPr>
                <w:rFonts w:ascii="Aptos" w:hAnsi="Aptos"/>
                <w:b/>
                <w:color w:val="24313D"/>
                <w:sz w:val="16"/>
              </w:rPr>
              <w:t>aggregate_type / aggregate_id / version</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Optimistic order and replay</w:t>
            </w:r>
          </w:p>
        </w:tc>
      </w:tr>
      <w:tr>
        <w:trPr>
          <w:cantSplit/>
        </w:trPr>
        <w:tc>
          <w:tcPr>
            <w:tcW w:type="dxa" w:w="3024"/>
            <w:tcMar>
              <w:top w:w="70" w:type="dxa"/>
              <w:start w:w="90" w:type="dxa"/>
              <w:bottom w:w="70" w:type="dxa"/>
              <w:end w:w="90" w:type="dxa"/>
            </w:tcMar>
            <w:vAlign w:val="top"/>
            <w:shd w:fill="F5F7F8"/>
          </w:tcPr>
          <w:p>
            <w:pPr>
              <w:spacing w:before="0" w:after="0" w:line="240" w:lineRule="auto"/>
            </w:pPr>
            <w:r>
              <w:rPr>
                <w:rFonts w:ascii="Aptos" w:hAnsi="Aptos"/>
                <w:b/>
                <w:color w:val="24313D"/>
                <w:sz w:val="16"/>
              </w:rPr>
              <w:t>event_type / schema_version</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Stable semantic and contract</w:t>
            </w:r>
          </w:p>
        </w:tc>
      </w:tr>
      <w:tr>
        <w:trPr>
          <w:cantSplit/>
        </w:trPr>
        <w:tc>
          <w:tcPr>
            <w:tcW w:type="dxa" w:w="3024"/>
            <w:tcMar>
              <w:top w:w="70" w:type="dxa"/>
              <w:start w:w="90" w:type="dxa"/>
              <w:bottom w:w="70" w:type="dxa"/>
              <w:end w:w="90" w:type="dxa"/>
            </w:tcMar>
            <w:vAlign w:val="top"/>
          </w:tcPr>
          <w:p>
            <w:pPr>
              <w:spacing w:before="0" w:after="0" w:line="240" w:lineRule="auto"/>
            </w:pPr>
            <w:r>
              <w:rPr>
                <w:rFonts w:ascii="Aptos" w:hAnsi="Aptos"/>
                <w:b/>
                <w:color w:val="24313D"/>
                <w:sz w:val="16"/>
              </w:rPr>
              <w:t>occurred_at / received_at</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UTC plus source local time/zone when material</w:t>
            </w:r>
          </w:p>
        </w:tc>
      </w:tr>
      <w:tr>
        <w:trPr>
          <w:cantSplit/>
        </w:trPr>
        <w:tc>
          <w:tcPr>
            <w:tcW w:type="dxa" w:w="3024"/>
            <w:tcMar>
              <w:top w:w="70" w:type="dxa"/>
              <w:start w:w="90" w:type="dxa"/>
              <w:bottom w:w="70" w:type="dxa"/>
              <w:end w:w="90" w:type="dxa"/>
            </w:tcMar>
            <w:vAlign w:val="top"/>
            <w:shd w:fill="F5F7F8"/>
          </w:tcPr>
          <w:p>
            <w:pPr>
              <w:spacing w:before="0" w:after="0" w:line="240" w:lineRule="auto"/>
            </w:pPr>
            <w:r>
              <w:rPr>
                <w:rFonts w:ascii="Aptos" w:hAnsi="Aptos"/>
                <w:b/>
                <w:color w:val="24313D"/>
                <w:sz w:val="16"/>
              </w:rPr>
              <w:t>actor / source</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User, service, partner or authority identity</w:t>
            </w:r>
          </w:p>
        </w:tc>
      </w:tr>
      <w:tr>
        <w:trPr>
          <w:cantSplit/>
        </w:trPr>
        <w:tc>
          <w:tcPr>
            <w:tcW w:type="dxa" w:w="3024"/>
            <w:tcMar>
              <w:top w:w="70" w:type="dxa"/>
              <w:start w:w="90" w:type="dxa"/>
              <w:bottom w:w="70" w:type="dxa"/>
              <w:end w:w="90" w:type="dxa"/>
            </w:tcMar>
            <w:vAlign w:val="top"/>
          </w:tcPr>
          <w:p>
            <w:pPr>
              <w:spacing w:before="0" w:after="0" w:line="240" w:lineRule="auto"/>
            </w:pPr>
            <w:r>
              <w:rPr>
                <w:rFonts w:ascii="Aptos" w:hAnsi="Aptos"/>
                <w:b/>
                <w:color w:val="24313D"/>
                <w:sz w:val="16"/>
              </w:rPr>
              <w:t>correlation_id / causation_id</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Trace across decision and partner operations</w:t>
            </w:r>
          </w:p>
        </w:tc>
      </w:tr>
      <w:tr>
        <w:trPr>
          <w:cantSplit/>
        </w:trPr>
        <w:tc>
          <w:tcPr>
            <w:tcW w:type="dxa" w:w="3024"/>
            <w:tcMar>
              <w:top w:w="70" w:type="dxa"/>
              <w:start w:w="90" w:type="dxa"/>
              <w:bottom w:w="70" w:type="dxa"/>
              <w:end w:w="90" w:type="dxa"/>
            </w:tcMar>
            <w:vAlign w:val="top"/>
            <w:shd w:fill="F5F7F8"/>
          </w:tcPr>
          <w:p>
            <w:pPr>
              <w:spacing w:before="0" w:after="0" w:line="240" w:lineRule="auto"/>
            </w:pPr>
            <w:r>
              <w:rPr>
                <w:rFonts w:ascii="Aptos" w:hAnsi="Aptos"/>
                <w:b/>
                <w:color w:val="24313D"/>
                <w:sz w:val="16"/>
              </w:rPr>
              <w:t>payload / classification</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Minimum necessary data and data sensitivity</w:t>
            </w:r>
          </w:p>
        </w:tc>
      </w:tr>
      <w:tr>
        <w:trPr>
          <w:cantSplit/>
        </w:trPr>
        <w:tc>
          <w:tcPr>
            <w:tcW w:type="dxa" w:w="3024"/>
            <w:tcMar>
              <w:top w:w="70" w:type="dxa"/>
              <w:start w:w="90" w:type="dxa"/>
              <w:bottom w:w="70" w:type="dxa"/>
              <w:end w:w="90" w:type="dxa"/>
            </w:tcMar>
            <w:vAlign w:val="top"/>
          </w:tcPr>
          <w:p>
            <w:pPr>
              <w:spacing w:before="0" w:after="0" w:line="240" w:lineRule="auto"/>
            </w:pPr>
            <w:r>
              <w:rPr>
                <w:rFonts w:ascii="Aptos" w:hAnsi="Aptos"/>
                <w:b/>
                <w:color w:val="24313D"/>
                <w:sz w:val="16"/>
              </w:rPr>
              <w:t>rule_source_versions</w:t>
            </w:r>
          </w:p>
        </w:tc>
        <w:tc>
          <w:tcPr>
            <w:tcW w:type="dxa" w:w="6480"/>
            <w:tcMar>
              <w:top w:w="70" w:type="dxa"/>
              <w:start w:w="90" w:type="dxa"/>
              <w:bottom w:w="70" w:type="dxa"/>
              <w:end w:w="90" w:type="dxa"/>
            </w:tcMar>
            <w:vAlign w:val="top"/>
          </w:tcPr>
          <w:p>
            <w:pPr>
              <w:spacing w:before="0" w:after="0" w:line="240" w:lineRule="auto"/>
            </w:pPr>
            <w:r>
              <w:rPr>
                <w:rFonts w:ascii="Aptos" w:hAnsi="Aptos"/>
                <w:color w:val="24313D"/>
                <w:sz w:val="16"/>
              </w:rPr>
              <w:t>Exact rules/lists/capabilities used where decision event</w:t>
            </w:r>
          </w:p>
        </w:tc>
      </w:tr>
      <w:tr>
        <w:trPr>
          <w:cantSplit/>
        </w:trPr>
        <w:tc>
          <w:tcPr>
            <w:tcW w:type="dxa" w:w="3024"/>
            <w:tcMar>
              <w:top w:w="70" w:type="dxa"/>
              <w:start w:w="90" w:type="dxa"/>
              <w:bottom w:w="70" w:type="dxa"/>
              <w:end w:w="90" w:type="dxa"/>
            </w:tcMar>
            <w:vAlign w:val="top"/>
            <w:shd w:fill="F5F7F8"/>
          </w:tcPr>
          <w:p>
            <w:pPr>
              <w:spacing w:before="0" w:after="0" w:line="240" w:lineRule="auto"/>
            </w:pPr>
            <w:r>
              <w:rPr>
                <w:rFonts w:ascii="Aptos" w:hAnsi="Aptos"/>
                <w:b/>
                <w:color w:val="24313D"/>
                <w:sz w:val="16"/>
              </w:rPr>
              <w:t>integrity_hash</w:t>
            </w:r>
          </w:p>
        </w:tc>
        <w:tc>
          <w:tcPr>
            <w:tcW w:type="dxa" w:w="6480"/>
            <w:tcMar>
              <w:top w:w="70" w:type="dxa"/>
              <w:start w:w="90" w:type="dxa"/>
              <w:bottom w:w="70" w:type="dxa"/>
              <w:end w:w="90" w:type="dxa"/>
            </w:tcMar>
            <w:vAlign w:val="top"/>
            <w:shd w:fill="F5F7F8"/>
          </w:tcPr>
          <w:p>
            <w:pPr>
              <w:spacing w:before="0" w:after="0" w:line="240" w:lineRule="auto"/>
            </w:pPr>
            <w:r>
              <w:rPr>
                <w:rFonts w:ascii="Aptos" w:hAnsi="Aptos"/>
                <w:color w:val="24313D"/>
                <w:sz w:val="16"/>
              </w:rPr>
              <w:t>Tamper evidence/hash chain policy</w:t>
            </w:r>
          </w:p>
        </w:tc>
      </w:tr>
    </w:tbl>
    <w:p>
      <w:pPr>
        <w:pStyle w:val="Heading2"/>
        <w:keepNext/>
      </w:pPr>
      <w:r>
        <w:t>17.5 Required event families</w:t>
      </w:r>
    </w:p>
    <w:p>
      <w:pPr>
        <w:spacing w:before="0" w:after="80" w:line="259" w:lineRule="auto"/>
      </w:pPr>
      <w:r>
        <w:t>Emit versioned events for product/classification change, party/address change, screening requested/result/reviewed, country-pack/rule published/suspended, eligibility decision, approval granted/revoked, quote selected, package measured/closed, document finalized/signed, declaration submitted/status/referral, booking accepted/changed/cancelled, label issued/voided, manifest closed, custody transferred, route changed, incident/recall/temperature excursion, return received/dispositioned, source/feed stale/restored and retention/deletion/legal hold.</w:t>
      </w:r>
    </w:p>
    <w:p>
      <w:r>
        <w:br w:type="page"/>
      </w:r>
    </w:p>
    <w:p>
      <w:pPr>
        <w:pStyle w:val="Heading1"/>
        <w:keepNext/>
      </w:pPr>
      <w:r>
        <w:t>18. Audit, testing and operations</w:t>
      </w:r>
    </w:p>
    <w:p>
      <w:pPr>
        <w:pStyle w:val="Heading2"/>
        <w:keepNext/>
      </w:pPr>
      <w:r>
        <w:t>18.1 Decision evidence dossier</w:t>
      </w:r>
    </w:p>
    <w:p>
      <w:pPr>
        <w:spacing w:before="0" w:after="80" w:line="259" w:lineRule="auto"/>
      </w:pPr>
      <w:r>
        <w:t>The dossier must export authorized human-readable and machine-readable forms containing: canonical shipment/package/product/party versions; nexus and route; rule/source/list/tariff/carrier capability versions; machine decision trace and explanations; candidate matches and reviewer dispositions; certifications, licences, permits and external approvals; documents and content hashes; partner requests/responses/correlation/status; physical scans, devices, calibration, sensor and custody events; amendments, cancellations, incidents, intercepts and return links; retention and legal-hold decision. Redact unrelated or excessive personal/confidential data.</w:t>
      </w:r>
    </w:p>
    <w:p>
      <w:pPr>
        <w:pStyle w:val="Heading2"/>
        <w:keepNext/>
      </w:pPr>
      <w:r>
        <w:t>18.2 Test layers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44"/>
        <w:gridCol w:w="7560"/>
      </w:tblGrid>
      <w:tr>
        <w:trPr>
          <w:tblHeader w:val="true"/>
        </w:trPr>
        <w:tc>
          <w:tcPr>
            <w:tcW w:type="dxa" w:w="194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Layer</w:t>
            </w:r>
          </w:p>
        </w:tc>
        <w:tc>
          <w:tcPr>
            <w:tcW w:type="dxa" w:w="756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Minimum cases</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Unit / rule</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Each operator, threshold, enumeration, conversion, rounding and explanation</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Temporal</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Before/at/after effective time, transition, future simulation, repeal and time-zone boundary</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Schema / contract</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Canonical and provider schemas, code lists, unknown fields, backward compatibility</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Integration</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Sandbox/mock success, validation, auth, rate limit, timeout, ambiguous result, duplicate, cancel and referral</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Golden lanes</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Positive/negative by country, mode, flow, carrier/service, commodity, value/quantity and approval</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Security/privacy</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Tenant isolation, RBAC/SoD, injection/upload, secrets, webhook replay, transfer, rights and deletion</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Warehouse UAT</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Receipt/quarantine/putaway/pick/pack/release/manifest/handover/return with scanners/devices</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Resilience</w:t>
            </w:r>
          </w:p>
        </w:tc>
        <w:tc>
          <w:tcPr>
            <w:tcW w:type="dxa" w:w="7560"/>
            <w:tcMar>
              <w:top w:w="70" w:type="dxa"/>
              <w:start w:w="90" w:type="dxa"/>
              <w:bottom w:w="70" w:type="dxa"/>
              <w:end w:w="90" w:type="dxa"/>
            </w:tcMar>
            <w:vAlign w:val="top"/>
            <w:shd w:fill="F5F7F8"/>
          </w:tcPr>
          <w:p>
            <w:pPr>
              <w:spacing w:before="0" w:after="0" w:line="240" w:lineRule="auto"/>
            </w:pPr>
            <w:r>
              <w:rPr>
                <w:rFonts w:ascii="Aptos" w:hAnsi="Aptos"/>
                <w:color w:val="24313D"/>
                <w:sz w:val="16"/>
              </w:rPr>
              <w:t>Feed stale, partner outage, queue delay, region failure, restore, reconciliation and manual continuity</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Audit/replay</w:t>
            </w:r>
          </w:p>
        </w:tc>
        <w:tc>
          <w:tcPr>
            <w:tcW w:type="dxa" w:w="7560"/>
            <w:tcMar>
              <w:top w:w="70" w:type="dxa"/>
              <w:start w:w="90" w:type="dxa"/>
              <w:bottom w:w="70" w:type="dxa"/>
              <w:end w:w="90" w:type="dxa"/>
            </w:tcMar>
            <w:vAlign w:val="top"/>
          </w:tcPr>
          <w:p>
            <w:pPr>
              <w:spacing w:before="0" w:after="0" w:line="240" w:lineRule="auto"/>
            </w:pPr>
            <w:r>
              <w:rPr>
                <w:rFonts w:ascii="Aptos" w:hAnsi="Aptos"/>
                <w:color w:val="24313D"/>
                <w:sz w:val="16"/>
              </w:rPr>
              <w:t>Reproduce decisions and prove event/document integrity</w:t>
            </w:r>
          </w:p>
        </w:tc>
      </w:tr>
    </w:tbl>
    <w:p>
      <w:pPr>
        <w:pStyle w:val="Heading2"/>
        <w:keepNext/>
      </w:pPr>
      <w:r>
        <w:t>18.3 Operational monitoring</w:t>
      </w:r>
    </w:p>
    <w:p>
      <w:pPr>
        <w:pStyle w:val="ListBullet"/>
        <w:spacing w:before="0" w:after="40" w:line="254" w:lineRule="auto"/>
        <w:ind w:left="259" w:hanging="173"/>
      </w:pPr>
      <w:r>
        <w:t>Critical source/list/tariff/carrier feeds: age, errors, checksum/schema changes and affected capability count.</w:t>
      </w:r>
    </w:p>
    <w:p>
      <w:pPr>
        <w:pStyle w:val="ListBullet"/>
        <w:spacing w:before="0" w:after="40" w:line="254" w:lineRule="auto"/>
        <w:ind w:left="259" w:hanging="173"/>
      </w:pPr>
      <w:r>
        <w:t>Rule/country pack: next review, pending approval, failed regression, conflicting outcomes and open-shipment impact.</w:t>
      </w:r>
    </w:p>
    <w:p>
      <w:pPr>
        <w:pStyle w:val="ListBullet"/>
        <w:spacing w:before="0" w:after="40" w:line="254" w:lineRule="auto"/>
        <w:ind w:left="259" w:hanging="173"/>
      </w:pPr>
      <w:r>
        <w:t>Adapters: latency, error/rate-limit/timeout/ambiguous outcomes, webhook lag, stuck operations and reconciliation exceptions.</w:t>
      </w:r>
    </w:p>
    <w:p>
      <w:pPr>
        <w:pStyle w:val="ListBullet"/>
        <w:spacing w:before="0" w:after="40" w:line="254" w:lineRule="auto"/>
        <w:ind w:left="259" w:hanging="173"/>
      </w:pPr>
      <w:r>
        <w:t>Compliance: screening/DG/export/quality case age, DNL/referral SLA, expired credentials/licences and manual override attempts.</w:t>
      </w:r>
    </w:p>
    <w:p>
      <w:pPr>
        <w:pStyle w:val="ListBullet"/>
        <w:spacing w:before="0" w:after="40" w:line="254" w:lineRule="auto"/>
        <w:ind w:left="259" w:hanging="173"/>
      </w:pPr>
      <w:r>
        <w:t>Warehouse: quarantine population, pack/release holds, device calibration, manifest discrepancies and custody gaps.</w:t>
      </w:r>
    </w:p>
    <w:p>
      <w:pPr>
        <w:pStyle w:val="ListBullet"/>
        <w:spacing w:before="0" w:after="40" w:line="254" w:lineRule="auto"/>
        <w:ind w:left="259" w:hanging="173"/>
      </w:pPr>
      <w:r>
        <w:t>Security/privacy: privileged access, anomalous export/search, cross-region data flow, incident and deletion/rights SLA.</w:t>
      </w:r>
    </w:p>
    <w:p>
      <w:pPr>
        <w:pStyle w:val="Heading2"/>
        <w:keepNext/>
      </w:pPr>
      <w:r>
        <w:t>18.4 Required runbooks</w:t>
      </w:r>
    </w:p>
    <w:p>
      <w:pPr>
        <w:pStyle w:val="ListBullet"/>
        <w:spacing w:before="0" w:after="40" w:line="254" w:lineRule="auto"/>
        <w:ind w:left="259" w:hanging="173"/>
      </w:pPr>
      <w:r>
        <w:t>sanctions/list feed failure or urgent designation</w:t>
      </w:r>
    </w:p>
    <w:p>
      <w:pPr>
        <w:pStyle w:val="ListBullet"/>
        <w:spacing w:before="0" w:after="40" w:line="254" w:lineRule="auto"/>
        <w:ind w:left="259" w:hanging="173"/>
      </w:pPr>
      <w:r>
        <w:t>country-pack source change and emergency suspension</w:t>
      </w:r>
    </w:p>
    <w:p>
      <w:pPr>
        <w:pStyle w:val="ListBullet"/>
        <w:spacing w:before="0" w:after="40" w:line="254" w:lineRule="auto"/>
        <w:ind w:left="259" w:hanging="173"/>
      </w:pPr>
      <w:r>
        <w:t>carrier/postal/air partner outage or ambiguous external success</w:t>
      </w:r>
    </w:p>
    <w:p>
      <w:pPr>
        <w:pStyle w:val="ListBullet"/>
        <w:spacing w:before="0" w:after="40" w:line="254" w:lineRule="auto"/>
        <w:ind w:left="259" w:hanging="173"/>
      </w:pPr>
      <w:r>
        <w:t>DNL/RFI/RFS or customs/agency referral</w:t>
      </w:r>
    </w:p>
    <w:p>
      <w:pPr>
        <w:pStyle w:val="ListBullet"/>
        <w:spacing w:before="0" w:after="40" w:line="254" w:lineRule="auto"/>
        <w:ind w:left="259" w:hanging="173"/>
      </w:pPr>
      <w:r>
        <w:t>DG leak/damage/thermal event/misdeclaration</w:t>
      </w:r>
    </w:p>
    <w:p>
      <w:pPr>
        <w:pStyle w:val="ListBullet"/>
        <w:spacing w:before="0" w:after="40" w:line="254" w:lineRule="auto"/>
        <w:ind w:left="259" w:hanging="173"/>
      </w:pPr>
      <w:r>
        <w:t>cold-chain excursion and perishable delay</w:t>
      </w:r>
    </w:p>
    <w:p>
      <w:pPr>
        <w:pStyle w:val="ListBullet"/>
        <w:spacing w:before="0" w:after="40" w:line="254" w:lineRule="auto"/>
        <w:ind w:left="259" w:hanging="173"/>
      </w:pPr>
      <w:r>
        <w:t>recall and post-tender intercept</w:t>
      </w:r>
    </w:p>
    <w:p>
      <w:pPr>
        <w:pStyle w:val="ListBullet"/>
        <w:spacing w:before="0" w:after="40" w:line="254" w:lineRule="auto"/>
        <w:ind w:left="259" w:hanging="173"/>
      </w:pPr>
      <w:r>
        <w:t>credential compromise/webhook abuse/data breach</w:t>
      </w:r>
    </w:p>
    <w:p>
      <w:pPr>
        <w:pStyle w:val="ListBullet"/>
        <w:spacing w:before="0" w:after="40" w:line="254" w:lineRule="auto"/>
        <w:ind w:left="259" w:hanging="173"/>
      </w:pPr>
      <w:r>
        <w:t>regional failover and restore</w:t>
      </w:r>
    </w:p>
    <w:p>
      <w:pPr>
        <w:pStyle w:val="ListBullet"/>
        <w:spacing w:before="0" w:after="40" w:line="254" w:lineRule="auto"/>
        <w:ind w:left="259" w:hanging="173"/>
      </w:pPr>
      <w:r>
        <w:t>lost package/custody discrepancy/high-value theft</w:t>
      </w:r>
    </w:p>
    <w:p>
      <w:r>
        <w:br w:type="page"/>
      </w:r>
    </w:p>
    <w:p>
      <w:pPr>
        <w:pStyle w:val="Heading1"/>
        <w:keepNext/>
      </w:pPr>
      <w:r>
        <w:t>19. Implementation and release plan</w:t>
      </w:r>
    </w:p>
    <w:p>
      <w:pPr>
        <w:pStyle w:val="Heading2"/>
        <w:keepNext/>
      </w:pPr>
      <w:r>
        <w:t>19.1 Recommended build sequence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944"/>
        <w:gridCol w:w="6048"/>
        <w:gridCol w:w="1512"/>
      </w:tblGrid>
      <w:tr>
        <w:trPr>
          <w:tblHeader w:val="true"/>
        </w:trPr>
        <w:tc>
          <w:tcPr>
            <w:tcW w:type="dxa" w:w="1944"/>
            <w:shd w:fill="0F6B78"/>
            <w:tcMar>
              <w:top w:w="70" w:type="dxa"/>
              <w:start w:w="90" w:type="dxa"/>
              <w:bottom w:w="70" w:type="dxa"/>
              <w:end w:w="90" w:type="dxa"/>
            </w:tcMar>
            <w:vAlign w:val="center"/>
          </w:tcPr>
          <w:p>
            <w:pPr>
              <w:spacing w:before="0" w:after="0" w:line="240" w:lineRule="auto"/>
            </w:pPr>
            <w:r>
              <w:rPr>
                <w:rFonts w:ascii="Aptos" w:hAnsi="Aptos"/>
                <w:b/>
                <w:color w:val="FFFFFF"/>
                <w:sz w:val="16"/>
              </w:rPr>
              <w:t>Phase</w:t>
            </w:r>
          </w:p>
        </w:tc>
        <w:tc>
          <w:tcPr>
            <w:tcW w:type="dxa" w:w="604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Deliverable</w:t>
            </w:r>
          </w:p>
        </w:tc>
        <w:tc>
          <w:tcPr>
            <w:tcW w:type="dxa" w:w="151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Release scope</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0. Governance foundation</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6"/>
              </w:rPr>
              <w:t>Legal roles, source policy, country-pack schema, decision states, audit/event envelope, tenant regions and release board</w:t>
            </w:r>
          </w:p>
        </w:tc>
        <w:tc>
          <w:tcPr>
            <w:tcW w:type="dxa" w:w="1512"/>
            <w:tcMar>
              <w:top w:w="70" w:type="dxa"/>
              <w:start w:w="90" w:type="dxa"/>
              <w:bottom w:w="70" w:type="dxa"/>
              <w:end w:w="90" w:type="dxa"/>
            </w:tcMar>
            <w:vAlign w:val="top"/>
          </w:tcPr>
          <w:p>
            <w:pPr>
              <w:spacing w:before="0" w:after="0" w:line="240" w:lineRule="auto"/>
            </w:pPr>
            <w:r>
              <w:rPr>
                <w:rFonts w:ascii="Aptos" w:hAnsi="Aptos"/>
                <w:color w:val="24313D"/>
                <w:sz w:val="16"/>
              </w:rPr>
              <w:t>No shipment execution</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1. Core ordinary goods</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6"/>
              </w:rPr>
              <w:t>Tenant/site/customer/product, parties/addresses, screening, HS/origin/value, parcel adapters, docs and warehouse release</w:t>
            </w:r>
          </w:p>
        </w:tc>
        <w:tc>
          <w:tcPr>
            <w:tcW w:type="dxa" w:w="1512"/>
            <w:tcMar>
              <w:top w:w="70" w:type="dxa"/>
              <w:start w:w="90" w:type="dxa"/>
              <w:bottom w:w="70" w:type="dxa"/>
              <w:end w:w="90" w:type="dxa"/>
            </w:tcMar>
            <w:vAlign w:val="top"/>
            <w:shd w:fill="F5F7F8"/>
          </w:tcPr>
          <w:p>
            <w:pPr>
              <w:spacing w:before="0" w:after="0" w:line="240" w:lineRule="auto"/>
            </w:pPr>
            <w:r>
              <w:rPr>
                <w:rFonts w:ascii="Aptos" w:hAnsi="Aptos"/>
                <w:color w:val="24313D"/>
                <w:sz w:val="16"/>
              </w:rPr>
              <w:t>Selected verified lanes only</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2. Postal</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6"/>
              </w:rPr>
              <w:t>S10/EAD/forms/dispatch/referrals and designated-operator adapters</w:t>
            </w:r>
          </w:p>
        </w:tc>
        <w:tc>
          <w:tcPr>
            <w:tcW w:type="dxa" w:w="1512"/>
            <w:tcMar>
              <w:top w:w="70" w:type="dxa"/>
              <w:start w:w="90" w:type="dxa"/>
              <w:bottom w:w="70" w:type="dxa"/>
              <w:end w:w="90" w:type="dxa"/>
            </w:tcMar>
            <w:vAlign w:val="top"/>
          </w:tcPr>
          <w:p>
            <w:pPr>
              <w:spacing w:before="0" w:after="0" w:line="240" w:lineRule="auto"/>
            </w:pPr>
            <w:r>
              <w:rPr>
                <w:rFonts w:ascii="Aptos" w:hAnsi="Aptos"/>
                <w:color w:val="24313D"/>
                <w:sz w:val="16"/>
              </w:rPr>
              <w:t>Per origin operator</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3. Air freight</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6"/>
              </w:rPr>
              <w:t>Booking/AWB/PLACI/security/referrals/Cargo data and warehouse build-up</w:t>
            </w:r>
          </w:p>
        </w:tc>
        <w:tc>
          <w:tcPr>
            <w:tcW w:type="dxa" w:w="1512"/>
            <w:tcMar>
              <w:top w:w="70" w:type="dxa"/>
              <w:start w:w="90" w:type="dxa"/>
              <w:bottom w:w="70" w:type="dxa"/>
              <w:end w:w="90" w:type="dxa"/>
            </w:tcMar>
            <w:vAlign w:val="top"/>
            <w:shd w:fill="F5F7F8"/>
          </w:tcPr>
          <w:p>
            <w:pPr>
              <w:spacing w:before="0" w:after="0" w:line="240" w:lineRule="auto"/>
            </w:pPr>
            <w:r>
              <w:rPr>
                <w:rFonts w:ascii="Aptos" w:hAnsi="Aptos"/>
                <w:color w:val="24313D"/>
                <w:sz w:val="16"/>
              </w:rPr>
              <w:t>Per carrier/forwarder/security regime</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4. DG/lithium</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6"/>
              </w:rPr>
              <w:t>Certified review, variations, package/DGD/acceptance, segregation and incidents</w:t>
            </w:r>
          </w:p>
        </w:tc>
        <w:tc>
          <w:tcPr>
            <w:tcW w:type="dxa" w:w="1512"/>
            <w:tcMar>
              <w:top w:w="70" w:type="dxa"/>
              <w:start w:w="90" w:type="dxa"/>
              <w:bottom w:w="70" w:type="dxa"/>
              <w:end w:w="90" w:type="dxa"/>
            </w:tcMar>
            <w:vAlign w:val="top"/>
          </w:tcPr>
          <w:p>
            <w:pPr>
              <w:spacing w:before="0" w:after="0" w:line="240" w:lineRule="auto"/>
            </w:pPr>
            <w:r>
              <w:rPr>
                <w:rFonts w:ascii="Aptos" w:hAnsi="Aptos"/>
                <w:color w:val="24313D"/>
                <w:sz w:val="16"/>
              </w:rPr>
              <w:t>Per site/class/operator/service</w:t>
            </w:r>
          </w:p>
        </w:tc>
      </w:tr>
      <w:tr>
        <w:trPr>
          <w:cantSplit/>
        </w:trPr>
        <w:tc>
          <w:tcPr>
            <w:tcW w:type="dxa" w:w="1944"/>
            <w:tcMar>
              <w:top w:w="70" w:type="dxa"/>
              <w:start w:w="90" w:type="dxa"/>
              <w:bottom w:w="70" w:type="dxa"/>
              <w:end w:w="90" w:type="dxa"/>
            </w:tcMar>
            <w:vAlign w:val="top"/>
            <w:shd w:fill="F5F7F8"/>
          </w:tcPr>
          <w:p>
            <w:pPr>
              <w:spacing w:before="0" w:after="0" w:line="240" w:lineRule="auto"/>
            </w:pPr>
            <w:r>
              <w:rPr>
                <w:rFonts w:ascii="Aptos" w:hAnsi="Aptos"/>
                <w:b/>
                <w:color w:val="24313D"/>
                <w:sz w:val="16"/>
              </w:rPr>
              <w:t>5. Regulated commodities</w:t>
            </w:r>
          </w:p>
        </w:tc>
        <w:tc>
          <w:tcPr>
            <w:tcW w:type="dxa" w:w="6048"/>
            <w:tcMar>
              <w:top w:w="70" w:type="dxa"/>
              <w:start w:w="90" w:type="dxa"/>
              <w:bottom w:w="70" w:type="dxa"/>
              <w:end w:w="90" w:type="dxa"/>
            </w:tcMar>
            <w:vAlign w:val="top"/>
            <w:shd w:fill="F5F7F8"/>
          </w:tcPr>
          <w:p>
            <w:pPr>
              <w:spacing w:before="0" w:after="0" w:line="240" w:lineRule="auto"/>
            </w:pPr>
            <w:r>
              <w:rPr>
                <w:rFonts w:ascii="Aptos" w:hAnsi="Aptos"/>
                <w:color w:val="24313D"/>
                <w:sz w:val="16"/>
              </w:rPr>
              <w:t>Food/cold chain, pharma/devices, excise, dual-use, high-value/art/precious and personal flows</w:t>
            </w:r>
          </w:p>
        </w:tc>
        <w:tc>
          <w:tcPr>
            <w:tcW w:type="dxa" w:w="1512"/>
            <w:tcMar>
              <w:top w:w="70" w:type="dxa"/>
              <w:start w:w="90" w:type="dxa"/>
              <w:bottom w:w="70" w:type="dxa"/>
              <w:end w:w="90" w:type="dxa"/>
            </w:tcMar>
            <w:vAlign w:val="top"/>
            <w:shd w:fill="F5F7F8"/>
          </w:tcPr>
          <w:p>
            <w:pPr>
              <w:spacing w:before="0" w:after="0" w:line="240" w:lineRule="auto"/>
            </w:pPr>
            <w:r>
              <w:rPr>
                <w:rFonts w:ascii="Aptos" w:hAnsi="Aptos"/>
                <w:color w:val="24313D"/>
                <w:sz w:val="16"/>
              </w:rPr>
              <w:t>Per commodity/lane approval</w:t>
            </w:r>
          </w:p>
        </w:tc>
      </w:tr>
      <w:tr>
        <w:trPr>
          <w:cantSplit/>
        </w:trPr>
        <w:tc>
          <w:tcPr>
            <w:tcW w:type="dxa" w:w="1944"/>
            <w:tcMar>
              <w:top w:w="70" w:type="dxa"/>
              <w:start w:w="90" w:type="dxa"/>
              <w:bottom w:w="70" w:type="dxa"/>
              <w:end w:w="90" w:type="dxa"/>
            </w:tcMar>
            <w:vAlign w:val="top"/>
          </w:tcPr>
          <w:p>
            <w:pPr>
              <w:spacing w:before="0" w:after="0" w:line="240" w:lineRule="auto"/>
            </w:pPr>
            <w:r>
              <w:rPr>
                <w:rFonts w:ascii="Aptos" w:hAnsi="Aptos"/>
                <w:b/>
                <w:color w:val="24313D"/>
                <w:sz w:val="16"/>
              </w:rPr>
              <w:t>6. Worldwide activation</w:t>
            </w:r>
          </w:p>
        </w:tc>
        <w:tc>
          <w:tcPr>
            <w:tcW w:type="dxa" w:w="6048"/>
            <w:tcMar>
              <w:top w:w="70" w:type="dxa"/>
              <w:start w:w="90" w:type="dxa"/>
              <w:bottom w:w="70" w:type="dxa"/>
              <w:end w:w="90" w:type="dxa"/>
            </w:tcMar>
            <w:vAlign w:val="top"/>
          </w:tcPr>
          <w:p>
            <w:pPr>
              <w:spacing w:before="0" w:after="0" w:line="240" w:lineRule="auto"/>
            </w:pPr>
            <w:r>
              <w:rPr>
                <w:rFonts w:ascii="Aptos" w:hAnsi="Aptos"/>
                <w:color w:val="24313D"/>
                <w:sz w:val="16"/>
              </w:rPr>
              <w:t>Country/territory legal sources, partners, privacy and golden lanes activated in controlled batches</w:t>
            </w:r>
          </w:p>
        </w:tc>
        <w:tc>
          <w:tcPr>
            <w:tcW w:type="dxa" w:w="1512"/>
            <w:tcMar>
              <w:top w:w="70" w:type="dxa"/>
              <w:start w:w="90" w:type="dxa"/>
              <w:bottom w:w="70" w:type="dxa"/>
              <w:end w:w="90" w:type="dxa"/>
            </w:tcMar>
            <w:vAlign w:val="top"/>
          </w:tcPr>
          <w:p>
            <w:pPr>
              <w:spacing w:before="0" w:after="0" w:line="240" w:lineRule="auto"/>
            </w:pPr>
            <w:r>
              <w:rPr>
                <w:rFonts w:ascii="Aptos" w:hAnsi="Aptos"/>
                <w:color w:val="24313D"/>
                <w:sz w:val="16"/>
              </w:rPr>
              <w:t>Capability-level production</w:t>
            </w:r>
          </w:p>
        </w:tc>
      </w:tr>
    </w:tbl>
    <w:p>
      <w:pPr>
        <w:pStyle w:val="Heading2"/>
        <w:keepNext/>
      </w:pPr>
      <w:r>
        <w:t>19.2 Definition of production-ready</w:t>
      </w:r>
    </w:p>
    <w:p>
      <w:pPr>
        <w:pStyle w:val="ListBullet"/>
        <w:spacing w:before="0" w:after="40" w:line="254" w:lineRule="auto"/>
        <w:ind w:left="259" w:hanging="173"/>
      </w:pPr>
      <w:r>
        <w:t>Country/territory capability flag is PRODUCTION_READY for the exact direction, mode, commodity, flow and carrier/service.</w:t>
      </w:r>
    </w:p>
    <w:p>
      <w:pPr>
        <w:pStyle w:val="ListBullet"/>
        <w:spacing w:before="0" w:after="40" w:line="254" w:lineRule="auto"/>
        <w:ind w:left="259" w:hanging="173"/>
      </w:pPr>
      <w:r>
        <w:t>Current national/territorial sources, special-area mapping, translations and legal interpretation are approved.</w:t>
      </w:r>
    </w:p>
    <w:p>
      <w:pPr>
        <w:pStyle w:val="ListBullet"/>
        <w:spacing w:before="0" w:after="40" w:line="254" w:lineRule="auto"/>
        <w:ind w:left="259" w:hanging="173"/>
      </w:pPr>
      <w:r>
        <w:t>Carrier/postal/air account contract, API version, product capability and provider certification are approved.</w:t>
      </w:r>
    </w:p>
    <w:p>
      <w:pPr>
        <w:pStyle w:val="ListBullet"/>
        <w:spacing w:before="0" w:after="40" w:line="254" w:lineRule="auto"/>
        <w:ind w:left="259" w:hanging="173"/>
      </w:pPr>
      <w:r>
        <w:t>Tenant/site licences, commodity permissions, trained reviewers, physical zones, devices and SOPs are active.</w:t>
      </w:r>
    </w:p>
    <w:p>
      <w:pPr>
        <w:pStyle w:val="ListBullet"/>
        <w:spacing w:before="0" w:after="40" w:line="254" w:lineRule="auto"/>
        <w:ind w:left="259" w:hanging="173"/>
      </w:pPr>
      <w:r>
        <w:t>All applicable MUST requirements have passing traceable tests; no critical/high defects or expired critical sources.</w:t>
      </w:r>
    </w:p>
    <w:p>
      <w:pPr>
        <w:pStyle w:val="ListBullet"/>
        <w:spacing w:before="0" w:after="40" w:line="254" w:lineRule="auto"/>
        <w:ind w:left="259" w:hanging="173"/>
      </w:pPr>
      <w:r>
        <w:t>Monitoring, incident/intercept, outage, reconciliation, retention and support runbooks are exercised.</w:t>
      </w:r>
    </w:p>
    <w:p>
      <w:pPr>
        <w:pStyle w:val="ListBullet"/>
        <w:spacing w:before="0" w:after="40" w:line="254" w:lineRule="auto"/>
        <w:ind w:left="259" w:hanging="173"/>
      </w:pPr>
      <w:r>
        <w:t>Named product, legal/compliance, privacy, security, operations and integration owners sign the release dossier.</w:t>
      </w:r>
    </w:p>
    <w:p>
      <w:pPr>
        <w:pStyle w:val="Heading2"/>
        <w:keepNext/>
      </w:pPr>
      <w:r>
        <w:t>19.3 Product performance baseline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232"/>
        <w:gridCol w:w="4752"/>
        <w:gridCol w:w="2520"/>
      </w:tblGrid>
      <w:tr>
        <w:trPr>
          <w:tblHeader w:val="true"/>
        </w:trPr>
        <w:tc>
          <w:tcPr>
            <w:tcW w:type="dxa" w:w="223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Operation</w:t>
            </w:r>
          </w:p>
        </w:tc>
        <w:tc>
          <w:tcPr>
            <w:tcW w:type="dxa" w:w="475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Target (excluding uncontrolled provider latency)</w:t>
            </w:r>
          </w:p>
        </w:tc>
        <w:tc>
          <w:tcPr>
            <w:tcW w:type="dxa" w:w="252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Measurement</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color w:val="24313D"/>
                <w:sz w:val="16"/>
              </w:rPr>
              <w:t>Cached rule eligibility</w:t>
            </w:r>
          </w:p>
        </w:tc>
        <w:tc>
          <w:tcPr>
            <w:tcW w:type="dxa" w:w="4752"/>
            <w:tcMar>
              <w:top w:w="70" w:type="dxa"/>
              <w:start w:w="90" w:type="dxa"/>
              <w:bottom w:w="70" w:type="dxa"/>
              <w:end w:w="90" w:type="dxa"/>
            </w:tcMar>
            <w:vAlign w:val="top"/>
          </w:tcPr>
          <w:p>
            <w:pPr>
              <w:spacing w:before="0" w:after="0" w:line="240" w:lineRule="auto"/>
            </w:pPr>
            <w:r>
              <w:rPr>
                <w:rFonts w:ascii="Aptos" w:hAnsi="Aptos"/>
                <w:color w:val="24313D"/>
                <w:sz w:val="16"/>
              </w:rPr>
              <w:t>p95 ≤ 2 s; p99 ≤ 5 s</w:t>
            </w:r>
          </w:p>
        </w:tc>
        <w:tc>
          <w:tcPr>
            <w:tcW w:type="dxa" w:w="2520"/>
            <w:tcMar>
              <w:top w:w="70" w:type="dxa"/>
              <w:start w:w="90" w:type="dxa"/>
              <w:bottom w:w="70" w:type="dxa"/>
              <w:end w:w="90" w:type="dxa"/>
            </w:tcMar>
            <w:vAlign w:val="top"/>
          </w:tcPr>
          <w:p>
            <w:pPr>
              <w:spacing w:before="0" w:after="0" w:line="240" w:lineRule="auto"/>
            </w:pPr>
            <w:r>
              <w:rPr>
                <w:rFonts w:ascii="Aptos" w:hAnsi="Aptos"/>
                <w:color w:val="24313D"/>
                <w:sz w:val="16"/>
              </w:rPr>
              <w:t>Complete shipment evaluation within region</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color w:val="24313D"/>
                <w:sz w:val="16"/>
              </w:rPr>
              <w:t>Party/list screening</w:t>
            </w:r>
          </w:p>
        </w:tc>
        <w:tc>
          <w:tcPr>
            <w:tcW w:type="dxa" w:w="4752"/>
            <w:tcMar>
              <w:top w:w="70" w:type="dxa"/>
              <w:start w:w="90" w:type="dxa"/>
              <w:bottom w:w="70" w:type="dxa"/>
              <w:end w:w="90" w:type="dxa"/>
            </w:tcMar>
            <w:vAlign w:val="top"/>
            <w:shd w:fill="F5F7F8"/>
          </w:tcPr>
          <w:p>
            <w:pPr>
              <w:spacing w:before="0" w:after="0" w:line="240" w:lineRule="auto"/>
            </w:pPr>
            <w:r>
              <w:rPr>
                <w:rFonts w:ascii="Aptos" w:hAnsi="Aptos"/>
                <w:color w:val="24313D"/>
                <w:sz w:val="16"/>
              </w:rPr>
              <w:t>p95 ≤ 3 s for normal party set</w:t>
            </w:r>
          </w:p>
        </w:tc>
        <w:tc>
          <w:tcPr>
            <w:tcW w:type="dxa" w:w="2520"/>
            <w:tcMar>
              <w:top w:w="70" w:type="dxa"/>
              <w:start w:w="90" w:type="dxa"/>
              <w:bottom w:w="70" w:type="dxa"/>
              <w:end w:w="90" w:type="dxa"/>
            </w:tcMar>
            <w:vAlign w:val="top"/>
            <w:shd w:fill="F5F7F8"/>
          </w:tcPr>
          <w:p>
            <w:pPr>
              <w:spacing w:before="0" w:after="0" w:line="240" w:lineRule="auto"/>
            </w:pPr>
            <w:r>
              <w:rPr>
                <w:rFonts w:ascii="Aptos" w:hAnsi="Aptos"/>
                <w:color w:val="24313D"/>
                <w:sz w:val="16"/>
              </w:rPr>
              <w:t>Feed/current-index health required</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color w:val="24313D"/>
                <w:sz w:val="16"/>
              </w:rPr>
              <w:t>Quote orchestration</w:t>
            </w:r>
          </w:p>
        </w:tc>
        <w:tc>
          <w:tcPr>
            <w:tcW w:type="dxa" w:w="4752"/>
            <w:tcMar>
              <w:top w:w="70" w:type="dxa"/>
              <w:start w:w="90" w:type="dxa"/>
              <w:bottom w:w="70" w:type="dxa"/>
              <w:end w:w="90" w:type="dxa"/>
            </w:tcMar>
            <w:vAlign w:val="top"/>
          </w:tcPr>
          <w:p>
            <w:pPr>
              <w:spacing w:before="0" w:after="0" w:line="240" w:lineRule="auto"/>
            </w:pPr>
            <w:r>
              <w:rPr>
                <w:rFonts w:ascii="Aptos" w:hAnsi="Aptos"/>
                <w:color w:val="24313D"/>
                <w:sz w:val="16"/>
              </w:rPr>
              <w:t>p95 ≤ 5 s plus provider time</w:t>
            </w:r>
          </w:p>
        </w:tc>
        <w:tc>
          <w:tcPr>
            <w:tcW w:type="dxa" w:w="2520"/>
            <w:tcMar>
              <w:top w:w="70" w:type="dxa"/>
              <w:start w:w="90" w:type="dxa"/>
              <w:bottom w:w="70" w:type="dxa"/>
              <w:end w:w="90" w:type="dxa"/>
            </w:tcMar>
            <w:vAlign w:val="top"/>
          </w:tcPr>
          <w:p>
            <w:pPr>
              <w:spacing w:before="0" w:after="0" w:line="240" w:lineRule="auto"/>
            </w:pPr>
            <w:r>
              <w:rPr>
                <w:rFonts w:ascii="Aptos" w:hAnsi="Aptos"/>
                <w:color w:val="24313D"/>
                <w:sz w:val="16"/>
              </w:rPr>
              <w:t>Parallel provider calls and timeout budget</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color w:val="24313D"/>
                <w:sz w:val="16"/>
              </w:rPr>
              <w:t>Label/booking command</w:t>
            </w:r>
          </w:p>
        </w:tc>
        <w:tc>
          <w:tcPr>
            <w:tcW w:type="dxa" w:w="4752"/>
            <w:tcMar>
              <w:top w:w="70" w:type="dxa"/>
              <w:start w:w="90" w:type="dxa"/>
              <w:bottom w:w="70" w:type="dxa"/>
              <w:end w:w="90" w:type="dxa"/>
            </w:tcMar>
            <w:vAlign w:val="top"/>
            <w:shd w:fill="F5F7F8"/>
          </w:tcPr>
          <w:p>
            <w:pPr>
              <w:spacing w:before="0" w:after="0" w:line="240" w:lineRule="auto"/>
            </w:pPr>
            <w:r>
              <w:rPr>
                <w:rFonts w:ascii="Aptos" w:hAnsi="Aptos"/>
                <w:color w:val="24313D"/>
                <w:sz w:val="16"/>
              </w:rPr>
              <w:t>p95 ≤ 10 s plus provider time</w:t>
            </w:r>
          </w:p>
        </w:tc>
        <w:tc>
          <w:tcPr>
            <w:tcW w:type="dxa" w:w="2520"/>
            <w:tcMar>
              <w:top w:w="70" w:type="dxa"/>
              <w:start w:w="90" w:type="dxa"/>
              <w:bottom w:w="70" w:type="dxa"/>
              <w:end w:w="90" w:type="dxa"/>
            </w:tcMar>
            <w:vAlign w:val="top"/>
            <w:shd w:fill="F5F7F8"/>
          </w:tcPr>
          <w:p>
            <w:pPr>
              <w:spacing w:before="0" w:after="0" w:line="240" w:lineRule="auto"/>
            </w:pPr>
            <w:r>
              <w:rPr>
                <w:rFonts w:ascii="Aptos" w:hAnsi="Aptos"/>
                <w:color w:val="24313D"/>
                <w:sz w:val="16"/>
              </w:rPr>
              <w:t>Idempotent command through response</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color w:val="24313D"/>
                <w:sz w:val="16"/>
              </w:rPr>
              <w:t>Webhook ingestion</w:t>
            </w:r>
          </w:p>
        </w:tc>
        <w:tc>
          <w:tcPr>
            <w:tcW w:type="dxa" w:w="4752"/>
            <w:tcMar>
              <w:top w:w="70" w:type="dxa"/>
              <w:start w:w="90" w:type="dxa"/>
              <w:bottom w:w="70" w:type="dxa"/>
              <w:end w:w="90" w:type="dxa"/>
            </w:tcMar>
            <w:vAlign w:val="top"/>
          </w:tcPr>
          <w:p>
            <w:pPr>
              <w:spacing w:before="0" w:after="0" w:line="240" w:lineRule="auto"/>
            </w:pPr>
            <w:r>
              <w:rPr>
                <w:rFonts w:ascii="Aptos" w:hAnsi="Aptos"/>
                <w:color w:val="24313D"/>
                <w:sz w:val="16"/>
              </w:rPr>
              <w:t>Accepted/deduplicated ≤ 5 s p95</w:t>
            </w:r>
          </w:p>
        </w:tc>
        <w:tc>
          <w:tcPr>
            <w:tcW w:type="dxa" w:w="2520"/>
            <w:tcMar>
              <w:top w:w="70" w:type="dxa"/>
              <w:start w:w="90" w:type="dxa"/>
              <w:bottom w:w="70" w:type="dxa"/>
              <w:end w:w="90" w:type="dxa"/>
            </w:tcMar>
            <w:vAlign w:val="top"/>
          </w:tcPr>
          <w:p>
            <w:pPr>
              <w:spacing w:before="0" w:after="0" w:line="240" w:lineRule="auto"/>
            </w:pPr>
            <w:r>
              <w:rPr>
                <w:rFonts w:ascii="Aptos" w:hAnsi="Aptos"/>
                <w:color w:val="24313D"/>
                <w:sz w:val="16"/>
              </w:rPr>
              <w:t>Business state may await ordering/reconciliation</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color w:val="24313D"/>
                <w:sz w:val="16"/>
              </w:rPr>
              <w:t>Open-shipment urgent rescreen</w:t>
            </w:r>
          </w:p>
        </w:tc>
        <w:tc>
          <w:tcPr>
            <w:tcW w:type="dxa" w:w="4752"/>
            <w:tcMar>
              <w:top w:w="70" w:type="dxa"/>
              <w:start w:w="90" w:type="dxa"/>
              <w:bottom w:w="70" w:type="dxa"/>
              <w:end w:w="90" w:type="dxa"/>
            </w:tcMar>
            <w:vAlign w:val="top"/>
            <w:shd w:fill="F5F7F8"/>
          </w:tcPr>
          <w:p>
            <w:pPr>
              <w:spacing w:before="0" w:after="0" w:line="240" w:lineRule="auto"/>
            </w:pPr>
            <w:r>
              <w:rPr>
                <w:rFonts w:ascii="Aptos" w:hAnsi="Aptos"/>
                <w:color w:val="24313D"/>
                <w:sz w:val="16"/>
              </w:rPr>
              <w:t>Start ≤ 5 minutes from critical list publication</w:t>
            </w:r>
          </w:p>
        </w:tc>
        <w:tc>
          <w:tcPr>
            <w:tcW w:type="dxa" w:w="2520"/>
            <w:tcMar>
              <w:top w:w="70" w:type="dxa"/>
              <w:start w:w="90" w:type="dxa"/>
              <w:bottom w:w="70" w:type="dxa"/>
              <w:end w:w="90" w:type="dxa"/>
            </w:tcMar>
            <w:vAlign w:val="top"/>
            <w:shd w:fill="F5F7F8"/>
          </w:tcPr>
          <w:p>
            <w:pPr>
              <w:spacing w:before="0" w:after="0" w:line="240" w:lineRule="auto"/>
            </w:pPr>
            <w:r>
              <w:rPr>
                <w:rFonts w:ascii="Aptos" w:hAnsi="Aptos"/>
                <w:color w:val="24313D"/>
                <w:sz w:val="16"/>
              </w:rPr>
              <w:t>Complete by risk-tier SLA</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color w:val="24313D"/>
                <w:sz w:val="16"/>
              </w:rPr>
              <w:t>Evidence dossier</w:t>
            </w:r>
          </w:p>
        </w:tc>
        <w:tc>
          <w:tcPr>
            <w:tcW w:type="dxa" w:w="4752"/>
            <w:tcMar>
              <w:top w:w="70" w:type="dxa"/>
              <w:start w:w="90" w:type="dxa"/>
              <w:bottom w:w="70" w:type="dxa"/>
              <w:end w:w="90" w:type="dxa"/>
            </w:tcMar>
            <w:vAlign w:val="top"/>
          </w:tcPr>
          <w:p>
            <w:pPr>
              <w:spacing w:before="0" w:after="0" w:line="240" w:lineRule="auto"/>
            </w:pPr>
            <w:r>
              <w:rPr>
                <w:rFonts w:ascii="Aptos" w:hAnsi="Aptos"/>
                <w:color w:val="24313D"/>
                <w:sz w:val="16"/>
              </w:rPr>
              <w:t>≤ 30 s for normal shipment</w:t>
            </w:r>
          </w:p>
        </w:tc>
        <w:tc>
          <w:tcPr>
            <w:tcW w:type="dxa" w:w="2520"/>
            <w:tcMar>
              <w:top w:w="70" w:type="dxa"/>
              <w:start w:w="90" w:type="dxa"/>
              <w:bottom w:w="70" w:type="dxa"/>
              <w:end w:w="90" w:type="dxa"/>
            </w:tcMar>
            <w:vAlign w:val="top"/>
          </w:tcPr>
          <w:p>
            <w:pPr>
              <w:spacing w:before="0" w:after="0" w:line="240" w:lineRule="auto"/>
            </w:pPr>
            <w:r>
              <w:rPr>
                <w:rFonts w:ascii="Aptos" w:hAnsi="Aptos"/>
                <w:color w:val="24313D"/>
                <w:sz w:val="16"/>
              </w:rPr>
              <w:t>Large sensor/document sets may be asynchronous</w:t>
            </w:r>
          </w:p>
        </w:tc>
      </w:tr>
    </w:tbl>
    <w:p>
      <w:pPr>
        <w:spacing w:before="0" w:after="80" w:line="259" w:lineRule="auto"/>
      </w:pPr>
      <w:r>
        <w:t>These are initial engineering baselines rather than legal requirements. Validate contracted volume tiers, geography and partner latency during capacity planning; scale must never bypass a compliance gate.</w:t>
      </w:r>
    </w:p>
    <w:p>
      <w:pPr>
        <w:pStyle w:val="Heading2"/>
        <w:keepNext/>
      </w:pPr>
      <w:r>
        <w:t>19.4 Acceptance handoff</w:t>
      </w:r>
    </w:p>
    <w:p>
      <w:pPr>
        <w:spacing w:before="0" w:after="80" w:line="259" w:lineRule="auto"/>
      </w:pPr>
      <w:r>
        <w:t>The companion workbook is the executable implementation backlog. Teams should import Requirement ID and Test ID into product/QA tooling, assign every country-pack and release-checklist owner, and link each completion to source, code, configuration, test and approval evidence. A spreadsheet status change alone is not production authorization.</w:t>
      </w:r>
    </w:p>
    <w:p>
      <w:r>
        <w:br w:type="page"/>
      </w:r>
    </w:p>
    <w:p>
      <w:pPr>
        <w:pStyle w:val="Heading1"/>
        <w:keepNext/>
      </w:pPr>
      <w:r>
        <w:t>20. Detailed normative requirement catalog</w:t>
      </w:r>
    </w:p>
    <w:p>
      <w:pPr>
        <w:spacing w:before="0" w:after="80" w:line="259" w:lineRule="auto"/>
      </w:pPr>
      <w:r>
        <w:t>This chapter reproduces all 225 traceable requirements from the companion register. The normative sentence and failure behavior are mandatory for every applicable scope. Requirement and Test IDs are stable traceability keys; source IDs resolve in Appendix D.</w:t>
      </w:r>
    </w:p>
    <w:tbl>
      <w:tblPr>
        <w:tblW w:type="dxa" w:w="9504"/>
        <w:tblLayout w:type="fixed"/>
        <w:tblLook w:firstColumn="1" w:firstRow="1" w:lastColumn="0" w:lastRow="0" w:noHBand="0" w:noVBand="1" w:val="04A0"/>
        <w:tblBorders>
          <w:top w:val="single" w:sz="8" w:space="0" w:color="0F6B78"/>
          <w:left w:val="single" w:sz="8" w:space="0" w:color="0F6B78"/>
          <w:bottom w:val="single" w:sz="8" w:space="0" w:color="0F6B78"/>
          <w:right w:val="single" w:sz="8" w:space="0" w:color="0F6B78"/>
          <w:insideH w:val="single" w:sz="8" w:space="0" w:color="0F6B78"/>
          <w:insideV w:val="single" w:sz="8" w:space="0" w:color="0F6B78"/>
        </w:tblBorders>
        <w:jc w:val="left"/>
        <w:tblInd w:w="140" w:type="dxa"/>
      </w:tblPr>
      <w:tblGrid>
        <w:gridCol w:w="9504"/>
      </w:tblGrid>
      <w:tr>
        <w:trPr>
          <w:tblHeader w:val="true"/>
        </w:trPr>
        <w:tc>
          <w:tcPr>
            <w:tcW w:type="dxa" w:w="9504"/>
            <w:shd w:fill="0F6B78"/>
            <w:tcMar>
              <w:top w:w="90" w:type="dxa"/>
              <w:start w:w="140" w:type="dxa"/>
              <w:bottom w:w="90" w:type="dxa"/>
              <w:end w:w="140" w:type="dxa"/>
            </w:tcMar>
          </w:tcPr>
          <w:p>
            <w:pPr>
              <w:spacing w:before="0" w:after="0" w:line="240" w:lineRule="auto"/>
            </w:pPr>
            <w:r>
              <w:rPr>
                <w:rFonts w:ascii="Aptos Display" w:hAnsi="Aptos Display"/>
                <w:b/>
                <w:color w:val="FFFFFF"/>
                <w:sz w:val="20"/>
              </w:rPr>
              <w:t>Catalog interpretation</w:t>
            </w:r>
          </w:p>
        </w:tc>
      </w:tr>
      <w:tr>
        <w:tc>
          <w:tcPr>
            <w:tcW w:type="dxa" w:w="9504"/>
            <w:shd w:fill="DDF3F5"/>
            <w:tcMar>
              <w:top w:w="90" w:type="dxa"/>
              <w:start w:w="140" w:type="dxa"/>
              <w:bottom w:w="90" w:type="dxa"/>
              <w:end w:w="140" w:type="dxa"/>
            </w:tcMar>
          </w:tcPr>
          <w:p>
            <w:pPr>
              <w:spacing w:before="0" w:after="0" w:line="252" w:lineRule="auto"/>
            </w:pPr>
            <w:r>
              <w:rPr>
                <w:rFonts w:ascii="Aptos" w:hAnsi="Aptos"/>
                <w:color w:val="24313D"/>
                <w:sz w:val="18"/>
              </w:rPr>
              <w:t>A requirement can be satisfied by product code, governed configuration, partner contract, certified human workflow or warehouse SOP, but the release dossier must prove the implementation and test. If an applicable requirement cannot be proven, the capability remains blocked.</w:t>
            </w:r>
          </w:p>
        </w:tc>
      </w:tr>
    </w:tbl>
    <w:p>
      <w:pPr>
        <w:spacing w:after="0"/>
      </w:pPr>
    </w:p>
    <w:p>
      <w:pPr>
        <w:pStyle w:val="Heading2"/>
        <w:keepNext/>
      </w:pPr>
      <w:r>
        <w:t>20.1 Governance &amp; legal boundary (15 controls)</w:t>
      </w:r>
    </w:p>
    <w:p>
      <w:pPr>
        <w:pStyle w:val="ReqTitle"/>
        <w:keepNext/>
        <w:shd w:fill="DDF3F5"/>
      </w:pPr>
      <w:r>
        <w:rPr>
          <w:b/>
          <w:color w:val="16324F"/>
        </w:rPr>
        <w:t>GOV-001  •  Licensed-role boundary</w:t>
      </w:r>
      <w:r>
        <w:rPr>
          <w:b/>
          <w:color w:val="0F6B78"/>
          <w:sz w:val="15"/>
        </w:rPr>
        <w:t xml:space="preserve">   [MUST]</w:t>
      </w:r>
    </w:p>
    <w:p>
      <w:pPr>
        <w:keepNext/>
        <w:keepLines/>
        <w:spacing w:before="20" w:after="20" w:line="245" w:lineRule="auto"/>
        <w:ind w:left="115" w:right="72"/>
      </w:pPr>
      <w:r>
        <w:rPr>
          <w:rFonts w:ascii="Aptos" w:hAnsi="Aptos"/>
          <w:color w:val="24313D"/>
          <w:sz w:val="16"/>
        </w:rPr>
        <w:t>The platform SHALL identify the tenant as warehouse/fulfilment operator and SHALL NOT represent it as carrier, postal operator, customs broker, freight forwarder, importer/exporter of record, declarant, regulated agent, screening authority or competent authority unless a separately licensed role is explicitly configured and approved.</w:t>
      </w:r>
    </w:p>
    <w:p>
      <w:pPr>
        <w:keepLines/>
        <w:spacing w:before="0" w:after="60" w:line="240" w:lineRule="auto"/>
        <w:ind w:left="115" w:right="72"/>
      </w:pPr>
      <w:r>
        <w:rPr>
          <w:rFonts w:ascii="Aptos" w:hAnsi="Aptos"/>
          <w:color w:val="52616B"/>
          <w:sz w:val="14"/>
        </w:rPr>
        <w:t>Trigger: Tenant onboarding; role change  |  Inputs: Tenant legal entity, licences, operating countries, service contracts  |  Output: Permitted roles and prohibited actions  |  Approval: Platform compliance + tenant legal admin  |  On failure: Block regulated workflow  |  Evidence: Licence evidence, approval record, role history  |  Sources: SRC-CUS-003, SRC-CUS-006, SRC-CUS-007  |  Test: T-GOV-001</w:t>
      </w:r>
    </w:p>
    <w:p>
      <w:pPr>
        <w:pStyle w:val="ReqTitle"/>
        <w:keepNext/>
        <w:shd w:fill="DDF3F5"/>
      </w:pPr>
      <w:r>
        <w:rPr>
          <w:b/>
          <w:color w:val="16324F"/>
        </w:rPr>
        <w:t>GOV-002  •  No direct government filing</w:t>
      </w:r>
      <w:r>
        <w:rPr>
          <w:b/>
          <w:color w:val="0F6B78"/>
          <w:sz w:val="15"/>
        </w:rPr>
        <w:t xml:space="preserve">   [MUST]</w:t>
      </w:r>
    </w:p>
    <w:p>
      <w:pPr>
        <w:keepNext/>
        <w:keepLines/>
        <w:spacing w:before="20" w:after="20" w:line="245" w:lineRule="auto"/>
        <w:ind w:left="115" w:right="72"/>
      </w:pPr>
      <w:r>
        <w:rPr>
          <w:rFonts w:ascii="Aptos" w:hAnsi="Aptos"/>
          <w:color w:val="24313D"/>
          <w:sz w:val="16"/>
        </w:rPr>
        <w:t>The platform SHALL submit customs and government declaration data only through an approved carrier, postal operator or contracted filing-partner API. It SHALL not implement direct authority filing in this release.</w:t>
      </w:r>
    </w:p>
    <w:p>
      <w:pPr>
        <w:keepLines/>
        <w:spacing w:before="0" w:after="60" w:line="240" w:lineRule="auto"/>
        <w:ind w:left="115" w:right="72"/>
      </w:pPr>
      <w:r>
        <w:rPr>
          <w:rFonts w:ascii="Aptos" w:hAnsi="Aptos"/>
          <w:color w:val="52616B"/>
          <w:sz w:val="14"/>
        </w:rPr>
        <w:t>Trigger: Every filing request  |  Inputs: Lane, filing type, selected adapter, tenant contract  |  Output: Approved indirect filing route  |  Approval: Country-pack owner  |  On failure: Block shipment and identify missing filing route  |  Evidence: Adapter request/response, declaration identifier  |  Sources: SRC-CUS-003, SRC-CUS-006, SRC-CUS-007  |  Test: T-GOV-002</w:t>
      </w:r>
    </w:p>
    <w:p>
      <w:pPr>
        <w:pStyle w:val="ReqTitle"/>
        <w:keepNext/>
        <w:shd w:fill="DDF3F5"/>
      </w:pPr>
      <w:r>
        <w:rPr>
          <w:b/>
          <w:color w:val="16324F"/>
        </w:rPr>
        <w:t>GOV-003  •  Regulatory hierarchy</w:t>
      </w:r>
      <w:r>
        <w:rPr>
          <w:b/>
          <w:color w:val="0F6B78"/>
          <w:sz w:val="15"/>
        </w:rPr>
        <w:t xml:space="preserve">   [MUST]</w:t>
      </w:r>
    </w:p>
    <w:p>
      <w:pPr>
        <w:keepNext/>
        <w:keepLines/>
        <w:spacing w:before="20" w:after="20" w:line="245" w:lineRule="auto"/>
        <w:ind w:left="115" w:right="72"/>
      </w:pPr>
      <w:r>
        <w:rPr>
          <w:rFonts w:ascii="Aptos" w:hAnsi="Aptos"/>
          <w:color w:val="24313D"/>
          <w:sz w:val="16"/>
        </w:rPr>
        <w:t>The rule engine SHALL resolve applicable obligations in the order: law/authority instruction; treaty as implemented; origin/transit/destination country pack; carrier/operator/state variation; service contract; tenant permission; warehouse SOP. A stricter applicable rule wins unless legal counsel records a scoped override.</w:t>
      </w:r>
    </w:p>
    <w:p>
      <w:pPr>
        <w:keepLines/>
        <w:spacing w:before="0" w:after="60" w:line="240" w:lineRule="auto"/>
        <w:ind w:left="115" w:right="72"/>
      </w:pPr>
      <w:r>
        <w:rPr>
          <w:rFonts w:ascii="Aptos" w:hAnsi="Aptos"/>
          <w:color w:val="52616B"/>
          <w:sz w:val="14"/>
        </w:rPr>
        <w:t>Trigger: Every rule evaluation  |  Inputs: Jurisdictions, transport legs, carrier/service, commodity, tenant policy  |  Output: Resolved rule set with precedence trace  |  Approval: Automated; human review for conflict  |  On failure: Hold as RULE_CONFLICT  |  Evidence: All candidate rules and precedence explanation  |  Sources: SRC-CUS-003, SRC-CUS-006, SRC-CUS-007  |  Test: T-GOV-003</w:t>
      </w:r>
    </w:p>
    <w:p>
      <w:pPr>
        <w:pStyle w:val="ReqTitle"/>
        <w:keepNext/>
        <w:shd w:fill="DDF3F5"/>
      </w:pPr>
      <w:r>
        <w:rPr>
          <w:b/>
          <w:color w:val="16324F"/>
        </w:rPr>
        <w:t>GOV-004  •  Fail-closed default</w:t>
      </w:r>
      <w:r>
        <w:rPr>
          <w:b/>
          <w:color w:val="0F6B78"/>
          <w:sz w:val="15"/>
        </w:rPr>
        <w:t xml:space="preserve">   [MUST]</w:t>
      </w:r>
    </w:p>
    <w:p>
      <w:pPr>
        <w:keepNext/>
        <w:keepLines/>
        <w:spacing w:before="20" w:after="20" w:line="245" w:lineRule="auto"/>
        <w:ind w:left="115" w:right="72"/>
      </w:pPr>
      <w:r>
        <w:rPr>
          <w:rFonts w:ascii="Aptos" w:hAnsi="Aptos"/>
          <w:color w:val="24313D"/>
          <w:sz w:val="16"/>
        </w:rPr>
        <w:t>UNKNOWN, missing, stale, contradictory or unapproved regulatory data SHALL resolve to UNKNOWN_BLOCKED and may not be converted to allowed by a user without the designated approval workflow.</w:t>
      </w:r>
    </w:p>
    <w:p>
      <w:pPr>
        <w:keepLines/>
        <w:spacing w:before="0" w:after="60" w:line="240" w:lineRule="auto"/>
        <w:ind w:left="115" w:right="72"/>
      </w:pPr>
      <w:r>
        <w:rPr>
          <w:rFonts w:ascii="Aptos" w:hAnsi="Aptos"/>
          <w:color w:val="52616B"/>
          <w:sz w:val="14"/>
        </w:rPr>
        <w:t>Trigger: Any incomplete decision  |  Inputs: Rule versions, source freshness, approvals, input completeness  |  Output: UNKNOWN_BLOCKED plus remediation list  |  Approval: Certified reviewer; legal where required  |  On failure: No label/manifest/handover  |  Evidence: Decision trace, missing inputs, attempted overrides  |  Sources: SRC-CUS-003, SRC-CUS-006, SRC-CUS-007  |  Test: T-GOV-004</w:t>
      </w:r>
    </w:p>
    <w:p>
      <w:pPr>
        <w:pStyle w:val="ReqTitle"/>
        <w:keepNext/>
        <w:shd w:fill="DDF3F5"/>
      </w:pPr>
      <w:r>
        <w:rPr>
          <w:b/>
          <w:color w:val="16324F"/>
        </w:rPr>
        <w:t>GOV-005  •  Decision vocabulary</w:t>
      </w:r>
      <w:r>
        <w:rPr>
          <w:b/>
          <w:color w:val="0F6B78"/>
          <w:sz w:val="15"/>
        </w:rPr>
        <w:t xml:space="preserve">   [MUST]</w:t>
      </w:r>
    </w:p>
    <w:p>
      <w:pPr>
        <w:keepNext/>
        <w:keepLines/>
        <w:spacing w:before="20" w:after="20" w:line="245" w:lineRule="auto"/>
        <w:ind w:left="115" w:right="72"/>
      </w:pPr>
      <w:r>
        <w:rPr>
          <w:rFonts w:ascii="Aptos" w:hAnsi="Aptos"/>
          <w:color w:val="24313D"/>
          <w:sz w:val="16"/>
        </w:rPr>
        <w:t>All shipment eligibility decisions SHALL use ALLOWED, ALLOWED_WITH_CONDITIONS, MANUAL_CERTIFIED_REVIEW, EXTERNAL_APPROVAL_REQUIRED, BLOCKED or UNKNOWN_BLOCKED, with reason codes and machine-readable conditions.</w:t>
      </w:r>
    </w:p>
    <w:p>
      <w:pPr>
        <w:keepLines/>
        <w:spacing w:before="0" w:after="60" w:line="240" w:lineRule="auto"/>
        <w:ind w:left="115" w:right="72"/>
      </w:pPr>
      <w:r>
        <w:rPr>
          <w:rFonts w:ascii="Aptos" w:hAnsi="Aptos"/>
          <w:color w:val="52616B"/>
          <w:sz w:val="14"/>
        </w:rPr>
        <w:t>Trigger: Every decision service response  |  Inputs: Evaluation results  |  Output: Canonical status, reasons, conditions, expiry  |  Approval: Automated  |  On failure: Reject noncanonical results  |  Evidence: Immutable decision event  |  Sources: SRC-CUS-003, SRC-CUS-006, SRC-CUS-007  |  Test: T-GOV-005</w:t>
      </w:r>
    </w:p>
    <w:p>
      <w:pPr>
        <w:pStyle w:val="ReqTitle"/>
        <w:keepNext/>
        <w:shd w:fill="DDF3F5"/>
      </w:pPr>
      <w:r>
        <w:rPr>
          <w:b/>
          <w:color w:val="16324F"/>
        </w:rPr>
        <w:t>GOV-006  •  Effective dating</w:t>
      </w:r>
      <w:r>
        <w:rPr>
          <w:b/>
          <w:color w:val="0F6B78"/>
          <w:sz w:val="15"/>
        </w:rPr>
        <w:t xml:space="preserve">   [MUST]</w:t>
      </w:r>
    </w:p>
    <w:p>
      <w:pPr>
        <w:keepNext/>
        <w:keepLines/>
        <w:spacing w:before="20" w:after="20" w:line="245" w:lineRule="auto"/>
        <w:ind w:left="115" w:right="72"/>
      </w:pPr>
      <w:r>
        <w:rPr>
          <w:rFonts w:ascii="Aptos" w:hAnsi="Aptos"/>
          <w:color w:val="24313D"/>
          <w:sz w:val="16"/>
        </w:rPr>
        <w:t>Every regulatory rule, tariff/tax parameter, carrier capability, document schema and reference list SHALL have effective-from, effective-to, publication, ingestion and approval timestamps; evaluation SHALL use the shipment decision time and planned movement time.</w:t>
      </w:r>
    </w:p>
    <w:p>
      <w:pPr>
        <w:keepLines/>
        <w:spacing w:before="0" w:after="60" w:line="240" w:lineRule="auto"/>
        <w:ind w:left="115" w:right="72"/>
      </w:pPr>
      <w:r>
        <w:rPr>
          <w:rFonts w:ascii="Aptos" w:hAnsi="Aptos"/>
          <w:color w:val="52616B"/>
          <w:sz w:val="14"/>
        </w:rPr>
        <w:t>Trigger: Rule ingestion and shipment evaluation  |  Inputs: Dates, time zones, source version  |  Output: Exact applicable version  |  Approval: Rule publisher + approver  |  On failure: Block if period ambiguous  |  Evidence: Versioned artifact and temporal query  |  Sources: SRC-CUS-003, SRC-CUS-006, SRC-CUS-007  |  Test: T-GOV-006</w:t>
      </w:r>
    </w:p>
    <w:p>
      <w:pPr>
        <w:pStyle w:val="ReqTitle"/>
        <w:keepNext/>
        <w:shd w:fill="DDF3F5"/>
      </w:pPr>
      <w:r>
        <w:rPr>
          <w:b/>
          <w:color w:val="16324F"/>
        </w:rPr>
        <w:t>GOV-007  •  Prospective change handling</w:t>
      </w:r>
      <w:r>
        <w:rPr>
          <w:b/>
          <w:color w:val="0F6B78"/>
          <w:sz w:val="15"/>
        </w:rPr>
        <w:t xml:space="preserve">   [MUST]</w:t>
      </w:r>
    </w:p>
    <w:p>
      <w:pPr>
        <w:keepNext/>
        <w:keepLines/>
        <w:spacing w:before="20" w:after="20" w:line="245" w:lineRule="auto"/>
        <w:ind w:left="115" w:right="72"/>
      </w:pPr>
      <w:r>
        <w:rPr>
          <w:rFonts w:ascii="Aptos" w:hAnsi="Aptos"/>
          <w:color w:val="24313D"/>
          <w:sz w:val="16"/>
        </w:rPr>
        <w:t>Published future rules SHALL be stored separately from current rules and SHALL not execute before their legal effective time. Test environments SHALL support future-date simulation.</w:t>
      </w:r>
    </w:p>
    <w:p>
      <w:pPr>
        <w:keepLines/>
        <w:spacing w:before="0" w:after="60" w:line="240" w:lineRule="auto"/>
        <w:ind w:left="115" w:right="72"/>
      </w:pPr>
      <w:r>
        <w:rPr>
          <w:rFonts w:ascii="Aptos" w:hAnsi="Aptos"/>
          <w:color w:val="52616B"/>
          <w:sz w:val="14"/>
        </w:rPr>
        <w:t>Trigger: Future rule publication  |  Inputs: Publication, commencement conditions, transition dates  |  Output: Scheduled version and impact report  |  Approval: Country-pack owner  |  On failure: Keep current rule active; alert owner  |  Evidence: Change record, simulation results  |  Sources: SRC-CUS-003, SRC-CUS-006, SRC-CUS-007  |  Test: T-GOV-007</w:t>
      </w:r>
    </w:p>
    <w:p>
      <w:pPr>
        <w:pStyle w:val="ReqTitle"/>
        <w:keepNext/>
        <w:shd w:fill="DDF3F5"/>
      </w:pPr>
      <w:r>
        <w:rPr>
          <w:b/>
          <w:color w:val="16324F"/>
        </w:rPr>
        <w:t>GOV-008  •  Source provenance</w:t>
      </w:r>
      <w:r>
        <w:rPr>
          <w:b/>
          <w:color w:val="0F6B78"/>
          <w:sz w:val="15"/>
        </w:rPr>
        <w:t xml:space="preserve">   [MUST]</w:t>
      </w:r>
    </w:p>
    <w:p>
      <w:pPr>
        <w:keepNext/>
        <w:keepLines/>
        <w:spacing w:before="20" w:after="20" w:line="245" w:lineRule="auto"/>
        <w:ind w:left="115" w:right="72"/>
      </w:pPr>
      <w:r>
        <w:rPr>
          <w:rFonts w:ascii="Aptos" w:hAnsi="Aptos"/>
          <w:color w:val="24313D"/>
          <w:sz w:val="16"/>
        </w:rPr>
        <w:t>Every executable rule SHALL cite an authoritative source URL or licensed source identifier, exact provision/page where available, jurisdiction, language, translation status and retrieval checksum.</w:t>
      </w:r>
    </w:p>
    <w:p>
      <w:pPr>
        <w:keepLines/>
        <w:spacing w:before="0" w:after="60" w:line="240" w:lineRule="auto"/>
        <w:ind w:left="115" w:right="72"/>
      </w:pPr>
      <w:r>
        <w:rPr>
          <w:rFonts w:ascii="Aptos" w:hAnsi="Aptos"/>
          <w:color w:val="52616B"/>
          <w:sz w:val="14"/>
        </w:rPr>
        <w:t>Trigger: Rule creation/update  |  Inputs: Source document, citation, checksum  |  Output: Traceable rule provenance  |  Approval: Four-eyes approval  |  On failure: Do not publish uncited rule  |  Evidence: Source snapshot metadata and approval  |  Sources: SRC-CUS-003, SRC-CUS-006, SRC-CUS-007  |  Test: T-GOV-008</w:t>
      </w:r>
    </w:p>
    <w:p>
      <w:pPr>
        <w:pStyle w:val="ReqTitle"/>
        <w:keepNext/>
        <w:shd w:fill="DDF3F5"/>
      </w:pPr>
      <w:r>
        <w:rPr>
          <w:b/>
          <w:color w:val="16324F"/>
        </w:rPr>
        <w:t>GOV-009  •  Source freshness</w:t>
      </w:r>
      <w:r>
        <w:rPr>
          <w:b/>
          <w:color w:val="0F6B78"/>
          <w:sz w:val="15"/>
        </w:rPr>
        <w:t xml:space="preserve">   [MUST]</w:t>
      </w:r>
    </w:p>
    <w:p>
      <w:pPr>
        <w:keepNext/>
        <w:keepLines/>
        <w:spacing w:before="20" w:after="20" w:line="245" w:lineRule="auto"/>
        <w:ind w:left="115" w:right="72"/>
      </w:pPr>
      <w:r>
        <w:rPr>
          <w:rFonts w:ascii="Aptos" w:hAnsi="Aptos"/>
          <w:color w:val="24313D"/>
          <w:sz w:val="16"/>
        </w:rPr>
        <w:t>Each source SHALL have a risk-based review cadence. Expired critical sources, failed list ingestion or unresolved change notices SHALL disable affected decisions.</w:t>
      </w:r>
    </w:p>
    <w:p>
      <w:pPr>
        <w:keepLines/>
        <w:spacing w:before="0" w:after="60" w:line="240" w:lineRule="auto"/>
        <w:ind w:left="115" w:right="72"/>
      </w:pPr>
      <w:r>
        <w:rPr>
          <w:rFonts w:ascii="Aptos" w:hAnsi="Aptos"/>
          <w:color w:val="52616B"/>
          <w:sz w:val="14"/>
        </w:rPr>
        <w:t>Trigger: Scheduled control; inbound feed failure  |  Inputs: Next-review date, feed health, scope  |  Output: Source health and affected capability status  |  Approval: Automated; owner remediation  |  On failure: UNKNOWN_BLOCKED for affected scope  |  Evidence: Health event, alert, restoration approval  |  Sources: SRC-CUS-003, SRC-CUS-006, SRC-CUS-007  |  Test: T-GOV-009</w:t>
      </w:r>
    </w:p>
    <w:p>
      <w:pPr>
        <w:pStyle w:val="ReqTitle"/>
        <w:keepNext/>
        <w:shd w:fill="DDF3F5"/>
      </w:pPr>
      <w:r>
        <w:rPr>
          <w:b/>
          <w:color w:val="16324F"/>
        </w:rPr>
        <w:t>GOV-010  •  Four-eyes publication</w:t>
      </w:r>
      <w:r>
        <w:rPr>
          <w:b/>
          <w:color w:val="0F6B78"/>
          <w:sz w:val="15"/>
        </w:rPr>
        <w:t xml:space="preserve">   [MUST]</w:t>
      </w:r>
    </w:p>
    <w:p>
      <w:pPr>
        <w:keepNext/>
        <w:keepLines/>
        <w:spacing w:before="20" w:after="20" w:line="245" w:lineRule="auto"/>
        <w:ind w:left="115" w:right="72"/>
      </w:pPr>
      <w:r>
        <w:rPr>
          <w:rFonts w:ascii="Aptos" w:hAnsi="Aptos"/>
          <w:color w:val="24313D"/>
          <w:sz w:val="16"/>
        </w:rPr>
        <w:t>A person who authors or imports a production rule SHALL not be the sole approver. High-risk rules require compliance/legal approval and successful regression tests.</w:t>
      </w:r>
    </w:p>
    <w:p>
      <w:pPr>
        <w:keepLines/>
        <w:spacing w:before="0" w:after="60" w:line="240" w:lineRule="auto"/>
        <w:ind w:left="115" w:right="72"/>
      </w:pPr>
      <w:r>
        <w:rPr>
          <w:rFonts w:ascii="Aptos" w:hAnsi="Aptos"/>
          <w:color w:val="52616B"/>
          <w:sz w:val="14"/>
        </w:rPr>
        <w:t>Trigger: Rule publication  |  Inputs: Author, approvers, risk tier, tests  |  Output: Published or rejected version  |  Approval: Independent approver  |  On failure: Remain draft  |  Evidence: Signatures, diff, tests, release ticket  |  Sources: SRC-CUS-003, SRC-CUS-006, SRC-CUS-007  |  Test: T-GOV-010</w:t>
      </w:r>
    </w:p>
    <w:p>
      <w:pPr>
        <w:pStyle w:val="ReqTitle"/>
        <w:keepNext/>
        <w:shd w:fill="DDF3F5"/>
      </w:pPr>
      <w:r>
        <w:rPr>
          <w:b/>
          <w:color w:val="16324F"/>
        </w:rPr>
        <w:t>GOV-011  •  Tenant rule overlay</w:t>
      </w:r>
      <w:r>
        <w:rPr>
          <w:b/>
          <w:color w:val="0F6B78"/>
          <w:sz w:val="15"/>
        </w:rPr>
        <w:t xml:space="preserve">   [MUST]</w:t>
      </w:r>
    </w:p>
    <w:p>
      <w:pPr>
        <w:keepNext/>
        <w:keepLines/>
        <w:spacing w:before="20" w:after="20" w:line="245" w:lineRule="auto"/>
        <w:ind w:left="115" w:right="72"/>
      </w:pPr>
      <w:r>
        <w:rPr>
          <w:rFonts w:ascii="Aptos" w:hAnsi="Aptos"/>
          <w:color w:val="24313D"/>
          <w:sz w:val="16"/>
        </w:rPr>
        <w:t>Tenant permissions MAY narrow platform eligibility but SHALL never broaden a legal, authority, carrier or licensed-rule prohibition.</w:t>
      </w:r>
    </w:p>
    <w:p>
      <w:pPr>
        <w:keepLines/>
        <w:spacing w:before="0" w:after="60" w:line="240" w:lineRule="auto"/>
        <w:ind w:left="115" w:right="72"/>
      </w:pPr>
      <w:r>
        <w:rPr>
          <w:rFonts w:ascii="Aptos" w:hAnsi="Aptos"/>
          <w:color w:val="52616B"/>
          <w:sz w:val="14"/>
        </w:rPr>
        <w:t>Trigger: Tenant configuration  |  Inputs: Base decision, tenant allow/deny list  |  Output: Equal or stricter result  |  Approval: Tenant compliance admin  |  On failure: Reject broadening override  |  Evidence: Overlay diff and actor  |  Sources: SRC-CUS-003, SRC-CUS-006, SRC-CUS-007  |  Test: T-GOV-011</w:t>
      </w:r>
    </w:p>
    <w:p>
      <w:pPr>
        <w:pStyle w:val="ReqTitle"/>
        <w:keepNext/>
        <w:shd w:fill="DDF3F5"/>
      </w:pPr>
      <w:r>
        <w:rPr>
          <w:b/>
          <w:color w:val="16324F"/>
        </w:rPr>
        <w:t>GOV-012  •  Reproducible decisions</w:t>
      </w:r>
      <w:r>
        <w:rPr>
          <w:b/>
          <w:color w:val="0F6B78"/>
          <w:sz w:val="15"/>
        </w:rPr>
        <w:t xml:space="preserve">   [MUST]</w:t>
      </w:r>
    </w:p>
    <w:p>
      <w:pPr>
        <w:keepNext/>
        <w:keepLines/>
        <w:spacing w:before="20" w:after="20" w:line="245" w:lineRule="auto"/>
        <w:ind w:left="115" w:right="72"/>
      </w:pPr>
      <w:r>
        <w:rPr>
          <w:rFonts w:ascii="Aptos" w:hAnsi="Aptos"/>
          <w:color w:val="24313D"/>
          <w:sz w:val="16"/>
        </w:rPr>
        <w:t>The system SHALL persist sufficient inputs and versions to reproduce any eligibility, screening, rating, document and filing decision after the fact.</w:t>
      </w:r>
    </w:p>
    <w:p>
      <w:pPr>
        <w:keepLines/>
        <w:spacing w:before="0" w:after="60" w:line="240" w:lineRule="auto"/>
        <w:ind w:left="115" w:right="72"/>
      </w:pPr>
      <w:r>
        <w:rPr>
          <w:rFonts w:ascii="Aptos" w:hAnsi="Aptos"/>
          <w:color w:val="52616B"/>
          <w:sz w:val="14"/>
        </w:rPr>
        <w:t>Trigger: Every decision  |  Inputs: Canonical request, referenced versions, time, actor  |  Output: Replay bundle  |  Approval: Automated  |  On failure: Hold if persistence fails  |  Evidence: Hash-linked audit bundle  |  Sources: SRC-CUS-003, SRC-CUS-006, SRC-CUS-007  |  Test: T-GOV-012</w:t>
      </w:r>
    </w:p>
    <w:p>
      <w:pPr>
        <w:pStyle w:val="ReqTitle"/>
        <w:keepNext/>
        <w:shd w:fill="DDF3F5"/>
      </w:pPr>
      <w:r>
        <w:rPr>
          <w:b/>
          <w:color w:val="16324F"/>
        </w:rPr>
        <w:t>GOV-013  •  Legal disclaimer and responsibility</w:t>
      </w:r>
      <w:r>
        <w:rPr>
          <w:b/>
          <w:color w:val="0F6B78"/>
          <w:sz w:val="15"/>
        </w:rPr>
        <w:t xml:space="preserve">   [MUST]</w:t>
      </w:r>
    </w:p>
    <w:p>
      <w:pPr>
        <w:keepNext/>
        <w:keepLines/>
        <w:spacing w:before="20" w:after="20" w:line="245" w:lineRule="auto"/>
        <w:ind w:left="115" w:right="72"/>
      </w:pPr>
      <w:r>
        <w:rPr>
          <w:rFonts w:ascii="Aptos" w:hAnsi="Aptos"/>
          <w:color w:val="24313D"/>
          <w:sz w:val="16"/>
        </w:rPr>
        <w:t>User interfaces and exports SHALL state that software supports compliance decisions but does not replace competent authority, carrier, broker, certified DG professional or legal advice; responsibility fields SHALL name the approving party.</w:t>
      </w:r>
    </w:p>
    <w:p>
      <w:pPr>
        <w:keepLines/>
        <w:spacing w:before="0" w:after="60" w:line="240" w:lineRule="auto"/>
        <w:ind w:left="115" w:right="72"/>
      </w:pPr>
      <w:r>
        <w:rPr>
          <w:rFonts w:ascii="Aptos" w:hAnsi="Aptos"/>
          <w:color w:val="52616B"/>
          <w:sz w:val="14"/>
        </w:rPr>
        <w:t>Trigger: Relevant screen/document  |  Inputs: Shipment roles and approvers  |  Output: Responsibility statement and named party  |  Approval: Product legal  |  On failure: Prevent regulated release if approver absent  |  Evidence: Rendered statement and acceptance  |  Sources: SRC-CUS-003, SRC-CUS-006, SRC-CUS-007  |  Test: T-GOV-013</w:t>
      </w:r>
    </w:p>
    <w:p>
      <w:pPr>
        <w:pStyle w:val="ReqTitle"/>
        <w:keepNext/>
        <w:shd w:fill="DDF3F5"/>
      </w:pPr>
      <w:r>
        <w:rPr>
          <w:b/>
          <w:color w:val="16324F"/>
        </w:rPr>
        <w:t>GOV-014  •  Jurisdiction nexus capture</w:t>
      </w:r>
      <w:r>
        <w:rPr>
          <w:b/>
          <w:color w:val="0F6B78"/>
          <w:sz w:val="15"/>
        </w:rPr>
        <w:t xml:space="preserve">   [MUST]</w:t>
      </w:r>
    </w:p>
    <w:p>
      <w:pPr>
        <w:keepNext/>
        <w:keepLines/>
        <w:spacing w:before="20" w:after="20" w:line="245" w:lineRule="auto"/>
        <w:ind w:left="115" w:right="72"/>
      </w:pPr>
      <w:r>
        <w:rPr>
          <w:rFonts w:ascii="Aptos" w:hAnsi="Aptos"/>
          <w:color w:val="24313D"/>
          <w:sz w:val="16"/>
        </w:rPr>
        <w:t>Rules SHALL be evaluated for origin, export, transit, overflight/security, destination/import, parties, currencies, banks, goods origin, technology origin and tenant hosting/establishment nexuses where applicable.</w:t>
      </w:r>
    </w:p>
    <w:p>
      <w:pPr>
        <w:keepLines/>
        <w:spacing w:before="0" w:after="60" w:line="240" w:lineRule="auto"/>
        <w:ind w:left="115" w:right="72"/>
      </w:pPr>
      <w:r>
        <w:rPr>
          <w:rFonts w:ascii="Aptos" w:hAnsi="Aptos"/>
          <w:color w:val="52616B"/>
          <w:sz w:val="14"/>
        </w:rPr>
        <w:t>Trigger: Shipment create/update  |  Inputs: All places, parties, legs, goods origins, currencies, tenant establishments  |  Output: Nexus set  |  Approval: Automated; review if ambiguous  |  On failure: UNKNOWN_BLOCKED  |  Evidence: Nexus trace  |  Sources: SRC-CUS-003, SRC-CUS-006, SRC-CUS-007  |  Test: T-GOV-014</w:t>
      </w:r>
    </w:p>
    <w:p>
      <w:pPr>
        <w:pStyle w:val="ReqTitle"/>
        <w:keepNext/>
        <w:shd w:fill="DDF3F5"/>
      </w:pPr>
      <w:r>
        <w:rPr>
          <w:b/>
          <w:color w:val="16324F"/>
        </w:rPr>
        <w:t>GOV-015  •  Country-pack release gate</w:t>
      </w:r>
      <w:r>
        <w:rPr>
          <w:b/>
          <w:color w:val="0F6B78"/>
          <w:sz w:val="15"/>
        </w:rPr>
        <w:t xml:space="preserve">   [MUST]</w:t>
      </w:r>
    </w:p>
    <w:p>
      <w:pPr>
        <w:keepNext/>
        <w:keepLines/>
        <w:spacing w:before="20" w:after="20" w:line="245" w:lineRule="auto"/>
        <w:ind w:left="115" w:right="72"/>
      </w:pPr>
      <w:r>
        <w:rPr>
          <w:rFonts w:ascii="Aptos" w:hAnsi="Aptos"/>
          <w:color w:val="24313D"/>
          <w:sz w:val="16"/>
        </w:rPr>
        <w:t>A country/territory SHALL be production-enabled only when inbound, outbound, postal, parcel and air capabilities are individually approved for the exact supported scope.</w:t>
      </w:r>
    </w:p>
    <w:p>
      <w:pPr>
        <w:keepLines/>
        <w:spacing w:before="0" w:after="60" w:line="240" w:lineRule="auto"/>
        <w:ind w:left="115" w:right="72"/>
      </w:pPr>
      <w:r>
        <w:rPr>
          <w:rFonts w:ascii="Aptos" w:hAnsi="Aptos"/>
          <w:color w:val="52616B"/>
          <w:sz w:val="14"/>
        </w:rPr>
        <w:t>Trigger: Pack activation  |  Inputs: Pack checklist and regression suite  |  Output: Capability-level enablement flags  |  Approval: Country-pack owner + legal/compliance  |  On failure: Keep flag false  |  Evidence: Signed release record  |  Sources: SRC-CUS-003, SRC-CUS-006, SRC-CUS-007  |  Test: T-GOV-015</w:t>
      </w:r>
    </w:p>
    <w:p>
      <w:pPr>
        <w:pStyle w:val="Heading2"/>
        <w:keepNext/>
      </w:pPr>
      <w:r>
        <w:t>20.2 Tenant, identity &amp; access (12 controls)</w:t>
      </w:r>
    </w:p>
    <w:p>
      <w:pPr>
        <w:pStyle w:val="ReqTitle"/>
        <w:keepNext/>
        <w:shd w:fill="DDF3F5"/>
      </w:pPr>
      <w:r>
        <w:rPr>
          <w:b/>
          <w:color w:val="16324F"/>
        </w:rPr>
        <w:t>TEN-001  •  Tenant isolation</w:t>
      </w:r>
      <w:r>
        <w:rPr>
          <w:b/>
          <w:color w:val="0F6B78"/>
          <w:sz w:val="15"/>
        </w:rPr>
        <w:t xml:space="preserve">   [MUST]</w:t>
      </w:r>
    </w:p>
    <w:p>
      <w:pPr>
        <w:keepNext/>
        <w:keepLines/>
        <w:spacing w:before="20" w:after="20" w:line="245" w:lineRule="auto"/>
        <w:ind w:left="115" w:right="72"/>
      </w:pPr>
      <w:r>
        <w:rPr>
          <w:rFonts w:ascii="Aptos" w:hAnsi="Aptos"/>
          <w:color w:val="24313D"/>
          <w:sz w:val="16"/>
        </w:rPr>
        <w:t>Data, cryptographic keys, carrier credentials, rules, rates, documents, exports, logs and search indexes SHALL be logically isolated by tenant; privileged support access SHALL be time-bound, approved and recorded.</w:t>
      </w:r>
    </w:p>
    <w:p>
      <w:pPr>
        <w:keepLines/>
        <w:spacing w:before="0" w:after="60" w:line="240" w:lineRule="auto"/>
        <w:ind w:left="115" w:right="72"/>
      </w:pPr>
      <w:r>
        <w:rPr>
          <w:rFonts w:ascii="Aptos" w:hAnsi="Aptos"/>
          <w:color w:val="52616B"/>
          <w:sz w:val="14"/>
        </w:rPr>
        <w:t>Trigger: Every request and background job  |  Inputs: Tenant ID, actor, resource owner  |  Output: Authorized access only  |  Approval: Automated + security admin for support  |  On failure: Deny and alert  |  Evidence: Access decision and support-session log  |  Sources: SRC-PRV-002, SRC-CUS-002  |  Test: T-TEN-001</w:t>
      </w:r>
    </w:p>
    <w:p>
      <w:pPr>
        <w:pStyle w:val="ReqTitle"/>
        <w:keepNext/>
        <w:shd w:fill="DDF3F5"/>
      </w:pPr>
      <w:r>
        <w:rPr>
          <w:b/>
          <w:color w:val="16324F"/>
        </w:rPr>
        <w:t>TEN-002  •  Tenant legal entity/KYB</w:t>
      </w:r>
      <w:r>
        <w:rPr>
          <w:b/>
          <w:color w:val="0F6B78"/>
          <w:sz w:val="15"/>
        </w:rPr>
        <w:t xml:space="preserve">   [MUST]</w:t>
      </w:r>
    </w:p>
    <w:p>
      <w:pPr>
        <w:keepNext/>
        <w:keepLines/>
        <w:spacing w:before="20" w:after="20" w:line="245" w:lineRule="auto"/>
        <w:ind w:left="115" w:right="72"/>
      </w:pPr>
      <w:r>
        <w:rPr>
          <w:rFonts w:ascii="Aptos" w:hAnsi="Aptos"/>
          <w:color w:val="24313D"/>
          <w:sz w:val="16"/>
        </w:rPr>
        <w:t>Before activation, the platform SHALL verify the contracting legal entity, registered address, tax identifiers, beneficial ownership where required, authorized administrators and operating sites.</w:t>
      </w:r>
    </w:p>
    <w:p>
      <w:pPr>
        <w:keepLines/>
        <w:spacing w:before="0" w:after="60" w:line="240" w:lineRule="auto"/>
        <w:ind w:left="115" w:right="72"/>
      </w:pPr>
      <w:r>
        <w:rPr>
          <w:rFonts w:ascii="Aptos" w:hAnsi="Aptos"/>
          <w:color w:val="52616B"/>
          <w:sz w:val="14"/>
        </w:rPr>
        <w:t>Trigger: Tenant onboarding/change  |  Inputs: Corporate records, identifiers, admins, sites  |  Output: Verified/suspended tenant status  |  Approval: SaaS compliance  |  On failure: No production credentials  |  Evidence: KYB evidence and review  |  Sources: SRC-PRV-002, SRC-CUS-002  |  Test: T-TEN-002</w:t>
      </w:r>
    </w:p>
    <w:p>
      <w:pPr>
        <w:pStyle w:val="ReqTitle"/>
        <w:keepNext/>
        <w:shd w:fill="DDF3F5"/>
      </w:pPr>
      <w:r>
        <w:rPr>
          <w:b/>
          <w:color w:val="16324F"/>
        </w:rPr>
        <w:t>TEN-003  •  Warehouse site authorization</w:t>
      </w:r>
      <w:r>
        <w:rPr>
          <w:b/>
          <w:color w:val="0F6B78"/>
          <w:sz w:val="15"/>
        </w:rPr>
        <w:t xml:space="preserve">   [MUST]</w:t>
      </w:r>
    </w:p>
    <w:p>
      <w:pPr>
        <w:keepNext/>
        <w:keepLines/>
        <w:spacing w:before="20" w:after="20" w:line="245" w:lineRule="auto"/>
        <w:ind w:left="115" w:right="72"/>
      </w:pPr>
      <w:r>
        <w:rPr>
          <w:rFonts w:ascii="Aptos" w:hAnsi="Aptos"/>
          <w:color w:val="24313D"/>
          <w:sz w:val="16"/>
        </w:rPr>
        <w:t>Each origin site SHALL record legal operator, address, country pack, security programs, commodity permissions, storage zones, licences/certificates and carrier pickup accounts.</w:t>
      </w:r>
    </w:p>
    <w:p>
      <w:pPr>
        <w:keepLines/>
        <w:spacing w:before="0" w:after="60" w:line="240" w:lineRule="auto"/>
        <w:ind w:left="115" w:right="72"/>
      </w:pPr>
      <w:r>
        <w:rPr>
          <w:rFonts w:ascii="Aptos" w:hAnsi="Aptos"/>
          <w:color w:val="52616B"/>
          <w:sz w:val="14"/>
        </w:rPr>
        <w:t>Trigger: Site onboarding/change  |  Inputs: Site and licence data  |  Output: Enabled capabilities per site  |  Approval: Tenant compliance + platform review  |  On failure: Block origin selection  |  Evidence: Site dossier  |  Sources: SRC-PRV-002, SRC-CUS-002  |  Test: T-TEN-003</w:t>
      </w:r>
    </w:p>
    <w:p>
      <w:pPr>
        <w:pStyle w:val="ReqTitle"/>
        <w:keepNext/>
        <w:shd w:fill="DDF3F5"/>
      </w:pPr>
      <w:r>
        <w:rPr>
          <w:b/>
          <w:color w:val="16324F"/>
        </w:rPr>
        <w:t>TEN-004  •  Role-based access control</w:t>
      </w:r>
      <w:r>
        <w:rPr>
          <w:b/>
          <w:color w:val="0F6B78"/>
          <w:sz w:val="15"/>
        </w:rPr>
        <w:t xml:space="preserve">   [MUST]</w:t>
      </w:r>
    </w:p>
    <w:p>
      <w:pPr>
        <w:keepNext/>
        <w:keepLines/>
        <w:spacing w:before="20" w:after="20" w:line="245" w:lineRule="auto"/>
        <w:ind w:left="115" w:right="72"/>
      </w:pPr>
      <w:r>
        <w:rPr>
          <w:rFonts w:ascii="Aptos" w:hAnsi="Aptos"/>
          <w:color w:val="24313D"/>
          <w:sz w:val="16"/>
        </w:rPr>
        <w:t>Least-privilege roles SHALL separate order entry, classification, screening review, DG review, warehouse release, rule administration, billing and audit access.</w:t>
      </w:r>
    </w:p>
    <w:p>
      <w:pPr>
        <w:keepLines/>
        <w:spacing w:before="0" w:after="60" w:line="240" w:lineRule="auto"/>
        <w:ind w:left="115" w:right="72"/>
      </w:pPr>
      <w:r>
        <w:rPr>
          <w:rFonts w:ascii="Aptos" w:hAnsi="Aptos"/>
          <w:color w:val="52616B"/>
          <w:sz w:val="14"/>
        </w:rPr>
        <w:t>Trigger: User/role change; action  |  Inputs: Actor, tenant, role grants  |  Output: Permit/deny  |  Approval: Tenant admin within policy  |  On failure: Deny  |  Evidence: Authorization event  |  Sources: SRC-PRV-002, SRC-CUS-002  |  Test: T-TEN-004</w:t>
      </w:r>
    </w:p>
    <w:p>
      <w:pPr>
        <w:pStyle w:val="ReqTitle"/>
        <w:keepNext/>
        <w:shd w:fill="DDF3F5"/>
      </w:pPr>
      <w:r>
        <w:rPr>
          <w:b/>
          <w:color w:val="16324F"/>
        </w:rPr>
        <w:t>TEN-005  •  Segregation of duties</w:t>
      </w:r>
      <w:r>
        <w:rPr>
          <w:b/>
          <w:color w:val="0F6B78"/>
          <w:sz w:val="15"/>
        </w:rPr>
        <w:t xml:space="preserve">   [MUST]</w:t>
      </w:r>
    </w:p>
    <w:p>
      <w:pPr>
        <w:keepNext/>
        <w:keepLines/>
        <w:spacing w:before="20" w:after="20" w:line="245" w:lineRule="auto"/>
        <w:ind w:left="115" w:right="72"/>
      </w:pPr>
      <w:r>
        <w:rPr>
          <w:rFonts w:ascii="Aptos" w:hAnsi="Aptos"/>
          <w:color w:val="24313D"/>
          <w:sz w:val="16"/>
        </w:rPr>
        <w:t>No user SHALL both create and finally approve the same high-risk classification, sanctions match disposition, DG declaration, country-pack rule or manual shipment release.</w:t>
      </w:r>
    </w:p>
    <w:p>
      <w:pPr>
        <w:keepLines/>
        <w:spacing w:before="0" w:after="60" w:line="240" w:lineRule="auto"/>
        <w:ind w:left="115" w:right="72"/>
      </w:pPr>
      <w:r>
        <w:rPr>
          <w:rFonts w:ascii="Aptos" w:hAnsi="Aptos"/>
          <w:color w:val="52616B"/>
          <w:sz w:val="14"/>
        </w:rPr>
        <w:t>Trigger: Approval action  |  Inputs: Creator, approver, object risk  |  Output: Approval allowed/denied  |  Approval: Automated  |  On failure: Deny approval  |  Evidence: Approval chain  |  Sources: SRC-PRV-002, SRC-CUS-002  |  Test: T-TEN-005</w:t>
      </w:r>
    </w:p>
    <w:p>
      <w:pPr>
        <w:pStyle w:val="ReqTitle"/>
        <w:keepNext/>
        <w:shd w:fill="DDF3F5"/>
      </w:pPr>
      <w:r>
        <w:rPr>
          <w:b/>
          <w:color w:val="16324F"/>
        </w:rPr>
        <w:t>TEN-006  •  Certified reviewer registry</w:t>
      </w:r>
      <w:r>
        <w:rPr>
          <w:b/>
          <w:color w:val="0F6B78"/>
          <w:sz w:val="15"/>
        </w:rPr>
        <w:t xml:space="preserve">   [MUST]</w:t>
      </w:r>
    </w:p>
    <w:p>
      <w:pPr>
        <w:keepNext/>
        <w:keepLines/>
        <w:spacing w:before="20" w:after="20" w:line="245" w:lineRule="auto"/>
        <w:ind w:left="115" w:right="72"/>
      </w:pPr>
      <w:r>
        <w:rPr>
          <w:rFonts w:ascii="Aptos" w:hAnsi="Aptos"/>
          <w:color w:val="24313D"/>
          <w:sz w:val="16"/>
        </w:rPr>
        <w:t>Reviewer profiles SHALL capture certification type, issuer, number, scope, issue/expiry dates, countries/modes/commodities authorized and suspension status.</w:t>
      </w:r>
    </w:p>
    <w:p>
      <w:pPr>
        <w:keepLines/>
        <w:spacing w:before="0" w:after="60" w:line="240" w:lineRule="auto"/>
        <w:ind w:left="115" w:right="72"/>
      </w:pPr>
      <w:r>
        <w:rPr>
          <w:rFonts w:ascii="Aptos" w:hAnsi="Aptos"/>
          <w:color w:val="52616B"/>
          <w:sz w:val="14"/>
        </w:rPr>
        <w:t>Trigger: Reviewer assignment  |  Inputs: Reviewer credential and shipment scope  |  Output: Eligible reviewer list  |  Approval: Tenant compliance  |  On failure: No assignment; hold  |  Evidence: Credential snapshot  |  Sources: SRC-PRV-002, SRC-CUS-002  |  Test: T-TEN-006</w:t>
      </w:r>
    </w:p>
    <w:p>
      <w:pPr>
        <w:pStyle w:val="ReqTitle"/>
        <w:keepNext/>
        <w:shd w:fill="DDF3F5"/>
      </w:pPr>
      <w:r>
        <w:rPr>
          <w:b/>
          <w:color w:val="16324F"/>
        </w:rPr>
        <w:t>TEN-007  •  Delegated customer authority</w:t>
      </w:r>
      <w:r>
        <w:rPr>
          <w:b/>
          <w:color w:val="0F6B78"/>
          <w:sz w:val="15"/>
        </w:rPr>
        <w:t xml:space="preserve">   [MUST]</w:t>
      </w:r>
    </w:p>
    <w:p>
      <w:pPr>
        <w:keepNext/>
        <w:keepLines/>
        <w:spacing w:before="20" w:after="20" w:line="245" w:lineRule="auto"/>
        <w:ind w:left="115" w:right="72"/>
      </w:pPr>
      <w:r>
        <w:rPr>
          <w:rFonts w:ascii="Aptos" w:hAnsi="Aptos"/>
          <w:color w:val="24313D"/>
          <w:sz w:val="16"/>
        </w:rPr>
        <w:t>For B2B, B2C and C2C customers, the platform SHALL retain evidence that the customer authorized the 3PL to prepare data/documents and transmit them to carriers/postal operators while preserving the named declarant/shipper responsibilities.</w:t>
      </w:r>
    </w:p>
    <w:p>
      <w:pPr>
        <w:keepLines/>
        <w:spacing w:before="0" w:after="60" w:line="240" w:lineRule="auto"/>
        <w:ind w:left="115" w:right="72"/>
      </w:pPr>
      <w:r>
        <w:rPr>
          <w:rFonts w:ascii="Aptos" w:hAnsi="Aptos"/>
          <w:color w:val="52616B"/>
          <w:sz w:val="14"/>
        </w:rPr>
        <w:t>Trigger: Customer onboarding/order  |  Inputs: Terms, mandate, party roles  |  Output: Accepted authority or hold  |  Approval: Tenant legal admin  |  On failure: Block filing/document generation  |  Evidence: Terms version and acceptance  |  Sources: SRC-PRV-002, SRC-CUS-002  |  Test: T-TEN-007</w:t>
      </w:r>
    </w:p>
    <w:p>
      <w:pPr>
        <w:pStyle w:val="ReqTitle"/>
        <w:keepNext/>
        <w:shd w:fill="DDF3F5"/>
      </w:pPr>
      <w:r>
        <w:rPr>
          <w:b/>
          <w:color w:val="16324F"/>
        </w:rPr>
        <w:t>TEN-008  •  Commodity permission matrix</w:t>
      </w:r>
      <w:r>
        <w:rPr>
          <w:b/>
          <w:color w:val="0F6B78"/>
          <w:sz w:val="15"/>
        </w:rPr>
        <w:t xml:space="preserve">   [MUST]</w:t>
      </w:r>
    </w:p>
    <w:p>
      <w:pPr>
        <w:keepNext/>
        <w:keepLines/>
        <w:spacing w:before="20" w:after="20" w:line="245" w:lineRule="auto"/>
        <w:ind w:left="115" w:right="72"/>
      </w:pPr>
      <w:r>
        <w:rPr>
          <w:rFonts w:ascii="Aptos" w:hAnsi="Aptos"/>
          <w:color w:val="24313D"/>
          <w:sz w:val="16"/>
        </w:rPr>
        <w:t>Tenant and site permissions SHALL specify allowed commodity families, modes, countries, services, quantities and approval requirements; default is deny.</w:t>
      </w:r>
    </w:p>
    <w:p>
      <w:pPr>
        <w:keepLines/>
        <w:spacing w:before="0" w:after="60" w:line="240" w:lineRule="auto"/>
        <w:ind w:left="115" w:right="72"/>
      </w:pPr>
      <w:r>
        <w:rPr>
          <w:rFonts w:ascii="Aptos" w:hAnsi="Aptos"/>
          <w:color w:val="52616B"/>
          <w:sz w:val="14"/>
        </w:rPr>
        <w:t>Trigger: Every line and service selection  |  Inputs: Commodity profile, site, tenant matrix  |  Output: Allowed/conditional/blocked  |  Approval: Automated; tenant compliance change  |  On failure: Block  |  Evidence: Matrix version and decision  |  Sources: SRC-PRV-002, SRC-CUS-002  |  Test: T-TEN-008</w:t>
      </w:r>
    </w:p>
    <w:p>
      <w:pPr>
        <w:pStyle w:val="ReqTitle"/>
        <w:keepNext/>
        <w:shd w:fill="DDF3F5"/>
      </w:pPr>
      <w:r>
        <w:rPr>
          <w:b/>
          <w:color w:val="16324F"/>
        </w:rPr>
        <w:t>TEN-009  •  Customer risk tier</w:t>
      </w:r>
      <w:r>
        <w:rPr>
          <w:b/>
          <w:color w:val="0F6B78"/>
          <w:sz w:val="15"/>
        </w:rPr>
        <w:t xml:space="preserve">   [MUST]</w:t>
      </w:r>
    </w:p>
    <w:p>
      <w:pPr>
        <w:keepNext/>
        <w:keepLines/>
        <w:spacing w:before="20" w:after="20" w:line="245" w:lineRule="auto"/>
        <w:ind w:left="115" w:right="72"/>
      </w:pPr>
      <w:r>
        <w:rPr>
          <w:rFonts w:ascii="Aptos" w:hAnsi="Aptos"/>
          <w:color w:val="24313D"/>
          <w:sz w:val="16"/>
        </w:rPr>
        <w:t>Customers SHALL be risk-tiered using KYB/KYC, shipment behavior, chargeback/fraud, restricted-party signals, controlled-goods profile and anomaly indicators.</w:t>
      </w:r>
    </w:p>
    <w:p>
      <w:pPr>
        <w:keepLines/>
        <w:spacing w:before="0" w:after="60" w:line="240" w:lineRule="auto"/>
        <w:ind w:left="115" w:right="72"/>
      </w:pPr>
      <w:r>
        <w:rPr>
          <w:rFonts w:ascii="Aptos" w:hAnsi="Aptos"/>
          <w:color w:val="52616B"/>
          <w:sz w:val="14"/>
        </w:rPr>
        <w:t>Trigger: Onboarding and continuous  |  Inputs: Customer and shipment signals  |  Output: Risk tier and review cadence  |  Approval: Risk operations  |  On failure: Hold high-risk until review  |  Evidence: Model/rules and evidence  |  Sources: SRC-PRV-002, SRC-CUS-002  |  Test: T-TEN-009</w:t>
      </w:r>
    </w:p>
    <w:p>
      <w:pPr>
        <w:pStyle w:val="ReqTitle"/>
        <w:keepNext/>
        <w:shd w:fill="DDF3F5"/>
      </w:pPr>
      <w:r>
        <w:rPr>
          <w:b/>
          <w:color w:val="16324F"/>
        </w:rPr>
        <w:t>TEN-010  •  Facility chain of custody</w:t>
      </w:r>
      <w:r>
        <w:rPr>
          <w:b/>
          <w:color w:val="0F6B78"/>
          <w:sz w:val="15"/>
        </w:rPr>
        <w:t xml:space="preserve">   [MUST]</w:t>
      </w:r>
    </w:p>
    <w:p>
      <w:pPr>
        <w:keepNext/>
        <w:keepLines/>
        <w:spacing w:before="20" w:after="20" w:line="245" w:lineRule="auto"/>
        <w:ind w:left="115" w:right="72"/>
      </w:pPr>
      <w:r>
        <w:rPr>
          <w:rFonts w:ascii="Aptos" w:hAnsi="Aptos"/>
          <w:color w:val="24313D"/>
          <w:sz w:val="16"/>
        </w:rPr>
        <w:t>The platform SHALL identify custody transfer points from receipt through carrier handover and preserve actor, timestamp, location, seal/package state and exceptions.</w:t>
      </w:r>
    </w:p>
    <w:p>
      <w:pPr>
        <w:keepLines/>
        <w:spacing w:before="0" w:after="60" w:line="240" w:lineRule="auto"/>
        <w:ind w:left="115" w:right="72"/>
      </w:pPr>
      <w:r>
        <w:rPr>
          <w:rFonts w:ascii="Aptos" w:hAnsi="Aptos"/>
          <w:color w:val="52616B"/>
          <w:sz w:val="14"/>
        </w:rPr>
        <w:t>Trigger: Every physical transition  |  Inputs: Item/package IDs, scans, actors  |  Output: Custody event  |  Approval: Automated  |  On failure: Quarantine untracked exception  |  Evidence: Scan/event history  |  Sources: SRC-PRV-002, SRC-CUS-002  |  Test: T-TEN-010</w:t>
      </w:r>
    </w:p>
    <w:p>
      <w:pPr>
        <w:pStyle w:val="ReqTitle"/>
        <w:keepNext/>
        <w:shd w:fill="DDF3F5"/>
      </w:pPr>
      <w:r>
        <w:rPr>
          <w:b/>
          <w:color w:val="16324F"/>
        </w:rPr>
        <w:t>TEN-011  •  Approval expiry</w:t>
      </w:r>
      <w:r>
        <w:rPr>
          <w:b/>
          <w:color w:val="0F6B78"/>
          <w:sz w:val="15"/>
        </w:rPr>
        <w:t xml:space="preserve">   [MUST]</w:t>
      </w:r>
    </w:p>
    <w:p>
      <w:pPr>
        <w:keepNext/>
        <w:keepLines/>
        <w:spacing w:before="20" w:after="20" w:line="245" w:lineRule="auto"/>
        <w:ind w:left="115" w:right="72"/>
      </w:pPr>
      <w:r>
        <w:rPr>
          <w:rFonts w:ascii="Aptos" w:hAnsi="Aptos"/>
          <w:color w:val="24313D"/>
          <w:sz w:val="16"/>
        </w:rPr>
        <w:t>Manual approvals SHALL be scoped to shipment version, package, commodity, lane, carrier/service and validity period; any relevant change invalidates approval.</w:t>
      </w:r>
    </w:p>
    <w:p>
      <w:pPr>
        <w:keepLines/>
        <w:spacing w:before="0" w:after="60" w:line="240" w:lineRule="auto"/>
        <w:ind w:left="115" w:right="72"/>
      </w:pPr>
      <w:r>
        <w:rPr>
          <w:rFonts w:ascii="Aptos" w:hAnsi="Aptos"/>
          <w:color w:val="52616B"/>
          <w:sz w:val="14"/>
        </w:rPr>
        <w:t>Trigger: Shipment edit after approval  |  Inputs: Changed fields and approval scope  |  Output: Approval retained or revoked  |  Approval: Automated  |  On failure: Return to hold  |  Evidence: Diff and revocation event  |  Sources: SRC-PRV-002, SRC-CUS-002  |  Test: T-TEN-011</w:t>
      </w:r>
    </w:p>
    <w:p>
      <w:pPr>
        <w:pStyle w:val="ReqTitle"/>
        <w:keepNext/>
        <w:shd w:fill="DDF3F5"/>
      </w:pPr>
      <w:r>
        <w:rPr>
          <w:b/>
          <w:color w:val="16324F"/>
        </w:rPr>
        <w:t>TEN-012  •  Emergency suspension</w:t>
      </w:r>
      <w:r>
        <w:rPr>
          <w:b/>
          <w:color w:val="0F6B78"/>
          <w:sz w:val="15"/>
        </w:rPr>
        <w:t xml:space="preserve">   [MUST]</w:t>
      </w:r>
    </w:p>
    <w:p>
      <w:pPr>
        <w:keepNext/>
        <w:keepLines/>
        <w:spacing w:before="20" w:after="20" w:line="245" w:lineRule="auto"/>
        <w:ind w:left="115" w:right="72"/>
      </w:pPr>
      <w:r>
        <w:rPr>
          <w:rFonts w:ascii="Aptos" w:hAnsi="Aptos"/>
          <w:color w:val="24313D"/>
          <w:sz w:val="16"/>
        </w:rPr>
        <w:t>Platform and tenant compliance admins SHALL be able to suspend a country, lane, carrier, service, site, customer, commodity, rule version or credential immediately with reason and scope.</w:t>
      </w:r>
    </w:p>
    <w:p>
      <w:pPr>
        <w:keepLines/>
        <w:spacing w:before="0" w:after="60" w:line="240" w:lineRule="auto"/>
        <w:ind w:left="115" w:right="72"/>
      </w:pPr>
      <w:r>
        <w:rPr>
          <w:rFonts w:ascii="Aptos" w:hAnsi="Aptos"/>
          <w:color w:val="52616B"/>
          <w:sz w:val="14"/>
        </w:rPr>
        <w:t>Trigger: Incident/regulatory notice  |  Inputs: Suspension target and scope  |  Output: New transactions blocked; in-flight list produced  |  Approval: Authorized compliance admin  |  On failure: Fail closed  |  Evidence: Suspension event and impacted shipments  |  Sources: SRC-PRV-002, SRC-CUS-002  |  Test: T-TEN-012</w:t>
      </w:r>
    </w:p>
    <w:p>
      <w:pPr>
        <w:pStyle w:val="Heading2"/>
        <w:keepNext/>
      </w:pPr>
      <w:r>
        <w:t>20.3 Parties, addresses &amp; screening (12 controls)</w:t>
      </w:r>
    </w:p>
    <w:p>
      <w:pPr>
        <w:pStyle w:val="ReqTitle"/>
        <w:keepNext/>
        <w:shd w:fill="DDF3F5"/>
      </w:pPr>
      <w:r>
        <w:rPr>
          <w:b/>
          <w:color w:val="16324F"/>
        </w:rPr>
        <w:t>PTY-001  •  Structured party identities</w:t>
      </w:r>
      <w:r>
        <w:rPr>
          <w:b/>
          <w:color w:val="0F6B78"/>
          <w:sz w:val="15"/>
        </w:rPr>
        <w:t xml:space="preserve">   [MUST]</w:t>
      </w:r>
    </w:p>
    <w:p>
      <w:pPr>
        <w:keepNext/>
        <w:keepLines/>
        <w:spacing w:before="20" w:after="20" w:line="245" w:lineRule="auto"/>
        <w:ind w:left="115" w:right="72"/>
      </w:pPr>
      <w:r>
        <w:rPr>
          <w:rFonts w:ascii="Aptos" w:hAnsi="Aptos"/>
          <w:color w:val="24313D"/>
          <w:sz w:val="16"/>
        </w:rPr>
        <w:t>Shipper, consignor, exporter, seller, buyer, consignee, importer, IOR, EOR, declarant, notify party, ultimate consignee, payer and return party SHALL be stored separately; one party may occupy multiple explicit roles.</w:t>
      </w:r>
    </w:p>
    <w:p>
      <w:pPr>
        <w:keepLines/>
        <w:spacing w:before="0" w:after="60" w:line="240" w:lineRule="auto"/>
        <w:ind w:left="115" w:right="72"/>
      </w:pPr>
      <w:r>
        <w:rPr>
          <w:rFonts w:ascii="Aptos" w:hAnsi="Aptos"/>
          <w:color w:val="52616B"/>
          <w:sz w:val="14"/>
        </w:rPr>
        <w:t>Trigger: Order creation/update  |  Inputs: Party legal names, roles, identifiers, contacts  |  Output: Complete party-role graph  |  Approval: Automated  |  On failure: Hold if mandatory role unresolved  |  Evidence: Party version and role assignments  |  Sources: SRC-SAN-001, SRC-SAN-002, SRC-SAN-003, SRC-SAN-005, SRC-SAN-006, SRC-PRV-002  |  Test: T-PTY-001</w:t>
      </w:r>
    </w:p>
    <w:p>
      <w:pPr>
        <w:pStyle w:val="ReqTitle"/>
        <w:keepNext/>
        <w:shd w:fill="DDF3F5"/>
      </w:pPr>
      <w:r>
        <w:rPr>
          <w:b/>
          <w:color w:val="16324F"/>
        </w:rPr>
        <w:t>PTY-002  •  Address validation without silent mutation</w:t>
      </w:r>
      <w:r>
        <w:rPr>
          <w:b/>
          <w:color w:val="0F6B78"/>
          <w:sz w:val="15"/>
        </w:rPr>
        <w:t xml:space="preserve">   [MUST]</w:t>
      </w:r>
    </w:p>
    <w:p>
      <w:pPr>
        <w:keepNext/>
        <w:keepLines/>
        <w:spacing w:before="20" w:after="20" w:line="245" w:lineRule="auto"/>
        <w:ind w:left="115" w:right="72"/>
      </w:pPr>
      <w:r>
        <w:rPr>
          <w:rFonts w:ascii="Aptos" w:hAnsi="Aptos"/>
          <w:color w:val="24313D"/>
          <w:sz w:val="16"/>
        </w:rPr>
        <w:t>Addresses SHALL be validated against carrier and country formats. Suggested corrections require user confirmation; legal names, house numbers and countries SHALL never be silently changed.</w:t>
      </w:r>
    </w:p>
    <w:p>
      <w:pPr>
        <w:keepLines/>
        <w:spacing w:before="0" w:after="60" w:line="240" w:lineRule="auto"/>
        <w:ind w:left="115" w:right="72"/>
      </w:pPr>
      <w:r>
        <w:rPr>
          <w:rFonts w:ascii="Aptos" w:hAnsi="Aptos"/>
          <w:color w:val="52616B"/>
          <w:sz w:val="14"/>
        </w:rPr>
        <w:t>Trigger: Party/address entry  |  Inputs: Raw and normalized address  |  Output: Validated address plus confidence  |  Approval: User confirmation where material  |  On failure: Hold on undeliverable/ambiguous  |  Evidence: Raw value, suggestions, accepted value  |  Sources: SRC-SAN-001, SRC-SAN-002, SRC-SAN-003, SRC-SAN-005, SRC-SAN-006, SRC-PRV-002  |  Test: T-PTY-002</w:t>
      </w:r>
    </w:p>
    <w:p>
      <w:pPr>
        <w:pStyle w:val="ReqTitle"/>
        <w:keepNext/>
        <w:shd w:fill="DDF3F5"/>
      </w:pPr>
      <w:r>
        <w:rPr>
          <w:b/>
          <w:color w:val="16324F"/>
        </w:rPr>
        <w:t>PTY-003  •  Non-Latin scripts</w:t>
      </w:r>
      <w:r>
        <w:rPr>
          <w:b/>
          <w:color w:val="0F6B78"/>
          <w:sz w:val="15"/>
        </w:rPr>
        <w:t xml:space="preserve">   [MUST]</w:t>
      </w:r>
    </w:p>
    <w:p>
      <w:pPr>
        <w:keepNext/>
        <w:keepLines/>
        <w:spacing w:before="20" w:after="20" w:line="245" w:lineRule="auto"/>
        <w:ind w:left="115" w:right="72"/>
      </w:pPr>
      <w:r>
        <w:rPr>
          <w:rFonts w:ascii="Aptos" w:hAnsi="Aptos"/>
          <w:color w:val="24313D"/>
          <w:sz w:val="16"/>
        </w:rPr>
        <w:t>The data model SHALL retain original-script names/addresses and accepted transliteration separately and transmit the representation required by each carrier/authority schema.</w:t>
      </w:r>
    </w:p>
    <w:p>
      <w:pPr>
        <w:keepLines/>
        <w:spacing w:before="0" w:after="60" w:line="240" w:lineRule="auto"/>
        <w:ind w:left="115" w:right="72"/>
      </w:pPr>
      <w:r>
        <w:rPr>
          <w:rFonts w:ascii="Aptos" w:hAnsi="Aptos"/>
          <w:color w:val="52616B"/>
          <w:sz w:val="14"/>
        </w:rPr>
        <w:t>Trigger: Party entry and document generation  |  Inputs: Original, transliteration, language/script  |  Output: Schema-compliant dual representation  |  Approval: Automated  |  On failure: Hold if required representation absent  |  Evidence: Both values and transform version  |  Sources: SRC-SAN-001, SRC-SAN-002, SRC-SAN-003, SRC-SAN-005, SRC-SAN-006, SRC-PRV-002  |  Test: T-PTY-003</w:t>
      </w:r>
    </w:p>
    <w:p>
      <w:pPr>
        <w:pStyle w:val="ReqTitle"/>
        <w:keepNext/>
        <w:shd w:fill="DDF3F5"/>
      </w:pPr>
      <w:r>
        <w:rPr>
          <w:b/>
          <w:color w:val="16324F"/>
        </w:rPr>
        <w:t>PTY-004  •  Tax and customs identifiers</w:t>
      </w:r>
      <w:r>
        <w:rPr>
          <w:b/>
          <w:color w:val="0F6B78"/>
          <w:sz w:val="15"/>
        </w:rPr>
        <w:t xml:space="preserve">   [MUST]</w:t>
      </w:r>
    </w:p>
    <w:p>
      <w:pPr>
        <w:keepNext/>
        <w:keepLines/>
        <w:spacing w:before="20" w:after="20" w:line="245" w:lineRule="auto"/>
        <w:ind w:left="115" w:right="72"/>
      </w:pPr>
      <w:r>
        <w:rPr>
          <w:rFonts w:ascii="Aptos" w:hAnsi="Aptos"/>
          <w:color w:val="24313D"/>
          <w:sz w:val="16"/>
        </w:rPr>
        <w:t>Identifier type, issuing jurisdiction, validity dates and verification status SHALL be captured for EORI, VAT/GST, IOSS, OSS, EIN, SSN/passport where lawful, importer numbers and local tax IDs.</w:t>
      </w:r>
    </w:p>
    <w:p>
      <w:pPr>
        <w:keepLines/>
        <w:spacing w:before="0" w:after="60" w:line="240" w:lineRule="auto"/>
        <w:ind w:left="115" w:right="72"/>
      </w:pPr>
      <w:r>
        <w:rPr>
          <w:rFonts w:ascii="Aptos" w:hAnsi="Aptos"/>
          <w:color w:val="52616B"/>
          <w:sz w:val="14"/>
        </w:rPr>
        <w:t>Trigger: Flow-specific trigger  |  Inputs: Party role, lane, value, flow, identifier  |  Output: Required/valid/invalid/missing  |  Approval: Automated; privacy review for sensitive IDs  |  On failure: Hold when legally or carrier-required  |  Evidence: Verification response and masked display  |  Sources: SRC-SAN-001, SRC-SAN-002, SRC-SAN-003, SRC-SAN-005, SRC-SAN-006, SRC-PRV-002  |  Test: T-PTY-004</w:t>
      </w:r>
    </w:p>
    <w:p>
      <w:pPr>
        <w:pStyle w:val="ReqTitle"/>
        <w:keepNext/>
        <w:shd w:fill="DDF3F5"/>
      </w:pPr>
      <w:r>
        <w:rPr>
          <w:b/>
          <w:color w:val="16324F"/>
        </w:rPr>
        <w:t>PTY-005  •  Restricted-party screening scope</w:t>
      </w:r>
      <w:r>
        <w:rPr>
          <w:b/>
          <w:color w:val="0F6B78"/>
          <w:sz w:val="15"/>
        </w:rPr>
        <w:t xml:space="preserve">   [MUST]</w:t>
      </w:r>
    </w:p>
    <w:p>
      <w:pPr>
        <w:keepNext/>
        <w:keepLines/>
        <w:spacing w:before="20" w:after="20" w:line="245" w:lineRule="auto"/>
        <w:ind w:left="115" w:right="72"/>
      </w:pPr>
      <w:r>
        <w:rPr>
          <w:rFonts w:ascii="Aptos" w:hAnsi="Aptos"/>
          <w:color w:val="24313D"/>
          <w:sz w:val="16"/>
        </w:rPr>
        <w:t>All parties, aliases, addresses, banks and material free-text names SHALL be screened against applicable UN, origin, destination, transit, tenant-establishment, currency/payment and goods-nexus lists.</w:t>
      </w:r>
    </w:p>
    <w:p>
      <w:pPr>
        <w:keepLines/>
        <w:spacing w:before="0" w:after="60" w:line="240" w:lineRule="auto"/>
        <w:ind w:left="115" w:right="72"/>
      </w:pPr>
      <w:r>
        <w:rPr>
          <w:rFonts w:ascii="Aptos" w:hAnsi="Aptos"/>
          <w:color w:val="52616B"/>
          <w:sz w:val="14"/>
        </w:rPr>
        <w:t>Trigger: Create/update, pre-label, pre-handover, list change  |  Inputs: Nexus set, parties, lists, match thresholds  |  Output: Clear/potential/confirmed/expired  |  Approval: Certified screening reviewer  |  On failure: Potential match hold; confirmed block  |  Evidence: List versions, candidates, reviewer rationale  |  Sources: SRC-SAN-001, SRC-SAN-002, SRC-SAN-003, SRC-SAN-005, SRC-SAN-006, SRC-PRV-002  |  Test: T-PTY-005</w:t>
      </w:r>
    </w:p>
    <w:p>
      <w:pPr>
        <w:pStyle w:val="ReqTitle"/>
        <w:keepNext/>
        <w:shd w:fill="DDF3F5"/>
      </w:pPr>
      <w:r>
        <w:rPr>
          <w:b/>
          <w:color w:val="16324F"/>
        </w:rPr>
        <w:t>PTY-006  •  No auto-clear of meaningful matches</w:t>
      </w:r>
      <w:r>
        <w:rPr>
          <w:b/>
          <w:color w:val="0F6B78"/>
          <w:sz w:val="15"/>
        </w:rPr>
        <w:t xml:space="preserve">   [MUST]</w:t>
      </w:r>
    </w:p>
    <w:p>
      <w:pPr>
        <w:keepNext/>
        <w:keepLines/>
        <w:spacing w:before="20" w:after="20" w:line="245" w:lineRule="auto"/>
        <w:ind w:left="115" w:right="72"/>
      </w:pPr>
      <w:r>
        <w:rPr>
          <w:rFonts w:ascii="Aptos" w:hAnsi="Aptos"/>
          <w:color w:val="24313D"/>
          <w:sz w:val="16"/>
        </w:rPr>
        <w:t>Fuzzy matching MAY prioritize candidates but SHALL NOT automatically clear a potential match above the configured risk threshold or based solely on absence from an aggregator.</w:t>
      </w:r>
    </w:p>
    <w:p>
      <w:pPr>
        <w:keepLines/>
        <w:spacing w:before="0" w:after="60" w:line="240" w:lineRule="auto"/>
        <w:ind w:left="115" w:right="72"/>
      </w:pPr>
      <w:r>
        <w:rPr>
          <w:rFonts w:ascii="Aptos" w:hAnsi="Aptos"/>
          <w:color w:val="52616B"/>
          <w:sz w:val="14"/>
        </w:rPr>
        <w:t>Trigger: Screening result  |  Inputs: Candidate scores and identifiers  |  Output: Manual disposition required  |  Approval: Certified reviewer  |  On failure: Hold  |  Evidence: Candidate data and authoritative-source checks  |  Sources: SRC-SAN-001, SRC-SAN-002, SRC-SAN-003, SRC-SAN-005, SRC-SAN-006, SRC-PRV-002  |  Test: T-PTY-006</w:t>
      </w:r>
    </w:p>
    <w:p>
      <w:pPr>
        <w:pStyle w:val="ReqTitle"/>
        <w:keepNext/>
        <w:shd w:fill="DDF3F5"/>
      </w:pPr>
      <w:r>
        <w:rPr>
          <w:b/>
          <w:color w:val="16324F"/>
        </w:rPr>
        <w:t>PTY-007  •  Ongoing rescreening</w:t>
      </w:r>
      <w:r>
        <w:rPr>
          <w:b/>
          <w:color w:val="0F6B78"/>
          <w:sz w:val="15"/>
        </w:rPr>
        <w:t xml:space="preserve">   [MUST]</w:t>
      </w:r>
    </w:p>
    <w:p>
      <w:pPr>
        <w:keepNext/>
        <w:keepLines/>
        <w:spacing w:before="20" w:after="20" w:line="245" w:lineRule="auto"/>
        <w:ind w:left="115" w:right="72"/>
      </w:pPr>
      <w:r>
        <w:rPr>
          <w:rFonts w:ascii="Aptos" w:hAnsi="Aptos"/>
          <w:color w:val="24313D"/>
          <w:sz w:val="16"/>
        </w:rPr>
        <w:t>Open orders and unhanded shipments SHALL be rescreened when relevant lists change, parties change, shipment ages beyond policy or before release/handover.</w:t>
      </w:r>
    </w:p>
    <w:p>
      <w:pPr>
        <w:keepLines/>
        <w:spacing w:before="0" w:after="60" w:line="240" w:lineRule="auto"/>
        <w:ind w:left="115" w:right="72"/>
      </w:pPr>
      <w:r>
        <w:rPr>
          <w:rFonts w:ascii="Aptos" w:hAnsi="Aptos"/>
          <w:color w:val="52616B"/>
          <w:sz w:val="14"/>
        </w:rPr>
        <w:t>Trigger: Event/schedule  |  Inputs: Shipment status, list changes, prior decision  |  Output: Updated decision  |  Approval: Automated  |  On failure: Hold newly matched shipment  |  Evidence: Delta screening event  |  Sources: SRC-SAN-001, SRC-SAN-002, SRC-SAN-003, SRC-SAN-005, SRC-SAN-006, SRC-PRV-002  |  Test: T-PTY-007</w:t>
      </w:r>
    </w:p>
    <w:p>
      <w:pPr>
        <w:pStyle w:val="ReqTitle"/>
        <w:keepNext/>
        <w:shd w:fill="DDF3F5"/>
      </w:pPr>
      <w:r>
        <w:rPr>
          <w:b/>
          <w:color w:val="16324F"/>
        </w:rPr>
        <w:t>PTY-008  •  Country and territory sanctions</w:t>
      </w:r>
      <w:r>
        <w:rPr>
          <w:b/>
          <w:color w:val="0F6B78"/>
          <w:sz w:val="15"/>
        </w:rPr>
        <w:t xml:space="preserve">   [MUST]</w:t>
      </w:r>
    </w:p>
    <w:p>
      <w:pPr>
        <w:keepNext/>
        <w:keepLines/>
        <w:spacing w:before="20" w:after="20" w:line="245" w:lineRule="auto"/>
        <w:ind w:left="115" w:right="72"/>
      </w:pPr>
      <w:r>
        <w:rPr>
          <w:rFonts w:ascii="Aptos" w:hAnsi="Aptos"/>
          <w:color w:val="24313D"/>
          <w:sz w:val="16"/>
        </w:rPr>
        <w:t>The platform SHALL distinguish comprehensive/territorial prohibitions, sectoral measures, asset freezes, service restrictions and licensing exceptions; country alone SHALL not be the only decision input.</w:t>
      </w:r>
    </w:p>
    <w:p>
      <w:pPr>
        <w:keepLines/>
        <w:spacing w:before="0" w:after="60" w:line="240" w:lineRule="auto"/>
        <w:ind w:left="115" w:right="72"/>
      </w:pPr>
      <w:r>
        <w:rPr>
          <w:rFonts w:ascii="Aptos" w:hAnsi="Aptos"/>
          <w:color w:val="52616B"/>
          <w:sz w:val="14"/>
        </w:rPr>
        <w:t>Trigger: Nexus evaluation  |  Inputs: Country, parties, goods, sectors, services, ownership/control, licences  |  Output: Applicable measures and conditions  |  Approval: Export-control reviewer  |  On failure: Hold/blocked pending determination  |  Evidence: Regime version and rationale  |  Sources: SRC-SAN-001, SRC-SAN-002, SRC-SAN-003, SRC-SAN-005, SRC-SAN-006, SRC-PRV-002  |  Test: T-PTY-008</w:t>
      </w:r>
    </w:p>
    <w:p>
      <w:pPr>
        <w:pStyle w:val="ReqTitle"/>
        <w:keepNext/>
        <w:shd w:fill="DDF3F5"/>
      </w:pPr>
      <w:r>
        <w:rPr>
          <w:b/>
          <w:color w:val="16324F"/>
        </w:rPr>
        <w:t>PTY-009  •  Ownership and control</w:t>
      </w:r>
      <w:r>
        <w:rPr>
          <w:b/>
          <w:color w:val="0F6B78"/>
          <w:sz w:val="15"/>
        </w:rPr>
        <w:t xml:space="preserve">   [MUST]</w:t>
      </w:r>
    </w:p>
    <w:p>
      <w:pPr>
        <w:keepNext/>
        <w:keepLines/>
        <w:spacing w:before="20" w:after="20" w:line="245" w:lineRule="auto"/>
        <w:ind w:left="115" w:right="72"/>
      </w:pPr>
      <w:r>
        <w:rPr>
          <w:rFonts w:ascii="Aptos" w:hAnsi="Aptos"/>
          <w:color w:val="24313D"/>
          <w:sz w:val="16"/>
        </w:rPr>
        <w:t>Where a sanctions regime applies ownership/control tests, the system SHALL collect sufficient ownership data or route to an approved external screening service; unknown ownership SHALL not be treated as clear.</w:t>
      </w:r>
    </w:p>
    <w:p>
      <w:pPr>
        <w:keepLines/>
        <w:spacing w:before="0" w:after="60" w:line="240" w:lineRule="auto"/>
        <w:ind w:left="115" w:right="72"/>
      </w:pPr>
      <w:r>
        <w:rPr>
          <w:rFonts w:ascii="Aptos" w:hAnsi="Aptos"/>
          <w:color w:val="52616B"/>
          <w:sz w:val="14"/>
        </w:rPr>
        <w:t>Trigger: Potential entity match/high-risk customer  |  Inputs: Ownership chain, regime rules  |  Output: Clear/review/block  |  Approval: Certified reviewer  |  On failure: Hold  |  Evidence: Ownership evidence  |  Sources: SRC-SAN-001, SRC-SAN-002, SRC-SAN-003, SRC-SAN-005, SRC-SAN-006, SRC-PRV-002  |  Test: T-PTY-009</w:t>
      </w:r>
    </w:p>
    <w:p>
      <w:pPr>
        <w:pStyle w:val="ReqTitle"/>
        <w:keepNext/>
        <w:shd w:fill="DDF3F5"/>
      </w:pPr>
      <w:r>
        <w:rPr>
          <w:b/>
          <w:color w:val="16324F"/>
        </w:rPr>
        <w:t>PTY-010  •  End-use/end-user screening</w:t>
      </w:r>
      <w:r>
        <w:rPr>
          <w:b/>
          <w:color w:val="0F6B78"/>
          <w:sz w:val="15"/>
        </w:rPr>
        <w:t xml:space="preserve">   [MUST]</w:t>
      </w:r>
    </w:p>
    <w:p>
      <w:pPr>
        <w:keepNext/>
        <w:keepLines/>
        <w:spacing w:before="20" w:after="20" w:line="245" w:lineRule="auto"/>
        <w:ind w:left="115" w:right="72"/>
      </w:pPr>
      <w:r>
        <w:rPr>
          <w:rFonts w:ascii="Aptos" w:hAnsi="Aptos"/>
          <w:color w:val="24313D"/>
          <w:sz w:val="16"/>
        </w:rPr>
        <w:t>Dual-use and sensitive goods SHALL capture ultimate consignee, end user, end use, installation/project, military/intelligence/nuclear/chemical/biological/missile indicators and diversion risk.</w:t>
      </w:r>
    </w:p>
    <w:p>
      <w:pPr>
        <w:keepLines/>
        <w:spacing w:before="0" w:after="60" w:line="240" w:lineRule="auto"/>
        <w:ind w:left="115" w:right="72"/>
      </w:pPr>
      <w:r>
        <w:rPr>
          <w:rFonts w:ascii="Aptos" w:hAnsi="Aptos"/>
          <w:color w:val="52616B"/>
          <w:sz w:val="14"/>
        </w:rPr>
        <w:t>Trigger: Controlled-goods trigger  |  Inputs: Classification, parties, end-use answers, destination  |  Output: Licence/no-licence/review/block  |  Approval: Export-control specialist/external approver  |  On failure: Hold  |  Evidence: Questionnaire, review and licence  |  Sources: SRC-SAN-001, SRC-SAN-002, SRC-SAN-003, SRC-SAN-005, SRC-SAN-006, SRC-PRV-002  |  Test: T-PTY-010</w:t>
      </w:r>
    </w:p>
    <w:p>
      <w:pPr>
        <w:pStyle w:val="ReqTitle"/>
        <w:keepNext/>
        <w:shd w:fill="DDF3F5"/>
      </w:pPr>
      <w:r>
        <w:rPr>
          <w:b/>
          <w:color w:val="16324F"/>
        </w:rPr>
        <w:t>PTY-011  •  Anti-diversion anomaly rules</w:t>
      </w:r>
      <w:r>
        <w:rPr>
          <w:b/>
          <w:color w:val="0F6B78"/>
          <w:sz w:val="15"/>
        </w:rPr>
        <w:t xml:space="preserve">   [MUST]</w:t>
      </w:r>
    </w:p>
    <w:p>
      <w:pPr>
        <w:keepNext/>
        <w:keepLines/>
        <w:spacing w:before="20" w:after="20" w:line="245" w:lineRule="auto"/>
        <w:ind w:left="115" w:right="72"/>
      </w:pPr>
      <w:r>
        <w:rPr>
          <w:rFonts w:ascii="Aptos" w:hAnsi="Aptos"/>
          <w:color w:val="24313D"/>
          <w:sz w:val="16"/>
        </w:rPr>
        <w:t>Rules SHALL flag rerouting, inconsistent consignee/end user, freight-forwarder opacity, unusual quantity/value, transshipment hubs, repeated split shipments and high-risk payment or address patterns.</w:t>
      </w:r>
    </w:p>
    <w:p>
      <w:pPr>
        <w:keepLines/>
        <w:spacing w:before="0" w:after="60" w:line="240" w:lineRule="auto"/>
        <w:ind w:left="115" w:right="72"/>
      </w:pPr>
      <w:r>
        <w:rPr>
          <w:rFonts w:ascii="Aptos" w:hAnsi="Aptos"/>
          <w:color w:val="52616B"/>
          <w:sz w:val="14"/>
        </w:rPr>
        <w:t>Trigger: Order and behavioral event  |  Inputs: History, lane, parties, product, routing  |  Output: Risk alert  |  Approval: Risk/export-control review  |  On failure: Hold based on risk tier  |  Evidence: Feature values and disposition  |  Sources: SRC-SAN-001, SRC-SAN-002, SRC-SAN-003, SRC-SAN-005, SRC-SAN-006, SRC-PRV-002  |  Test: T-PTY-011</w:t>
      </w:r>
    </w:p>
    <w:p>
      <w:pPr>
        <w:pStyle w:val="ReqTitle"/>
        <w:keepNext/>
        <w:shd w:fill="DDF3F5"/>
      </w:pPr>
      <w:r>
        <w:rPr>
          <w:b/>
          <w:color w:val="16324F"/>
        </w:rPr>
        <w:t>PTY-012  •  Personal-data minimization</w:t>
      </w:r>
      <w:r>
        <w:rPr>
          <w:b/>
          <w:color w:val="0F6B78"/>
          <w:sz w:val="15"/>
        </w:rPr>
        <w:t xml:space="preserve">   [MUST]</w:t>
      </w:r>
    </w:p>
    <w:p>
      <w:pPr>
        <w:keepNext/>
        <w:keepLines/>
        <w:spacing w:before="20" w:after="20" w:line="245" w:lineRule="auto"/>
        <w:ind w:left="115" w:right="72"/>
      </w:pPr>
      <w:r>
        <w:rPr>
          <w:rFonts w:ascii="Aptos" w:hAnsi="Aptos"/>
          <w:color w:val="24313D"/>
          <w:sz w:val="16"/>
        </w:rPr>
        <w:t>Screening records SHALL store only necessary personal data, with purpose, retention and restricted access; sensitive IDs SHALL be tokenized/masked and omitted from labels/docs unless required.</w:t>
      </w:r>
    </w:p>
    <w:p>
      <w:pPr>
        <w:keepLines/>
        <w:spacing w:before="0" w:after="60" w:line="240" w:lineRule="auto"/>
        <w:ind w:left="115" w:right="72"/>
      </w:pPr>
      <w:r>
        <w:rPr>
          <w:rFonts w:ascii="Aptos" w:hAnsi="Aptos"/>
          <w:color w:val="52616B"/>
          <w:sz w:val="14"/>
        </w:rPr>
        <w:t>Trigger: Data collection/export  |  Inputs: Purpose and schema requirement  |  Output: Allowed fields and redaction  |  Approval: Privacy policy  |  On failure: Reject excessive collection/export  |  Evidence: Field-level purpose trace  |  Sources: SRC-SAN-001, SRC-SAN-002, SRC-SAN-003, SRC-SAN-005, SRC-SAN-006, SRC-PRV-002  |  Test: T-PTY-012</w:t>
      </w:r>
    </w:p>
    <w:p>
      <w:pPr>
        <w:pStyle w:val="Heading2"/>
        <w:keepNext/>
      </w:pPr>
      <w:r>
        <w:t>20.4 Commodity, classification, origin &amp; value (20 controls)</w:t>
      </w:r>
    </w:p>
    <w:p>
      <w:pPr>
        <w:pStyle w:val="ReqTitle"/>
        <w:keepNext/>
        <w:shd w:fill="DDF3F5"/>
      </w:pPr>
      <w:r>
        <w:rPr>
          <w:b/>
          <w:color w:val="16324F"/>
        </w:rPr>
        <w:t>COM-001  •  Immutable commercial description</w:t>
      </w:r>
      <w:r>
        <w:rPr>
          <w:b/>
          <w:color w:val="0F6B78"/>
          <w:sz w:val="15"/>
        </w:rPr>
        <w:t xml:space="preserve">   [MUST]</w:t>
      </w:r>
    </w:p>
    <w:p>
      <w:pPr>
        <w:keepNext/>
        <w:keepLines/>
        <w:spacing w:before="20" w:after="20" w:line="245" w:lineRule="auto"/>
        <w:ind w:left="115" w:right="72"/>
      </w:pPr>
      <w:r>
        <w:rPr>
          <w:rFonts w:ascii="Aptos" w:hAnsi="Aptos"/>
          <w:color w:val="24313D"/>
          <w:sz w:val="16"/>
        </w:rPr>
        <w:t>Each item SHALL have a specific, plain-language description stating what it is, material/composition, function/use, brand/model where relevant and condition; vague terms such as parts, sample or gift alone are prohibited.</w:t>
      </w:r>
    </w:p>
    <w:p>
      <w:pPr>
        <w:keepLines/>
        <w:spacing w:before="0" w:after="60" w:line="240" w:lineRule="auto"/>
        <w:ind w:left="115" w:right="72"/>
      </w:pPr>
      <w:r>
        <w:rPr>
          <w:rFonts w:ascii="Aptos" w:hAnsi="Aptos"/>
          <w:color w:val="52616B"/>
          <w:sz w:val="14"/>
        </w:rPr>
        <w:t>Trigger: Item create/update  |  Inputs: Product description attributes  |  Output: Accepted description or remediation  |  Approval: Automated; classifier if flagged  |  On failure: Hold item  |  Evidence: Description version  |  Sources: SRC-CUS-005, SRC-CUS-008, SRC-CUS-009, SRC-CUS-010, SRC-AIR-004, SRC-AIR-005  |  Test: T-COM-001</w:t>
      </w:r>
    </w:p>
    <w:p>
      <w:pPr>
        <w:pStyle w:val="ReqTitle"/>
        <w:keepNext/>
        <w:shd w:fill="DDF3F5"/>
      </w:pPr>
      <w:r>
        <w:rPr>
          <w:b/>
          <w:color w:val="16324F"/>
        </w:rPr>
        <w:t>COM-002  •  HS six-digit baseline</w:t>
      </w:r>
      <w:r>
        <w:rPr>
          <w:b/>
          <w:color w:val="0F6B78"/>
          <w:sz w:val="15"/>
        </w:rPr>
        <w:t xml:space="preserve">   [MUST]</w:t>
      </w:r>
    </w:p>
    <w:p>
      <w:pPr>
        <w:keepNext/>
        <w:keepLines/>
        <w:spacing w:before="20" w:after="20" w:line="245" w:lineRule="auto"/>
        <w:ind w:left="115" w:right="72"/>
      </w:pPr>
      <w:r>
        <w:rPr>
          <w:rFonts w:ascii="Aptos" w:hAnsi="Aptos"/>
          <w:color w:val="24313D"/>
          <w:sz w:val="16"/>
        </w:rPr>
        <w:t>Each goods line SHALL have a justified HS classification at least to six digits when required for the flow, plus origin/export and destination national extensions where applicable.</w:t>
      </w:r>
    </w:p>
    <w:p>
      <w:pPr>
        <w:keepLines/>
        <w:spacing w:before="0" w:after="60" w:line="240" w:lineRule="auto"/>
        <w:ind w:left="115" w:right="72"/>
      </w:pPr>
      <w:r>
        <w:rPr>
          <w:rFonts w:ascii="Aptos" w:hAnsi="Aptos"/>
          <w:color w:val="52616B"/>
          <w:sz w:val="14"/>
        </w:rPr>
        <w:t>Trigger: International goods shipment  |  Inputs: Product composition/function and tariff versions  |  Output: HS/national codes with confidence and rationale  |  Approval: Qualified classifier for low-confidence/high-risk  |  On failure: Hold  |  Evidence: Classification decision and source  |  Sources: SRC-CUS-005, SRC-CUS-008, SRC-CUS-009, SRC-CUS-010, SRC-AIR-004, SRC-AIR-005  |  Test: T-COM-002</w:t>
      </w:r>
    </w:p>
    <w:p>
      <w:pPr>
        <w:pStyle w:val="ReqTitle"/>
        <w:keepNext/>
        <w:shd w:fill="DDF3F5"/>
      </w:pPr>
      <w:r>
        <w:rPr>
          <w:b/>
          <w:color w:val="16324F"/>
        </w:rPr>
        <w:t>COM-003  •  No code inference from description alone</w:t>
      </w:r>
      <w:r>
        <w:rPr>
          <w:b/>
          <w:color w:val="0F6B78"/>
          <w:sz w:val="15"/>
        </w:rPr>
        <w:t xml:space="preserve">   [MUST]</w:t>
      </w:r>
    </w:p>
    <w:p>
      <w:pPr>
        <w:keepNext/>
        <w:keepLines/>
        <w:spacing w:before="20" w:after="20" w:line="245" w:lineRule="auto"/>
        <w:ind w:left="115" w:right="72"/>
      </w:pPr>
      <w:r>
        <w:rPr>
          <w:rFonts w:ascii="Aptos" w:hAnsi="Aptos"/>
          <w:color w:val="24313D"/>
          <w:sz w:val="16"/>
        </w:rPr>
        <w:t>Machine suggestions MAY propose classifications but SHALL expose rationale, confidence and alternatives; controlled, high-duty, quota, antidumping or regulated classifications require qualified human confirmation.</w:t>
      </w:r>
    </w:p>
    <w:p>
      <w:pPr>
        <w:keepLines/>
        <w:spacing w:before="0" w:after="60" w:line="240" w:lineRule="auto"/>
        <w:ind w:left="115" w:right="72"/>
      </w:pPr>
      <w:r>
        <w:rPr>
          <w:rFonts w:ascii="Aptos" w:hAnsi="Aptos"/>
          <w:color w:val="52616B"/>
          <w:sz w:val="14"/>
        </w:rPr>
        <w:t>Trigger: Classification  |  Inputs: Product dossier and model output  |  Output: Suggestion/reviewed classification  |  Approval: Qualified classifier  |  On failure: Hold regulated/low-confidence goods  |  Evidence: Model version and reviewer  |  Sources: SRC-CUS-005, SRC-CUS-008, SRC-CUS-009, SRC-CUS-010, SRC-AIR-004, SRC-AIR-005  |  Test: T-COM-003</w:t>
      </w:r>
    </w:p>
    <w:p>
      <w:pPr>
        <w:pStyle w:val="ReqTitle"/>
        <w:keepNext/>
        <w:shd w:fill="DDF3F5"/>
      </w:pPr>
      <w:r>
        <w:rPr>
          <w:b/>
          <w:color w:val="16324F"/>
        </w:rPr>
        <w:t>COM-004  •  Classification validity</w:t>
      </w:r>
      <w:r>
        <w:rPr>
          <w:b/>
          <w:color w:val="0F6B78"/>
          <w:sz w:val="15"/>
        </w:rPr>
        <w:t xml:space="preserve">   [MUST]</w:t>
      </w:r>
    </w:p>
    <w:p>
      <w:pPr>
        <w:keepNext/>
        <w:keepLines/>
        <w:spacing w:before="20" w:after="20" w:line="245" w:lineRule="auto"/>
        <w:ind w:left="115" w:right="72"/>
      </w:pPr>
      <w:r>
        <w:rPr>
          <w:rFonts w:ascii="Aptos" w:hAnsi="Aptos"/>
          <w:color w:val="24313D"/>
          <w:sz w:val="16"/>
        </w:rPr>
        <w:t>Classifications SHALL be linked to product version, jurisdiction, nomenclature edition, ruling/decision evidence and validity dates; material/product changes invalidate them.</w:t>
      </w:r>
    </w:p>
    <w:p>
      <w:pPr>
        <w:keepLines/>
        <w:spacing w:before="0" w:after="60" w:line="240" w:lineRule="auto"/>
        <w:ind w:left="115" w:right="72"/>
      </w:pPr>
      <w:r>
        <w:rPr>
          <w:rFonts w:ascii="Aptos" w:hAnsi="Aptos"/>
          <w:color w:val="52616B"/>
          <w:sz w:val="14"/>
        </w:rPr>
        <w:t>Trigger: Product or tariff change  |  Inputs: Product version, code version, ruling  |  Output: Valid/review required  |  Approval: Automated; classifier  |  On failure: Hold if invalid  |  Evidence: Version links  |  Sources: SRC-CUS-005, SRC-CUS-008, SRC-CUS-009, SRC-CUS-010, SRC-AIR-004, SRC-AIR-005  |  Test: T-COM-004</w:t>
      </w:r>
    </w:p>
    <w:p>
      <w:pPr>
        <w:pStyle w:val="ReqTitle"/>
        <w:keepNext/>
        <w:shd w:fill="DDF3F5"/>
      </w:pPr>
      <w:r>
        <w:rPr>
          <w:b/>
          <w:color w:val="16324F"/>
        </w:rPr>
        <w:t>COM-005  •  Binding ruling support</w:t>
      </w:r>
      <w:r>
        <w:rPr>
          <w:b/>
          <w:color w:val="0F6B78"/>
          <w:sz w:val="15"/>
        </w:rPr>
        <w:t xml:space="preserve">   [MUST]</w:t>
      </w:r>
    </w:p>
    <w:p>
      <w:pPr>
        <w:keepNext/>
        <w:keepLines/>
        <w:spacing w:before="20" w:after="20" w:line="245" w:lineRule="auto"/>
        <w:ind w:left="115" w:right="72"/>
      </w:pPr>
      <w:r>
        <w:rPr>
          <w:rFonts w:ascii="Aptos" w:hAnsi="Aptos"/>
          <w:color w:val="24313D"/>
          <w:sz w:val="16"/>
        </w:rPr>
        <w:t>The system SHALL store binding/pre-classification rulings, jurisdiction, holder, product scope, decision number and validity; it SHALL not apply one tenant's ruling to another without legal basis.</w:t>
      </w:r>
    </w:p>
    <w:p>
      <w:pPr>
        <w:keepLines/>
        <w:spacing w:before="0" w:after="60" w:line="240" w:lineRule="auto"/>
        <w:ind w:left="115" w:right="72"/>
      </w:pPr>
      <w:r>
        <w:rPr>
          <w:rFonts w:ascii="Aptos" w:hAnsi="Aptos"/>
          <w:color w:val="52616B"/>
          <w:sz w:val="14"/>
        </w:rPr>
        <w:t>Trigger: Classification  |  Inputs: Ruling evidence and owner  |  Output: Applicable/not applicable  |  Approval: Qualified classifier  |  On failure: Ignore/hold if uncertain  |  Evidence: Ruling document and scope  |  Sources: SRC-CUS-005, SRC-CUS-008, SRC-CUS-009, SRC-CUS-010, SRC-AIR-004, SRC-AIR-005  |  Test: T-COM-005</w:t>
      </w:r>
    </w:p>
    <w:p>
      <w:pPr>
        <w:pStyle w:val="ReqTitle"/>
        <w:keepNext/>
        <w:shd w:fill="DDF3F5"/>
      </w:pPr>
      <w:r>
        <w:rPr>
          <w:b/>
          <w:color w:val="16324F"/>
        </w:rPr>
        <w:t>COM-006  •  Export-control classification</w:t>
      </w:r>
      <w:r>
        <w:rPr>
          <w:b/>
          <w:color w:val="0F6B78"/>
          <w:sz w:val="15"/>
        </w:rPr>
        <w:t xml:space="preserve">   [MUST]</w:t>
      </w:r>
    </w:p>
    <w:p>
      <w:pPr>
        <w:keepNext/>
        <w:keepLines/>
        <w:spacing w:before="20" w:after="20" w:line="245" w:lineRule="auto"/>
        <w:ind w:left="115" w:right="72"/>
      </w:pPr>
      <w:r>
        <w:rPr>
          <w:rFonts w:ascii="Aptos" w:hAnsi="Aptos"/>
          <w:color w:val="24313D"/>
          <w:sz w:val="16"/>
        </w:rPr>
        <w:t>Products SHALL support jurisdiction-specific control codes including ECCN/local dual-use or military-list codes, US-origin/content/technology nexuses and not-controlled rationale.</w:t>
      </w:r>
    </w:p>
    <w:p>
      <w:pPr>
        <w:keepLines/>
        <w:spacing w:before="0" w:after="60" w:line="240" w:lineRule="auto"/>
        <w:ind w:left="115" w:right="72"/>
      </w:pPr>
      <w:r>
        <w:rPr>
          <w:rFonts w:ascii="Aptos" w:hAnsi="Aptos"/>
          <w:color w:val="52616B"/>
          <w:sz w:val="14"/>
        </w:rPr>
        <w:t>Trigger: Sensitive product/lane  |  Inputs: Technical parameters, origins, classifications  |  Output: Control status and licensing path  |  Approval: Export-control specialist  |  On failure: Hold unknown sensitive goods  |  Evidence: Technical assessment  |  Sources: SRC-CUS-005, SRC-CUS-008, SRC-CUS-009, SRC-CUS-010, SRC-AIR-004, SRC-AIR-005  |  Test: T-COM-006</w:t>
      </w:r>
    </w:p>
    <w:p>
      <w:pPr>
        <w:pStyle w:val="ReqTitle"/>
        <w:keepNext/>
        <w:shd w:fill="DDF3F5"/>
      </w:pPr>
      <w:r>
        <w:rPr>
          <w:b/>
          <w:color w:val="16324F"/>
        </w:rPr>
        <w:t>COM-007  •  Dangerous-goods identity</w:t>
      </w:r>
      <w:r>
        <w:rPr>
          <w:b/>
          <w:color w:val="0F6B78"/>
          <w:sz w:val="15"/>
        </w:rPr>
        <w:t xml:space="preserve">   [MUST]</w:t>
      </w:r>
    </w:p>
    <w:p>
      <w:pPr>
        <w:keepNext/>
        <w:keepLines/>
        <w:spacing w:before="20" w:after="20" w:line="245" w:lineRule="auto"/>
        <w:ind w:left="115" w:right="72"/>
      </w:pPr>
      <w:r>
        <w:rPr>
          <w:rFonts w:ascii="Aptos" w:hAnsi="Aptos"/>
          <w:color w:val="24313D"/>
          <w:sz w:val="16"/>
        </w:rPr>
        <w:t>Potential DG products SHALL capture proper shipping name, UN/ID number, class/division, subsidiary risk, packing group, hazard labels, special provisions, packing instruction, quantity limits, flash point and marine pollutant where relevant.</w:t>
      </w:r>
    </w:p>
    <w:p>
      <w:pPr>
        <w:keepLines/>
        <w:spacing w:before="0" w:after="60" w:line="240" w:lineRule="auto"/>
        <w:ind w:left="115" w:right="72"/>
      </w:pPr>
      <w:r>
        <w:rPr>
          <w:rFonts w:ascii="Aptos" w:hAnsi="Aptos"/>
          <w:color w:val="52616B"/>
          <w:sz w:val="14"/>
        </w:rPr>
        <w:t>Trigger: Product screening  |  Inputs: SDS, test reports, composition, battery attributes  |  Output: DG profile  |  Approval: Certified DG reviewer  |  On failure: Quarantine/hold  |  Evidence: Approved DG record  |  Sources: SRC-CUS-005, SRC-CUS-008, SRC-CUS-009, SRC-CUS-010, SRC-AIR-004, SRC-AIR-005  |  Test: T-COM-007</w:t>
      </w:r>
    </w:p>
    <w:p>
      <w:pPr>
        <w:pStyle w:val="ReqTitle"/>
        <w:keepNext/>
        <w:shd w:fill="DDF3F5"/>
      </w:pPr>
      <w:r>
        <w:rPr>
          <w:b/>
          <w:color w:val="16324F"/>
        </w:rPr>
        <w:t>COM-008  •  Lithium battery profile</w:t>
      </w:r>
      <w:r>
        <w:rPr>
          <w:b/>
          <w:color w:val="0F6B78"/>
          <w:sz w:val="15"/>
        </w:rPr>
        <w:t xml:space="preserve">   [MUST]</w:t>
      </w:r>
    </w:p>
    <w:p>
      <w:pPr>
        <w:keepNext/>
        <w:keepLines/>
        <w:spacing w:before="20" w:after="20" w:line="245" w:lineRule="auto"/>
        <w:ind w:left="115" w:right="72"/>
      </w:pPr>
      <w:r>
        <w:rPr>
          <w:rFonts w:ascii="Aptos" w:hAnsi="Aptos"/>
          <w:color w:val="24313D"/>
          <w:sz w:val="16"/>
        </w:rPr>
        <w:t>Cells/batteries SHALL capture chemistry, UN number, watt-hours/lithium content, cell/battery count, net battery mass, state of charge where applicable, contained/packed-with/standalone configuration, prototype/production-run status, damage/defect/recall status and UN 38.3 evidence.</w:t>
      </w:r>
    </w:p>
    <w:p>
      <w:pPr>
        <w:keepLines/>
        <w:spacing w:before="0" w:after="60" w:line="240" w:lineRule="auto"/>
        <w:ind w:left="115" w:right="72"/>
      </w:pPr>
      <w:r>
        <w:rPr>
          <w:rFonts w:ascii="Aptos" w:hAnsi="Aptos"/>
          <w:color w:val="52616B"/>
          <w:sz w:val="14"/>
        </w:rPr>
        <w:t>Trigger: Battery product or component  |  Inputs: Battery/test/manufacturer data  |  Output: Permitted configuration and conditions  |  Approval: Certified DG reviewer  |  On failure: Block damaged/unknown; hold others  |  Evidence: UN 38.3 summary and approval  |  Sources: SRC-CUS-005, SRC-CUS-008, SRC-CUS-009, SRC-CUS-010, SRC-AIR-004, SRC-AIR-005  |  Test: T-COM-008</w:t>
      </w:r>
    </w:p>
    <w:p>
      <w:pPr>
        <w:pStyle w:val="ReqTitle"/>
        <w:keepNext/>
        <w:shd w:fill="DDF3F5"/>
      </w:pPr>
      <w:r>
        <w:rPr>
          <w:b/>
          <w:color w:val="16324F"/>
        </w:rPr>
        <w:t>COM-009  •  Food/pharma/device profile</w:t>
      </w:r>
      <w:r>
        <w:rPr>
          <w:b/>
          <w:color w:val="0F6B78"/>
          <w:sz w:val="15"/>
        </w:rPr>
        <w:t xml:space="preserve">   [MUST]</w:t>
      </w:r>
    </w:p>
    <w:p>
      <w:pPr>
        <w:keepNext/>
        <w:keepLines/>
        <w:spacing w:before="20" w:after="20" w:line="245" w:lineRule="auto"/>
        <w:ind w:left="115" w:right="72"/>
      </w:pPr>
      <w:r>
        <w:rPr>
          <w:rFonts w:ascii="Aptos" w:hAnsi="Aptos"/>
          <w:color w:val="24313D"/>
          <w:sz w:val="16"/>
        </w:rPr>
        <w:t>Regulated items SHALL capture regulatory category, ingredients/materials, allergens where relevant, manufacturer/site registrations, product/marketing authorizations, lot/batch/serial/UDI, shelf life and temperature/storage range.</w:t>
      </w:r>
    </w:p>
    <w:p>
      <w:pPr>
        <w:keepLines/>
        <w:spacing w:before="0" w:after="60" w:line="240" w:lineRule="auto"/>
        <w:ind w:left="115" w:right="72"/>
      </w:pPr>
      <w:r>
        <w:rPr>
          <w:rFonts w:ascii="Aptos" w:hAnsi="Aptos"/>
          <w:color w:val="52616B"/>
          <w:sz w:val="14"/>
        </w:rPr>
        <w:t>Trigger: Regulated product  |  Inputs: Product regulatory dossier  |  Output: Country-specific eligibility inputs  |  Approval: Qualified life-sciences/food reviewer  |  On failure: Hold  |  Evidence: Dossier version  |  Sources: SRC-CUS-005, SRC-CUS-008, SRC-CUS-009, SRC-CUS-010, SRC-AIR-004, SRC-AIR-005  |  Test: T-COM-009</w:t>
      </w:r>
    </w:p>
    <w:p>
      <w:pPr>
        <w:pStyle w:val="ReqTitle"/>
        <w:keepNext/>
        <w:shd w:fill="DDF3F5"/>
      </w:pPr>
      <w:r>
        <w:rPr>
          <w:b/>
          <w:color w:val="16324F"/>
        </w:rPr>
        <w:t>COM-010  •  Alcohol/tobacco/excise profile</w:t>
      </w:r>
      <w:r>
        <w:rPr>
          <w:b/>
          <w:color w:val="0F6B78"/>
          <w:sz w:val="15"/>
        </w:rPr>
        <w:t xml:space="preserve">   [MUST]</w:t>
      </w:r>
    </w:p>
    <w:p>
      <w:pPr>
        <w:keepNext/>
        <w:keepLines/>
        <w:spacing w:before="20" w:after="20" w:line="245" w:lineRule="auto"/>
        <w:ind w:left="115" w:right="72"/>
      </w:pPr>
      <w:r>
        <w:rPr>
          <w:rFonts w:ascii="Aptos" w:hAnsi="Aptos"/>
          <w:color w:val="24313D"/>
          <w:sz w:val="16"/>
        </w:rPr>
        <w:t>Excise goods SHALL capture type, alcohol by volume or tobacco category, volume/quantity, tax stamps/marks, licences, label approvals, producer/importer registrations and age-delivery constraints.</w:t>
      </w:r>
    </w:p>
    <w:p>
      <w:pPr>
        <w:keepLines/>
        <w:spacing w:before="0" w:after="60" w:line="240" w:lineRule="auto"/>
        <w:ind w:left="115" w:right="72"/>
      </w:pPr>
      <w:r>
        <w:rPr>
          <w:rFonts w:ascii="Aptos" w:hAnsi="Aptos"/>
          <w:color w:val="52616B"/>
          <w:sz w:val="14"/>
        </w:rPr>
        <w:t>Trigger: Excise product  |  Inputs: Product and licence data  |  Output: Excise workflow  |  Approval: Excise compliance reviewer  |  On failure: Hold/block  |  Evidence: Licence/approval evidence  |  Sources: SRC-CUS-005, SRC-CUS-008, SRC-CUS-009, SRC-CUS-010, SRC-AIR-004, SRC-AIR-005  |  Test: T-COM-010</w:t>
      </w:r>
    </w:p>
    <w:p>
      <w:pPr>
        <w:pStyle w:val="ReqTitle"/>
        <w:keepNext/>
        <w:shd w:fill="DDF3F5"/>
      </w:pPr>
      <w:r>
        <w:rPr>
          <w:b/>
          <w:color w:val="16324F"/>
        </w:rPr>
        <w:t>COM-011  •  Wildlife/cultural/precious screening</w:t>
      </w:r>
      <w:r>
        <w:rPr>
          <w:b/>
          <w:color w:val="0F6B78"/>
          <w:sz w:val="15"/>
        </w:rPr>
        <w:t xml:space="preserve">   [MUST]</w:t>
      </w:r>
    </w:p>
    <w:p>
      <w:pPr>
        <w:keepNext/>
        <w:keepLines/>
        <w:spacing w:before="20" w:after="20" w:line="245" w:lineRule="auto"/>
        <w:ind w:left="115" w:right="72"/>
      </w:pPr>
      <w:r>
        <w:rPr>
          <w:rFonts w:ascii="Aptos" w:hAnsi="Aptos"/>
          <w:color w:val="24313D"/>
          <w:sz w:val="16"/>
        </w:rPr>
        <w:t>Materials/species, age/provenance, cultural-property category, artist/object identifiers, rough-diamond status, precious metal/stones, valuation evidence and required certificates SHALL be captured for triggered goods.</w:t>
      </w:r>
    </w:p>
    <w:p>
      <w:pPr>
        <w:keepLines/>
        <w:spacing w:before="0" w:after="60" w:line="240" w:lineRule="auto"/>
        <w:ind w:left="115" w:right="72"/>
      </w:pPr>
      <w:r>
        <w:rPr>
          <w:rFonts w:ascii="Aptos" w:hAnsi="Aptos"/>
          <w:color w:val="52616B"/>
          <w:sz w:val="14"/>
        </w:rPr>
        <w:t>Trigger: Material/keyword/value trigger  |  Inputs: Product provenance and certificate data  |  Output: Permit/provenance path  |  Approval: Specialist/external authority  |  On failure: Hold  |  Evidence: Certificates and screening results  |  Sources: SRC-CUS-005, SRC-CUS-008, SRC-CUS-009, SRC-CUS-010, SRC-AIR-004, SRC-AIR-005  |  Test: T-COM-011</w:t>
      </w:r>
    </w:p>
    <w:p>
      <w:pPr>
        <w:pStyle w:val="ReqTitle"/>
        <w:keepNext/>
        <w:shd w:fill="DDF3F5"/>
      </w:pPr>
      <w:r>
        <w:rPr>
          <w:b/>
          <w:color w:val="16324F"/>
        </w:rPr>
        <w:t>COM-012  •  Country of origin</w:t>
      </w:r>
      <w:r>
        <w:rPr>
          <w:b/>
          <w:color w:val="0F6B78"/>
          <w:sz w:val="15"/>
        </w:rPr>
        <w:t xml:space="preserve">   [MUST]</w:t>
      </w:r>
    </w:p>
    <w:p>
      <w:pPr>
        <w:keepNext/>
        <w:keepLines/>
        <w:spacing w:before="20" w:after="20" w:line="245" w:lineRule="auto"/>
        <w:ind w:left="115" w:right="72"/>
      </w:pPr>
      <w:r>
        <w:rPr>
          <w:rFonts w:ascii="Aptos" w:hAnsi="Aptos"/>
          <w:color w:val="24313D"/>
          <w:sz w:val="16"/>
        </w:rPr>
        <w:t>Each line SHALL distinguish country of manufacture/growth/production from ship-from country and preferential origin; rules of origin and required evidence SHALL be versioned by agreement and destination.</w:t>
      </w:r>
    </w:p>
    <w:p>
      <w:pPr>
        <w:keepLines/>
        <w:spacing w:before="0" w:after="60" w:line="240" w:lineRule="auto"/>
        <w:ind w:left="115" w:right="72"/>
      </w:pPr>
      <w:r>
        <w:rPr>
          <w:rFonts w:ascii="Aptos" w:hAnsi="Aptos"/>
          <w:color w:val="52616B"/>
          <w:sz w:val="14"/>
        </w:rPr>
        <w:t>Trigger: Declaration/FTA claim  |  Inputs: Production facts, materials, agreements, certificates  |  Output: Non-preferential and preferential outcomes  |  Approval: Origin specialist for claims  |  On failure: No preference or hold if origin mandatory  |  Evidence: Origin determination  |  Sources: SRC-CUS-005, SRC-CUS-008, SRC-CUS-009, SRC-CUS-010, SRC-AIR-004, SRC-AIR-005  |  Test: T-COM-012</w:t>
      </w:r>
    </w:p>
    <w:p>
      <w:pPr>
        <w:pStyle w:val="ReqTitle"/>
        <w:keepNext/>
        <w:shd w:fill="DDF3F5"/>
      </w:pPr>
      <w:r>
        <w:rPr>
          <w:b/>
          <w:color w:val="16324F"/>
        </w:rPr>
        <w:t>COM-013  •  Valuation method</w:t>
      </w:r>
      <w:r>
        <w:rPr>
          <w:b/>
          <w:color w:val="0F6B78"/>
          <w:sz w:val="15"/>
        </w:rPr>
        <w:t xml:space="preserve">   [MUST]</w:t>
      </w:r>
    </w:p>
    <w:p>
      <w:pPr>
        <w:keepNext/>
        <w:keepLines/>
        <w:spacing w:before="20" w:after="20" w:line="245" w:lineRule="auto"/>
        <w:ind w:left="115" w:right="72"/>
      </w:pPr>
      <w:r>
        <w:rPr>
          <w:rFonts w:ascii="Aptos" w:hAnsi="Aptos"/>
          <w:color w:val="24313D"/>
          <w:sz w:val="16"/>
        </w:rPr>
        <w:t>Customs value SHALL be determined per destination rules using transaction value where applicable and required additions/deductions; alternatives, related-party adjustments, assists, royalties, freight and insurance SHALL be explicit.</w:t>
      </w:r>
    </w:p>
    <w:p>
      <w:pPr>
        <w:keepLines/>
        <w:spacing w:before="0" w:after="60" w:line="240" w:lineRule="auto"/>
        <w:ind w:left="115" w:right="72"/>
      </w:pPr>
      <w:r>
        <w:rPr>
          <w:rFonts w:ascii="Aptos" w:hAnsi="Aptos"/>
          <w:color w:val="52616B"/>
          <w:sz w:val="14"/>
        </w:rPr>
        <w:t>Trigger: Customs declaration  |  Inputs: Invoice, Incoterm, charges, relationship, adjustments  |  Output: Line and declaration values/method  |  Approval: Qualified customs reviewer for exceptions  |  On failure: Hold on incomplete/zero/implausible value  |  Evidence: Calculation trace  |  Sources: SRC-CUS-005, SRC-CUS-008, SRC-CUS-009, SRC-CUS-010, SRC-AIR-004, SRC-AIR-005  |  Test: T-COM-013</w:t>
      </w:r>
    </w:p>
    <w:p>
      <w:pPr>
        <w:pStyle w:val="ReqTitle"/>
        <w:keepNext/>
        <w:shd w:fill="DDF3F5"/>
      </w:pPr>
      <w:r>
        <w:rPr>
          <w:b/>
          <w:color w:val="16324F"/>
        </w:rPr>
        <w:t>COM-014  •  Currency conversion</w:t>
      </w:r>
      <w:r>
        <w:rPr>
          <w:b/>
          <w:color w:val="0F6B78"/>
          <w:sz w:val="15"/>
        </w:rPr>
        <w:t xml:space="preserve">   [MUST]</w:t>
      </w:r>
    </w:p>
    <w:p>
      <w:pPr>
        <w:keepNext/>
        <w:keepLines/>
        <w:spacing w:before="20" w:after="20" w:line="245" w:lineRule="auto"/>
        <w:ind w:left="115" w:right="72"/>
      </w:pPr>
      <w:r>
        <w:rPr>
          <w:rFonts w:ascii="Aptos" w:hAnsi="Aptos"/>
          <w:color w:val="24313D"/>
          <w:sz w:val="16"/>
        </w:rPr>
        <w:t>The engine SHALL use the customs-authority exchange rate and period applicable to the declaration, retaining source, rate, date and original currency; carrier estimates SHALL be labelled non-authoritative.</w:t>
      </w:r>
    </w:p>
    <w:p>
      <w:pPr>
        <w:keepLines/>
        <w:spacing w:before="0" w:after="60" w:line="240" w:lineRule="auto"/>
        <w:ind w:left="115" w:right="72"/>
      </w:pPr>
      <w:r>
        <w:rPr>
          <w:rFonts w:ascii="Aptos" w:hAnsi="Aptos"/>
          <w:color w:val="52616B"/>
          <w:sz w:val="14"/>
        </w:rPr>
        <w:t>Trigger: Value conversion  |  Inputs: Currency, declaration date, authority rate  |  Output: Converted customs value  |  Approval: Automated  |  On failure: Hold if authoritative rate unavailable  |  Evidence: Rate snapshot  |  Sources: SRC-CUS-005, SRC-CUS-008, SRC-CUS-009, SRC-CUS-010, SRC-AIR-004, SRC-AIR-005  |  Test: T-COM-014</w:t>
      </w:r>
    </w:p>
    <w:p>
      <w:pPr>
        <w:pStyle w:val="ReqTitle"/>
        <w:keepNext/>
        <w:shd w:fill="DDF3F5"/>
      </w:pPr>
      <w:r>
        <w:rPr>
          <w:b/>
          <w:color w:val="16324F"/>
        </w:rPr>
        <w:t>COM-015  •  Zero-value prohibition</w:t>
      </w:r>
      <w:r>
        <w:rPr>
          <w:b/>
          <w:color w:val="0F6B78"/>
          <w:sz w:val="15"/>
        </w:rPr>
        <w:t xml:space="preserve">   [MUST]</w:t>
      </w:r>
    </w:p>
    <w:p>
      <w:pPr>
        <w:keepNext/>
        <w:keepLines/>
        <w:spacing w:before="20" w:after="20" w:line="245" w:lineRule="auto"/>
        <w:ind w:left="115" w:right="72"/>
      </w:pPr>
      <w:r>
        <w:rPr>
          <w:rFonts w:ascii="Aptos" w:hAnsi="Aptos"/>
          <w:color w:val="24313D"/>
          <w:sz w:val="16"/>
        </w:rPr>
        <w:t>Commercial, gift, sample, return, warranty and personal-effect goods SHALL carry a defensible customs value even when no sale occurs; zero value is rejected unless an explicit country-pack exception exists.</w:t>
      </w:r>
    </w:p>
    <w:p>
      <w:pPr>
        <w:keepLines/>
        <w:spacing w:before="0" w:after="60" w:line="240" w:lineRule="auto"/>
        <w:ind w:left="115" w:right="72"/>
      </w:pPr>
      <w:r>
        <w:rPr>
          <w:rFonts w:ascii="Aptos" w:hAnsi="Aptos"/>
          <w:color w:val="52616B"/>
          <w:sz w:val="14"/>
        </w:rPr>
        <w:t>Trigger: Line valuation  |  Inputs: Flow type and valuation basis  |  Output: Accepted value or hold  |  Approval: Automated; reviewer for nominal value  |  On failure: Hold  |  Evidence: Valuation explanation  |  Sources: SRC-CUS-005, SRC-CUS-008, SRC-CUS-009, SRC-CUS-010, SRC-AIR-004, SRC-AIR-005  |  Test: T-COM-015</w:t>
      </w:r>
    </w:p>
    <w:p>
      <w:pPr>
        <w:pStyle w:val="ReqTitle"/>
        <w:keepNext/>
        <w:shd w:fill="DDF3F5"/>
      </w:pPr>
      <w:r>
        <w:rPr>
          <w:b/>
          <w:color w:val="16324F"/>
        </w:rPr>
        <w:t>COM-016  •  Freight/insurance allocation</w:t>
      </w:r>
      <w:r>
        <w:rPr>
          <w:b/>
          <w:color w:val="0F6B78"/>
          <w:sz w:val="15"/>
        </w:rPr>
        <w:t xml:space="preserve">   [MUST]</w:t>
      </w:r>
    </w:p>
    <w:p>
      <w:pPr>
        <w:keepNext/>
        <w:keepLines/>
        <w:spacing w:before="20" w:after="20" w:line="245" w:lineRule="auto"/>
        <w:ind w:left="115" w:right="72"/>
      </w:pPr>
      <w:r>
        <w:rPr>
          <w:rFonts w:ascii="Aptos" w:hAnsi="Aptos"/>
          <w:color w:val="24313D"/>
          <w:sz w:val="16"/>
        </w:rPr>
        <w:t>Where required, transport, insurance, assists and other additions SHALL be allocated to lines using a documented method with consistent rounding and reconciliation to declaration totals.</w:t>
      </w:r>
    </w:p>
    <w:p>
      <w:pPr>
        <w:keepLines/>
        <w:spacing w:before="0" w:after="60" w:line="240" w:lineRule="auto"/>
        <w:ind w:left="115" w:right="72"/>
      </w:pPr>
      <w:r>
        <w:rPr>
          <w:rFonts w:ascii="Aptos" w:hAnsi="Aptos"/>
          <w:color w:val="52616B"/>
          <w:sz w:val="14"/>
        </w:rPr>
        <w:t>Trigger: Value calculation  |  Inputs: Charges and allocation basis  |  Output: Reconciled line values  |  Approval: Automated  |  On failure: Hold on mismatch  |  Evidence: Allocation ledger  |  Sources: SRC-CUS-005, SRC-CUS-008, SRC-CUS-009, SRC-CUS-010, SRC-AIR-004, SRC-AIR-005  |  Test: T-COM-016</w:t>
      </w:r>
    </w:p>
    <w:p>
      <w:pPr>
        <w:pStyle w:val="ReqTitle"/>
        <w:keepNext/>
        <w:shd w:fill="DDF3F5"/>
      </w:pPr>
      <w:r>
        <w:rPr>
          <w:b/>
          <w:color w:val="16324F"/>
        </w:rPr>
        <w:t>COM-017  •  Tariff measure evaluation</w:t>
      </w:r>
      <w:r>
        <w:rPr>
          <w:b/>
          <w:color w:val="0F6B78"/>
          <w:sz w:val="15"/>
        </w:rPr>
        <w:t xml:space="preserve">   [MUST]</w:t>
      </w:r>
    </w:p>
    <w:p>
      <w:pPr>
        <w:keepNext/>
        <w:keepLines/>
        <w:spacing w:before="20" w:after="20" w:line="245" w:lineRule="auto"/>
        <w:ind w:left="115" w:right="72"/>
      </w:pPr>
      <w:r>
        <w:rPr>
          <w:rFonts w:ascii="Aptos" w:hAnsi="Aptos"/>
          <w:color w:val="24313D"/>
          <w:sz w:val="16"/>
        </w:rPr>
        <w:t>Destination national tariff measures SHALL be evaluated for duties, VAT/GST, excise, safeguards, quotas, antidumping/countervailing duties, prohibitions, licences, certificates and agency referrals.</w:t>
      </w:r>
    </w:p>
    <w:p>
      <w:pPr>
        <w:keepLines/>
        <w:spacing w:before="0" w:after="60" w:line="240" w:lineRule="auto"/>
        <w:ind w:left="115" w:right="72"/>
      </w:pPr>
      <w:r>
        <w:rPr>
          <w:rFonts w:ascii="Aptos" w:hAnsi="Aptos"/>
          <w:color w:val="52616B"/>
          <w:sz w:val="14"/>
        </w:rPr>
        <w:t>Trigger: Rate/service decision  |  Inputs: National code, origin, value, quantity, dates  |  Output: Measure set and cost/condition estimate  |  Approval: Automated; specialist review for trade remedies  |  On failure: Hold if measures unresolved  |  Evidence: Tariff source/version  |  Sources: SRC-CUS-005, SRC-CUS-008, SRC-CUS-009, SRC-CUS-010, SRC-AIR-004, SRC-AIR-005  |  Test: T-COM-017</w:t>
      </w:r>
    </w:p>
    <w:p>
      <w:pPr>
        <w:pStyle w:val="ReqTitle"/>
        <w:keepNext/>
        <w:shd w:fill="DDF3F5"/>
      </w:pPr>
      <w:r>
        <w:rPr>
          <w:b/>
          <w:color w:val="16324F"/>
        </w:rPr>
        <w:t>COM-018  •  Landed-cost status</w:t>
      </w:r>
      <w:r>
        <w:rPr>
          <w:b/>
          <w:color w:val="0F6B78"/>
          <w:sz w:val="15"/>
        </w:rPr>
        <w:t xml:space="preserve">   [MUST]</w:t>
      </w:r>
    </w:p>
    <w:p>
      <w:pPr>
        <w:keepNext/>
        <w:keepLines/>
        <w:spacing w:before="20" w:after="20" w:line="245" w:lineRule="auto"/>
        <w:ind w:left="115" w:right="72"/>
      </w:pPr>
      <w:r>
        <w:rPr>
          <w:rFonts w:ascii="Aptos" w:hAnsi="Aptos"/>
          <w:color w:val="24313D"/>
          <w:sz w:val="16"/>
        </w:rPr>
        <w:t>Duty/tax calculations SHALL be identified as estimate or authority/carrier-assessed. DDP shall not be offered unless the carrier supports it and importer/tax/fee/payment responsibilities are valid for the lane.</w:t>
      </w:r>
    </w:p>
    <w:p>
      <w:pPr>
        <w:keepLines/>
        <w:spacing w:before="0" w:after="60" w:line="240" w:lineRule="auto"/>
        <w:ind w:left="115" w:right="72"/>
      </w:pPr>
      <w:r>
        <w:rPr>
          <w:rFonts w:ascii="Aptos" w:hAnsi="Aptos"/>
          <w:color w:val="52616B"/>
          <w:sz w:val="14"/>
        </w:rPr>
        <w:t>Trigger: Quote and ship  |  Inputs: Incoterm, carrier product, importer, tax IDs, measures  |  Output: Eligible DDP/DAP and cost breakdown  |  Approval: Automated  |  On failure: Fallback only with explicit user choice; otherwise hold  |  Evidence: Calculation and carrier response  |  Sources: SRC-CUS-005, SRC-CUS-008, SRC-CUS-009, SRC-CUS-010, SRC-AIR-004, SRC-AIR-005  |  Test: T-COM-018</w:t>
      </w:r>
    </w:p>
    <w:p>
      <w:pPr>
        <w:pStyle w:val="ReqTitle"/>
        <w:keepNext/>
        <w:shd w:fill="DDF3F5"/>
      </w:pPr>
      <w:r>
        <w:rPr>
          <w:b/>
          <w:color w:val="16324F"/>
        </w:rPr>
        <w:t>COM-019  •  Quantity and unit normalization</w:t>
      </w:r>
      <w:r>
        <w:rPr>
          <w:b/>
          <w:color w:val="0F6B78"/>
          <w:sz w:val="15"/>
        </w:rPr>
        <w:t xml:space="preserve">   [MUST]</w:t>
      </w:r>
    </w:p>
    <w:p>
      <w:pPr>
        <w:keepNext/>
        <w:keepLines/>
        <w:spacing w:before="20" w:after="20" w:line="245" w:lineRule="auto"/>
        <w:ind w:left="115" w:right="72"/>
      </w:pPr>
      <w:r>
        <w:rPr>
          <w:rFonts w:ascii="Aptos" w:hAnsi="Aptos"/>
          <w:color w:val="24313D"/>
          <w:sz w:val="16"/>
        </w:rPr>
        <w:t>Customs, DG, excise and tariff quantities SHALL retain original units and normalized units using versioned conversions; net/gross weights and package/line totals SHALL reconcile.</w:t>
      </w:r>
    </w:p>
    <w:p>
      <w:pPr>
        <w:keepLines/>
        <w:spacing w:before="0" w:after="60" w:line="240" w:lineRule="auto"/>
        <w:ind w:left="115" w:right="72"/>
      </w:pPr>
      <w:r>
        <w:rPr>
          <w:rFonts w:ascii="Aptos" w:hAnsi="Aptos"/>
          <w:color w:val="52616B"/>
          <w:sz w:val="14"/>
        </w:rPr>
        <w:t>Trigger: Item/package update  |  Inputs: Quantities, UOM, conversions  |  Output: Validated totals  |  Approval: Automated  |  On failure: Hold mismatch  |  Evidence: Conversion version  |  Sources: SRC-CUS-005, SRC-CUS-008, SRC-CUS-009, SRC-CUS-010, SRC-AIR-004, SRC-AIR-005  |  Test: T-COM-019</w:t>
      </w:r>
    </w:p>
    <w:p>
      <w:pPr>
        <w:pStyle w:val="ReqTitle"/>
        <w:keepNext/>
        <w:shd w:fill="DDF3F5"/>
      </w:pPr>
      <w:r>
        <w:rPr>
          <w:b/>
          <w:color w:val="16324F"/>
        </w:rPr>
        <w:t>COM-020  •  Product change rescreening</w:t>
      </w:r>
      <w:r>
        <w:rPr>
          <w:b/>
          <w:color w:val="0F6B78"/>
          <w:sz w:val="15"/>
        </w:rPr>
        <w:t xml:space="preserve">   [MUST]</w:t>
      </w:r>
    </w:p>
    <w:p>
      <w:pPr>
        <w:keepNext/>
        <w:keepLines/>
        <w:spacing w:before="20" w:after="20" w:line="245" w:lineRule="auto"/>
        <w:ind w:left="115" w:right="72"/>
      </w:pPr>
      <w:r>
        <w:rPr>
          <w:rFonts w:ascii="Aptos" w:hAnsi="Aptos"/>
          <w:color w:val="24313D"/>
          <w:sz w:val="16"/>
        </w:rPr>
        <w:t>A change to composition, manufacturer, model, firmware/cryptography, battery, value, origin, packaging or intended use SHALL invalidate affected classifications and permissions.</w:t>
      </w:r>
    </w:p>
    <w:p>
      <w:pPr>
        <w:keepLines/>
        <w:spacing w:before="0" w:after="60" w:line="240" w:lineRule="auto"/>
        <w:ind w:left="115" w:right="72"/>
      </w:pPr>
      <w:r>
        <w:rPr>
          <w:rFonts w:ascii="Aptos" w:hAnsi="Aptos"/>
          <w:color w:val="52616B"/>
          <w:sz w:val="14"/>
        </w:rPr>
        <w:t>Trigger: Product change  |  Inputs: Old/new product versions  |  Output: Required reassessments  |  Approval: Automated  |  On failure: Product not shippable pending review  |  Evidence: Diff and invalidations  |  Sources: SRC-CUS-005, SRC-CUS-008, SRC-CUS-009, SRC-CUS-010, SRC-AIR-004, SRC-AIR-005  |  Test: T-COM-020</w:t>
      </w:r>
    </w:p>
    <w:p>
      <w:pPr>
        <w:pStyle w:val="Heading2"/>
        <w:keepNext/>
      </w:pPr>
      <w:r>
        <w:t>20.5 Lane, customs &amp; documents (22 controls)</w:t>
      </w:r>
    </w:p>
    <w:p>
      <w:pPr>
        <w:pStyle w:val="ReqTitle"/>
        <w:keepNext/>
        <w:shd w:fill="DDF3F5"/>
      </w:pPr>
      <w:r>
        <w:rPr>
          <w:b/>
          <w:color w:val="16324F"/>
        </w:rPr>
        <w:t>CUS-001  •  Exact lane key</w:t>
      </w:r>
      <w:r>
        <w:rPr>
          <w:b/>
          <w:color w:val="0F6B78"/>
          <w:sz w:val="15"/>
        </w:rPr>
        <w:t xml:space="preserve">   [MUST]</w:t>
      </w:r>
    </w:p>
    <w:p>
      <w:pPr>
        <w:keepNext/>
        <w:keepLines/>
        <w:spacing w:before="20" w:after="20" w:line="245" w:lineRule="auto"/>
        <w:ind w:left="115" w:right="72"/>
      </w:pPr>
      <w:r>
        <w:rPr>
          <w:rFonts w:ascii="Aptos" w:hAnsi="Aptos"/>
          <w:color w:val="24313D"/>
          <w:sz w:val="16"/>
        </w:rPr>
        <w:t>Eligibility SHALL be evaluated at origin site, export country/customs territory, transit points, destination country/customs territory, postal designated operators, carrier, service, mode, ship date, commodity, value and tenant level.</w:t>
      </w:r>
    </w:p>
    <w:p>
      <w:pPr>
        <w:keepLines/>
        <w:spacing w:before="0" w:after="60" w:line="240" w:lineRule="auto"/>
        <w:ind w:left="115" w:right="72"/>
      </w:pPr>
      <w:r>
        <w:rPr>
          <w:rFonts w:ascii="Aptos" w:hAnsi="Aptos"/>
          <w:color w:val="52616B"/>
          <w:sz w:val="14"/>
        </w:rPr>
        <w:t>Trigger: Quote, label, route change  |  Inputs: Complete lane key  |  Output: Matched rule pack  |  Approval: Automated  |  On failure: UNKNOWN_BLOCKED  |  Evidence: Lane trace  |  Sources: SRC-CUS-001, SRC-CUS-003, SRC-CUS-004, SRC-ELC-001, SRC-ELC-002  |  Test: T-CUS-001</w:t>
      </w:r>
    </w:p>
    <w:p>
      <w:pPr>
        <w:pStyle w:val="ReqTitle"/>
        <w:keepNext/>
        <w:shd w:fill="DDF3F5"/>
      </w:pPr>
      <w:r>
        <w:rPr>
          <w:b/>
          <w:color w:val="16324F"/>
        </w:rPr>
        <w:t>CUS-002  •  Carrier capability is authoritative for service</w:t>
      </w:r>
      <w:r>
        <w:rPr>
          <w:b/>
          <w:color w:val="0F6B78"/>
          <w:sz w:val="15"/>
        </w:rPr>
        <w:t xml:space="preserve">   [MUST]</w:t>
      </w:r>
    </w:p>
    <w:p>
      <w:pPr>
        <w:keepNext/>
        <w:keepLines/>
        <w:spacing w:before="20" w:after="20" w:line="245" w:lineRule="auto"/>
        <w:ind w:left="115" w:right="72"/>
      </w:pPr>
      <w:r>
        <w:rPr>
          <w:rFonts w:ascii="Aptos" w:hAnsi="Aptos"/>
          <w:color w:val="24313D"/>
          <w:sz w:val="16"/>
        </w:rPr>
        <w:t>A service SHALL be offered only after a live or current cached carrier capability/rate response for the exact lane and shipment attributes, within a configured freshness window.</w:t>
      </w:r>
    </w:p>
    <w:p>
      <w:pPr>
        <w:keepLines/>
        <w:spacing w:before="0" w:after="60" w:line="240" w:lineRule="auto"/>
        <w:ind w:left="115" w:right="72"/>
      </w:pPr>
      <w:r>
        <w:rPr>
          <w:rFonts w:ascii="Aptos" w:hAnsi="Aptos"/>
          <w:color w:val="52616B"/>
          <w:sz w:val="14"/>
        </w:rPr>
        <w:t>Trigger: Service selection  |  Inputs: Carrier account, lane, packages, special services  |  Output: Eligible service list  |  Approval: Automated  |  On failure: No service  |  Evidence: Capability response  |  Sources: SRC-CUS-001, SRC-CUS-003, SRC-CUS-004, SRC-ELC-001, SRC-ELC-002  |  Test: T-CUS-002</w:t>
      </w:r>
    </w:p>
    <w:p>
      <w:pPr>
        <w:pStyle w:val="ReqTitle"/>
        <w:keepNext/>
        <w:shd w:fill="DDF3F5"/>
      </w:pPr>
      <w:r>
        <w:rPr>
          <w:b/>
          <w:color w:val="16324F"/>
        </w:rPr>
        <w:t>CUS-003  •  Prohibition and restriction matrix</w:t>
      </w:r>
      <w:r>
        <w:rPr>
          <w:b/>
          <w:color w:val="0F6B78"/>
          <w:sz w:val="15"/>
        </w:rPr>
        <w:t xml:space="preserve">   [MUST]</w:t>
      </w:r>
    </w:p>
    <w:p>
      <w:pPr>
        <w:keepNext/>
        <w:keepLines/>
        <w:spacing w:before="20" w:after="20" w:line="245" w:lineRule="auto"/>
        <w:ind w:left="115" w:right="72"/>
      </w:pPr>
      <w:r>
        <w:rPr>
          <w:rFonts w:ascii="Aptos" w:hAnsi="Aptos"/>
          <w:color w:val="24313D"/>
          <w:sz w:val="16"/>
        </w:rPr>
        <w:t>Country packs SHALL model absolute prohibitions, conditional restrictions, licence/certificate requirements, value/quantity thresholds, business/personal differences and mode/carrier limits separately.</w:t>
      </w:r>
    </w:p>
    <w:p>
      <w:pPr>
        <w:keepLines/>
        <w:spacing w:before="0" w:after="60" w:line="240" w:lineRule="auto"/>
        <w:ind w:left="115" w:right="72"/>
      </w:pPr>
      <w:r>
        <w:rPr>
          <w:rFonts w:ascii="Aptos" w:hAnsi="Aptos"/>
          <w:color w:val="52616B"/>
          <w:sz w:val="14"/>
        </w:rPr>
        <w:t>Trigger: Every item/line  |  Inputs: Country pack and item attributes  |  Output: Per-line conditions  |  Approval: Automated/reviewer  |  On failure: Hold/blocked  |  Evidence: Matched rules  |  Sources: SRC-CUS-001, SRC-CUS-003, SRC-CUS-004, SRC-ELC-001, SRC-ELC-002  |  Test: T-CUS-003</w:t>
      </w:r>
    </w:p>
    <w:p>
      <w:pPr>
        <w:pStyle w:val="ReqTitle"/>
        <w:keepNext/>
        <w:shd w:fill="DDF3F5"/>
      </w:pPr>
      <w:r>
        <w:rPr>
          <w:b/>
          <w:color w:val="16324F"/>
        </w:rPr>
        <w:t>CUS-004  •  Transit controls</w:t>
      </w:r>
      <w:r>
        <w:rPr>
          <w:b/>
          <w:color w:val="0F6B78"/>
          <w:sz w:val="15"/>
        </w:rPr>
        <w:t xml:space="preserve">   [MUST]</w:t>
      </w:r>
    </w:p>
    <w:p>
      <w:pPr>
        <w:keepNext/>
        <w:keepLines/>
        <w:spacing w:before="20" w:after="20" w:line="245" w:lineRule="auto"/>
        <w:ind w:left="115" w:right="72"/>
      </w:pPr>
      <w:r>
        <w:rPr>
          <w:rFonts w:ascii="Aptos" w:hAnsi="Aptos"/>
          <w:color w:val="24313D"/>
          <w:sz w:val="16"/>
        </w:rPr>
        <w:t>Known or planned transit countries and air-security regimes SHALL be evaluated; carrier routing changes that introduce a new controlled transit shall trigger reevaluation or carrier assurance.</w:t>
      </w:r>
    </w:p>
    <w:p>
      <w:pPr>
        <w:keepLines/>
        <w:spacing w:before="0" w:after="60" w:line="240" w:lineRule="auto"/>
        <w:ind w:left="115" w:right="72"/>
      </w:pPr>
      <w:r>
        <w:rPr>
          <w:rFonts w:ascii="Aptos" w:hAnsi="Aptos"/>
          <w:color w:val="52616B"/>
          <w:sz w:val="14"/>
        </w:rPr>
        <w:t>Trigger: Routing/manifest event  |  Inputs: Planned/actual route  |  Output: Transit eligibility  |  Approval: Automated; reviewer if new nexus  |  On failure: Hold before handover or intercept workflow  |  Evidence: Route versions  |  Sources: SRC-CUS-001, SRC-CUS-003, SRC-CUS-004, SRC-ELC-001, SRC-ELC-002  |  Test: T-CUS-004</w:t>
      </w:r>
    </w:p>
    <w:p>
      <w:pPr>
        <w:pStyle w:val="ReqTitle"/>
        <w:keepNext/>
        <w:shd w:fill="DDF3F5"/>
      </w:pPr>
      <w:r>
        <w:rPr>
          <w:b/>
          <w:color w:val="16324F"/>
        </w:rPr>
        <w:t>CUS-005  •  Importer/exporter of record</w:t>
      </w:r>
      <w:r>
        <w:rPr>
          <w:b/>
          <w:color w:val="0F6B78"/>
          <w:sz w:val="15"/>
        </w:rPr>
        <w:t xml:space="preserve">   [MUST]</w:t>
      </w:r>
    </w:p>
    <w:p>
      <w:pPr>
        <w:keepNext/>
        <w:keepLines/>
        <w:spacing w:before="20" w:after="20" w:line="245" w:lineRule="auto"/>
        <w:ind w:left="115" w:right="72"/>
      </w:pPr>
      <w:r>
        <w:rPr>
          <w:rFonts w:ascii="Aptos" w:hAnsi="Aptos"/>
          <w:color w:val="24313D"/>
          <w:sz w:val="16"/>
        </w:rPr>
        <w:t>IOR and EOR identities SHALL be explicit, legally eligible for the lane and accepted by the carrier/filer; the 3PL SHALL not be assigned by default.</w:t>
      </w:r>
    </w:p>
    <w:p>
      <w:pPr>
        <w:keepLines/>
        <w:spacing w:before="0" w:after="60" w:line="240" w:lineRule="auto"/>
        <w:ind w:left="115" w:right="72"/>
      </w:pPr>
      <w:r>
        <w:rPr>
          <w:rFonts w:ascii="Aptos" w:hAnsi="Aptos"/>
          <w:color w:val="52616B"/>
          <w:sz w:val="14"/>
        </w:rPr>
        <w:t>Trigger: Ship readiness  |  Inputs: Roles, registrations, representation agreements  |  Output: Validated role assignment  |  Approval: External carrier/broker/tenant legal  |  On failure: Hold  |  Evidence: Role evidence  |  Sources: SRC-CUS-001, SRC-CUS-003, SRC-CUS-004, SRC-ELC-001, SRC-ELC-002  |  Test: T-CUS-005</w:t>
      </w:r>
    </w:p>
    <w:p>
      <w:pPr>
        <w:pStyle w:val="ReqTitle"/>
        <w:keepNext/>
        <w:shd w:fill="DDF3F5"/>
      </w:pPr>
      <w:r>
        <w:rPr>
          <w:b/>
          <w:color w:val="16324F"/>
        </w:rPr>
        <w:t>CUS-006  •  Declarant/representation model</w:t>
      </w:r>
      <w:r>
        <w:rPr>
          <w:b/>
          <w:color w:val="0F6B78"/>
          <w:sz w:val="15"/>
        </w:rPr>
        <w:t xml:space="preserve">   [MUST]</w:t>
      </w:r>
    </w:p>
    <w:p>
      <w:pPr>
        <w:keepNext/>
        <w:keepLines/>
        <w:spacing w:before="20" w:after="20" w:line="245" w:lineRule="auto"/>
        <w:ind w:left="115" w:right="72"/>
      </w:pPr>
      <w:r>
        <w:rPr>
          <w:rFonts w:ascii="Aptos" w:hAnsi="Aptos"/>
          <w:color w:val="24313D"/>
          <w:sz w:val="16"/>
        </w:rPr>
        <w:t>Declaration records SHALL identify declarant/filer and direct/indirect representation where applicable based on carrier/postal response; UI SHALL not imply the warehouse operator filed directly.</w:t>
      </w:r>
    </w:p>
    <w:p>
      <w:pPr>
        <w:keepLines/>
        <w:spacing w:before="0" w:after="60" w:line="240" w:lineRule="auto"/>
        <w:ind w:left="115" w:right="72"/>
      </w:pPr>
      <w:r>
        <w:rPr>
          <w:rFonts w:ascii="Aptos" w:hAnsi="Aptos"/>
          <w:color w:val="52616B"/>
          <w:sz w:val="14"/>
        </w:rPr>
        <w:t>Trigger: Filing request/response  |  Inputs: Party roles, adapter response  |  Output: Representation record  |  Approval: Automated/external  |  On failure: Hold if unresolved  |  Evidence: Filing response  |  Sources: SRC-CUS-001, SRC-CUS-003, SRC-CUS-004, SRC-ELC-001, SRC-ELC-002  |  Test: T-CUS-006</w:t>
      </w:r>
    </w:p>
    <w:p>
      <w:pPr>
        <w:pStyle w:val="ReqTitle"/>
        <w:keepNext/>
        <w:shd w:fill="DDF3F5"/>
      </w:pPr>
      <w:r>
        <w:rPr>
          <w:b/>
          <w:color w:val="16324F"/>
        </w:rPr>
        <w:t>CUS-007  •  Flow type</w:t>
      </w:r>
      <w:r>
        <w:rPr>
          <w:b/>
          <w:color w:val="0F6B78"/>
          <w:sz w:val="15"/>
        </w:rPr>
        <w:t xml:space="preserve">   [MUST]</w:t>
      </w:r>
    </w:p>
    <w:p>
      <w:pPr>
        <w:keepNext/>
        <w:keepLines/>
        <w:spacing w:before="20" w:after="20" w:line="245" w:lineRule="auto"/>
        <w:ind w:left="115" w:right="72"/>
      </w:pPr>
      <w:r>
        <w:rPr>
          <w:rFonts w:ascii="Aptos" w:hAnsi="Aptos"/>
          <w:color w:val="24313D"/>
          <w:sz w:val="16"/>
        </w:rPr>
        <w:t>Every shipment SHALL be classified as sale, B2B transfer, consumer sale, gift, sample, personal effects, repair/return, temporary export, re-import, replacement, warranty or other supported procedure.</w:t>
      </w:r>
    </w:p>
    <w:p>
      <w:pPr>
        <w:keepLines/>
        <w:spacing w:before="0" w:after="60" w:line="240" w:lineRule="auto"/>
        <w:ind w:left="115" w:right="72"/>
      </w:pPr>
      <w:r>
        <w:rPr>
          <w:rFonts w:ascii="Aptos" w:hAnsi="Aptos"/>
          <w:color w:val="52616B"/>
          <w:sz w:val="14"/>
        </w:rPr>
        <w:t>Trigger: Order creation  |  Inputs: Commercial purpose and parties  |  Output: Flow type and required documents  |  Approval: User + validation  |  On failure: Hold unknown  |  Evidence: Purpose attestation  |  Sources: SRC-CUS-001, SRC-CUS-003, SRC-CUS-004, SRC-ELC-001, SRC-ELC-002  |  Test: T-CUS-007</w:t>
      </w:r>
    </w:p>
    <w:p>
      <w:pPr>
        <w:pStyle w:val="ReqTitle"/>
        <w:keepNext/>
        <w:shd w:fill="DDF3F5"/>
      </w:pPr>
      <w:r>
        <w:rPr>
          <w:b/>
          <w:color w:val="16324F"/>
        </w:rPr>
        <w:t>CUS-008  •  Incoterm validation</w:t>
      </w:r>
      <w:r>
        <w:rPr>
          <w:b/>
          <w:color w:val="0F6B78"/>
          <w:sz w:val="15"/>
        </w:rPr>
        <w:t xml:space="preserve">   [MUST]</w:t>
      </w:r>
    </w:p>
    <w:p>
      <w:pPr>
        <w:keepNext/>
        <w:keepLines/>
        <w:spacing w:before="20" w:after="20" w:line="245" w:lineRule="auto"/>
        <w:ind w:left="115" w:right="72"/>
      </w:pPr>
      <w:r>
        <w:rPr>
          <w:rFonts w:ascii="Aptos" w:hAnsi="Aptos"/>
          <w:color w:val="24313D"/>
          <w:sz w:val="16"/>
        </w:rPr>
        <w:t>Only Incoterms supported by the carrier/service and legally coherent party roles SHALL be allowed. Named place and edition SHALL be stored; DDP/DAP labels SHALL not substitute for legal responsibility analysis.</w:t>
      </w:r>
    </w:p>
    <w:p>
      <w:pPr>
        <w:keepLines/>
        <w:spacing w:before="0" w:after="60" w:line="240" w:lineRule="auto"/>
        <w:ind w:left="115" w:right="72"/>
      </w:pPr>
      <w:r>
        <w:rPr>
          <w:rFonts w:ascii="Aptos" w:hAnsi="Aptos"/>
          <w:color w:val="52616B"/>
          <w:sz w:val="14"/>
        </w:rPr>
        <w:t>Trigger: Quote/ship  |  Inputs: Incoterm, named place, edition, parties  |  Output: Valid trade term  |  Approval: Automated  |  On failure: Hold  |  Evidence: Term validation  |  Sources: SRC-CUS-001, SRC-CUS-003, SRC-CUS-004, SRC-ELC-001, SRC-ELC-002  |  Test: T-CUS-008</w:t>
      </w:r>
    </w:p>
    <w:p>
      <w:pPr>
        <w:pStyle w:val="ReqTitle"/>
        <w:keepNext/>
        <w:shd w:fill="DDF3F5"/>
      </w:pPr>
      <w:r>
        <w:rPr>
          <w:b/>
          <w:color w:val="16324F"/>
        </w:rPr>
        <w:t>CUS-009  •  DDP authorization</w:t>
      </w:r>
      <w:r>
        <w:rPr>
          <w:b/>
          <w:color w:val="0F6B78"/>
          <w:sz w:val="15"/>
        </w:rPr>
        <w:t xml:space="preserve">   [MUST]</w:t>
      </w:r>
    </w:p>
    <w:p>
      <w:pPr>
        <w:keepNext/>
        <w:keepLines/>
        <w:spacing w:before="20" w:after="20" w:line="245" w:lineRule="auto"/>
        <w:ind w:left="115" w:right="72"/>
      </w:pPr>
      <w:r>
        <w:rPr>
          <w:rFonts w:ascii="Aptos" w:hAnsi="Aptos"/>
          <w:color w:val="24313D"/>
          <w:sz w:val="16"/>
        </w:rPr>
        <w:t>DDP SHALL require an eligible importer, tax/customs registrations, carrier service capability, payment authority, disbursement/fee acceptance and country-pack permission; tax remittance schemes such as IOSS are separate credentials.</w:t>
      </w:r>
    </w:p>
    <w:p>
      <w:pPr>
        <w:keepLines/>
        <w:spacing w:before="0" w:after="60" w:line="240" w:lineRule="auto"/>
        <w:ind w:left="115" w:right="72"/>
      </w:pPr>
      <w:r>
        <w:rPr>
          <w:rFonts w:ascii="Aptos" w:hAnsi="Aptos"/>
          <w:color w:val="52616B"/>
          <w:sz w:val="14"/>
        </w:rPr>
        <w:t>Trigger: DDP selection  |  Inputs: Party and carrier/tax data  |  Output: DDP eligible/blocked  |  Approval: Tenant compliance/external  |  On failure: Do not offer DDP  |  Evidence: Evidence bundle  |  Sources: SRC-CUS-001, SRC-CUS-003, SRC-CUS-004, SRC-ELC-001, SRC-ELC-002  |  Test: T-CUS-009</w:t>
      </w:r>
    </w:p>
    <w:p>
      <w:pPr>
        <w:pStyle w:val="ReqTitle"/>
        <w:keepNext/>
        <w:shd w:fill="DDF3F5"/>
      </w:pPr>
      <w:r>
        <w:rPr>
          <w:b/>
          <w:color w:val="16324F"/>
        </w:rPr>
        <w:t>CUS-010  •  DAP responsibility display</w:t>
      </w:r>
      <w:r>
        <w:rPr>
          <w:b/>
          <w:color w:val="0F6B78"/>
          <w:sz w:val="15"/>
        </w:rPr>
        <w:t xml:space="preserve">   [MUST]</w:t>
      </w:r>
    </w:p>
    <w:p>
      <w:pPr>
        <w:keepNext/>
        <w:keepLines/>
        <w:spacing w:before="20" w:after="20" w:line="245" w:lineRule="auto"/>
        <w:ind w:left="115" w:right="72"/>
      </w:pPr>
      <w:r>
        <w:rPr>
          <w:rFonts w:ascii="Aptos" w:hAnsi="Aptos"/>
          <w:color w:val="24313D"/>
          <w:sz w:val="16"/>
        </w:rPr>
        <w:t>DAP SHALL display that destination import duty/tax and clearance responsibilities may fall to recipient/importer, subject to local law and carrier terms; acceptance evidence SHALL be retained where required.</w:t>
      </w:r>
    </w:p>
    <w:p>
      <w:pPr>
        <w:keepLines/>
        <w:spacing w:before="0" w:after="60" w:line="240" w:lineRule="auto"/>
        <w:ind w:left="115" w:right="72"/>
      </w:pPr>
      <w:r>
        <w:rPr>
          <w:rFonts w:ascii="Aptos" w:hAnsi="Aptos"/>
          <w:color w:val="52616B"/>
          <w:sz w:val="14"/>
        </w:rPr>
        <w:t>Trigger: DAP selection  |  Inputs: Recipient/importer and customer terms  |  Output: Acknowledged DAP  |  Approval: Customer/tenant  |  On failure: Hold if required acceptance missing  |  Evidence: Terms acceptance  |  Sources: SRC-CUS-001, SRC-CUS-003, SRC-CUS-004, SRC-ELC-001, SRC-ELC-002  |  Test: T-CUS-010</w:t>
      </w:r>
    </w:p>
    <w:p>
      <w:pPr>
        <w:pStyle w:val="ReqTitle"/>
        <w:keepNext/>
        <w:shd w:fill="DDF3F5"/>
      </w:pPr>
      <w:r>
        <w:rPr>
          <w:b/>
          <w:color w:val="16324F"/>
        </w:rPr>
        <w:t>CUS-011  •  Declaration data completeness</w:t>
      </w:r>
      <w:r>
        <w:rPr>
          <w:b/>
          <w:color w:val="0F6B78"/>
          <w:sz w:val="15"/>
        </w:rPr>
        <w:t xml:space="preserve">   [MUST]</w:t>
      </w:r>
    </w:p>
    <w:p>
      <w:pPr>
        <w:keepNext/>
        <w:keepLines/>
        <w:spacing w:before="20" w:after="20" w:line="245" w:lineRule="auto"/>
        <w:ind w:left="115" w:right="72"/>
      </w:pPr>
      <w:r>
        <w:rPr>
          <w:rFonts w:ascii="Aptos" w:hAnsi="Aptos"/>
          <w:color w:val="24313D"/>
          <w:sz w:val="16"/>
        </w:rPr>
        <w:t>Before transmission, the platform SHALL validate required parties, addresses, contacts, invoice data, item descriptions, HS codes, origins, values, currencies, weights, quantities, purpose, procedure, identifiers, licences and documents per adapter schema and country pack.</w:t>
      </w:r>
    </w:p>
    <w:p>
      <w:pPr>
        <w:keepLines/>
        <w:spacing w:before="0" w:after="60" w:line="240" w:lineRule="auto"/>
        <w:ind w:left="115" w:right="72"/>
      </w:pPr>
      <w:r>
        <w:rPr>
          <w:rFonts w:ascii="Aptos" w:hAnsi="Aptos"/>
          <w:color w:val="52616B"/>
          <w:sz w:val="14"/>
        </w:rPr>
        <w:t>Trigger: Pre-file  |  Inputs: Canonical shipment and schema  |  Output: Validated payload  |  Approval: Automated  |  On failure: Hold  |  Evidence: Validation report  |  Sources: SRC-CUS-001, SRC-CUS-003, SRC-CUS-004, SRC-ELC-001, SRC-ELC-002  |  Test: T-CUS-011</w:t>
      </w:r>
    </w:p>
    <w:p>
      <w:pPr>
        <w:pStyle w:val="ReqTitle"/>
        <w:keepNext/>
        <w:shd w:fill="DDF3F5"/>
      </w:pPr>
      <w:r>
        <w:rPr>
          <w:b/>
          <w:color w:val="16324F"/>
        </w:rPr>
        <w:t>CUS-012  •  Line-level fidelity</w:t>
      </w:r>
      <w:r>
        <w:rPr>
          <w:b/>
          <w:color w:val="0F6B78"/>
          <w:sz w:val="15"/>
        </w:rPr>
        <w:t xml:space="preserve">   [MUST]</w:t>
      </w:r>
    </w:p>
    <w:p>
      <w:pPr>
        <w:keepNext/>
        <w:keepLines/>
        <w:spacing w:before="20" w:after="20" w:line="245" w:lineRule="auto"/>
        <w:ind w:left="115" w:right="72"/>
      </w:pPr>
      <w:r>
        <w:rPr>
          <w:rFonts w:ascii="Aptos" w:hAnsi="Aptos"/>
          <w:color w:val="24313D"/>
          <w:sz w:val="16"/>
        </w:rPr>
        <w:t>The system SHALL preserve commercial invoice line distinctions and SHALL not aggregate lines where classification, origin, value, regulation, tax, licence, lot or document treatment differs.</w:t>
      </w:r>
    </w:p>
    <w:p>
      <w:pPr>
        <w:keepLines/>
        <w:spacing w:before="0" w:after="60" w:line="240" w:lineRule="auto"/>
        <w:ind w:left="115" w:right="72"/>
      </w:pPr>
      <w:r>
        <w:rPr>
          <w:rFonts w:ascii="Aptos" w:hAnsi="Aptos"/>
          <w:color w:val="52616B"/>
          <w:sz w:val="14"/>
        </w:rPr>
        <w:t>Trigger: Document/payload generation  |  Inputs: Order lines and measures  |  Output: Declaration lines  |  Approval: Automated  |  On failure: Hold on lossy mapping  |  Evidence: Canonical-to-carrier mapping  |  Sources: SRC-CUS-001, SRC-CUS-003, SRC-CUS-004, SRC-ELC-001, SRC-ELC-002  |  Test: T-CUS-012</w:t>
      </w:r>
    </w:p>
    <w:p>
      <w:pPr>
        <w:pStyle w:val="ReqTitle"/>
        <w:keepNext/>
        <w:shd w:fill="DDF3F5"/>
      </w:pPr>
      <w:r>
        <w:rPr>
          <w:b/>
          <w:color w:val="16324F"/>
        </w:rPr>
        <w:t>CUS-013  •  Carrier/postal filing only</w:t>
      </w:r>
      <w:r>
        <w:rPr>
          <w:b/>
          <w:color w:val="0F6B78"/>
          <w:sz w:val="15"/>
        </w:rPr>
        <w:t xml:space="preserve">   [MUST]</w:t>
      </w:r>
    </w:p>
    <w:p>
      <w:pPr>
        <w:keepNext/>
        <w:keepLines/>
        <w:spacing w:before="20" w:after="20" w:line="245" w:lineRule="auto"/>
        <w:ind w:left="115" w:right="72"/>
      </w:pPr>
      <w:r>
        <w:rPr>
          <w:rFonts w:ascii="Aptos" w:hAnsi="Aptos"/>
          <w:color w:val="24313D"/>
          <w:sz w:val="16"/>
        </w:rPr>
        <w:t>Declaration payloads SHALL be transmitted only to approved adapters; filing status SHALL be PENDING, ACCEPTED, REJECTED, REFERRED, CANCELLED or UNKNOWN and SHALL be derived from external responses.</w:t>
      </w:r>
    </w:p>
    <w:p>
      <w:pPr>
        <w:keepLines/>
        <w:spacing w:before="0" w:after="60" w:line="240" w:lineRule="auto"/>
        <w:ind w:left="115" w:right="72"/>
      </w:pPr>
      <w:r>
        <w:rPr>
          <w:rFonts w:ascii="Aptos" w:hAnsi="Aptos"/>
          <w:color w:val="52616B"/>
          <w:sz w:val="14"/>
        </w:rPr>
        <w:t>Trigger: Submit/status event  |  Inputs: Approved adapter and request  |  Output: Status + external identifiers  |  Approval: External filer  |  On failure: Hold unless accepted/allowed-to-move status  |  Evidence: Signed request/response  |  Sources: SRC-CUS-001, SRC-CUS-003, SRC-CUS-004, SRC-ELC-001, SRC-ELC-002  |  Test: T-CUS-013</w:t>
      </w:r>
    </w:p>
    <w:p>
      <w:pPr>
        <w:pStyle w:val="ReqTitle"/>
        <w:keepNext/>
        <w:shd w:fill="DDF3F5"/>
      </w:pPr>
      <w:r>
        <w:rPr>
          <w:b/>
          <w:color w:val="16324F"/>
        </w:rPr>
        <w:t>CUS-014  •  No success on timeout</w:t>
      </w:r>
      <w:r>
        <w:rPr>
          <w:b/>
          <w:color w:val="0F6B78"/>
          <w:sz w:val="15"/>
        </w:rPr>
        <w:t xml:space="preserve">   [MUST]</w:t>
      </w:r>
    </w:p>
    <w:p>
      <w:pPr>
        <w:keepNext/>
        <w:keepLines/>
        <w:spacing w:before="20" w:after="20" w:line="245" w:lineRule="auto"/>
        <w:ind w:left="115" w:right="72"/>
      </w:pPr>
      <w:r>
        <w:rPr>
          <w:rFonts w:ascii="Aptos" w:hAnsi="Aptos"/>
          <w:color w:val="24313D"/>
          <w:sz w:val="16"/>
        </w:rPr>
        <w:t>Timeout, HTTP success without business acceptance, malformed response or lost correlation SHALL not be recorded as filed or accepted.</w:t>
      </w:r>
    </w:p>
    <w:p>
      <w:pPr>
        <w:keepLines/>
        <w:spacing w:before="0" w:after="60" w:line="240" w:lineRule="auto"/>
        <w:ind w:left="115" w:right="72"/>
      </w:pPr>
      <w:r>
        <w:rPr>
          <w:rFonts w:ascii="Aptos" w:hAnsi="Aptos"/>
          <w:color w:val="52616B"/>
          <w:sz w:val="14"/>
        </w:rPr>
        <w:t>Trigger: Adapter response failure  |  Inputs: Technical/business response  |  Output: UNKNOWN/RETRY_SAFE or manual reconcile  |  Approval: Automated  |  On failure: Hold  |  Evidence: Request ID, payload hash, error  |  Sources: SRC-CUS-001, SRC-CUS-003, SRC-CUS-004, SRC-ELC-001, SRC-ELC-002  |  Test: T-CUS-014</w:t>
      </w:r>
    </w:p>
    <w:p>
      <w:pPr>
        <w:pStyle w:val="ReqTitle"/>
        <w:keepNext/>
        <w:shd w:fill="DDF3F5"/>
      </w:pPr>
      <w:r>
        <w:rPr>
          <w:b/>
          <w:color w:val="16324F"/>
        </w:rPr>
        <w:t>CUS-015  •  Idempotent filing</w:t>
      </w:r>
      <w:r>
        <w:rPr>
          <w:b/>
          <w:color w:val="0F6B78"/>
          <w:sz w:val="15"/>
        </w:rPr>
        <w:t xml:space="preserve">   [MUST]</w:t>
      </w:r>
    </w:p>
    <w:p>
      <w:pPr>
        <w:keepNext/>
        <w:keepLines/>
        <w:spacing w:before="20" w:after="20" w:line="245" w:lineRule="auto"/>
        <w:ind w:left="115" w:right="72"/>
      </w:pPr>
      <w:r>
        <w:rPr>
          <w:rFonts w:ascii="Aptos" w:hAnsi="Aptos"/>
          <w:color w:val="24313D"/>
          <w:sz w:val="16"/>
        </w:rPr>
        <w:t>Retries SHALL use stable idempotency/correlation keys and SHALL prevent duplicate declarations, labels, pickups and charges; ambiguous outcomes require query/reconciliation before retry.</w:t>
      </w:r>
    </w:p>
    <w:p>
      <w:pPr>
        <w:keepLines/>
        <w:spacing w:before="0" w:after="60" w:line="240" w:lineRule="auto"/>
        <w:ind w:left="115" w:right="72"/>
      </w:pPr>
      <w:r>
        <w:rPr>
          <w:rFonts w:ascii="Aptos" w:hAnsi="Aptos"/>
          <w:color w:val="52616B"/>
          <w:sz w:val="14"/>
        </w:rPr>
        <w:t>Trigger: Retry  |  Inputs: Correlation key and prior state  |  Output: Single external transaction  |  Approval: Automated  |  On failure: Hold ambiguous  |  Evidence: Attempt ledger  |  Sources: SRC-CUS-001, SRC-CUS-003, SRC-CUS-004, SRC-ELC-001, SRC-ELC-002  |  Test: T-CUS-015</w:t>
      </w:r>
    </w:p>
    <w:p>
      <w:pPr>
        <w:pStyle w:val="ReqTitle"/>
        <w:keepNext/>
        <w:shd w:fill="DDF3F5"/>
      </w:pPr>
      <w:r>
        <w:rPr>
          <w:b/>
          <w:color w:val="16324F"/>
        </w:rPr>
        <w:t>CUS-016  •  Amendment/cancellation</w:t>
      </w:r>
      <w:r>
        <w:rPr>
          <w:b/>
          <w:color w:val="0F6B78"/>
          <w:sz w:val="15"/>
        </w:rPr>
        <w:t xml:space="preserve">   [MUST]</w:t>
      </w:r>
    </w:p>
    <w:p>
      <w:pPr>
        <w:keepNext/>
        <w:keepLines/>
        <w:spacing w:before="20" w:after="20" w:line="245" w:lineRule="auto"/>
        <w:ind w:left="115" w:right="72"/>
      </w:pPr>
      <w:r>
        <w:rPr>
          <w:rFonts w:ascii="Aptos" w:hAnsi="Aptos"/>
          <w:color w:val="24313D"/>
          <w:sz w:val="16"/>
        </w:rPr>
        <w:t>Any post-submission change SHALL use the carrier/postal amendment, void or cancellation process; local data may not be overwritten as though the original submission never existed.</w:t>
      </w:r>
    </w:p>
    <w:p>
      <w:pPr>
        <w:keepLines/>
        <w:spacing w:before="0" w:after="60" w:line="240" w:lineRule="auto"/>
        <w:ind w:left="115" w:right="72"/>
      </w:pPr>
      <w:r>
        <w:rPr>
          <w:rFonts w:ascii="Aptos" w:hAnsi="Aptos"/>
          <w:color w:val="52616B"/>
          <w:sz w:val="14"/>
        </w:rPr>
        <w:t>Trigger: Shipment change/cancel  |  Inputs: External state and change  |  Output: Amended/voided/new declaration  |  Approval: External filer  |  On failure: Hold pending response  |  Evidence: Before/after records  |  Sources: SRC-CUS-001, SRC-CUS-003, SRC-CUS-004, SRC-ELC-001, SRC-ELC-002  |  Test: T-CUS-016</w:t>
      </w:r>
    </w:p>
    <w:p>
      <w:pPr>
        <w:pStyle w:val="ReqTitle"/>
        <w:keepNext/>
        <w:shd w:fill="DDF3F5"/>
      </w:pPr>
      <w:r>
        <w:rPr>
          <w:b/>
          <w:color w:val="16324F"/>
        </w:rPr>
        <w:t>CUS-017  •  Document truth source</w:t>
      </w:r>
      <w:r>
        <w:rPr>
          <w:b/>
          <w:color w:val="0F6B78"/>
          <w:sz w:val="15"/>
        </w:rPr>
        <w:t xml:space="preserve">   [MUST]</w:t>
      </w:r>
    </w:p>
    <w:p>
      <w:pPr>
        <w:keepNext/>
        <w:keepLines/>
        <w:spacing w:before="20" w:after="20" w:line="245" w:lineRule="auto"/>
        <w:ind w:left="115" w:right="72"/>
      </w:pPr>
      <w:r>
        <w:rPr>
          <w:rFonts w:ascii="Aptos" w:hAnsi="Aptos"/>
          <w:color w:val="24313D"/>
          <w:sz w:val="16"/>
        </w:rPr>
        <w:t>Commercial invoice, pro forma, packing list, origin statement, permits, DG documents, CN22/CN23, AWB and manifests SHALL be generated from one versioned canonical dataset, with schema-specific transforms.</w:t>
      </w:r>
    </w:p>
    <w:p>
      <w:pPr>
        <w:keepLines/>
        <w:spacing w:before="0" w:after="60" w:line="240" w:lineRule="auto"/>
        <w:ind w:left="115" w:right="72"/>
      </w:pPr>
      <w:r>
        <w:rPr>
          <w:rFonts w:ascii="Aptos" w:hAnsi="Aptos"/>
          <w:color w:val="52616B"/>
          <w:sz w:val="14"/>
        </w:rPr>
        <w:t>Trigger: Document generation  |  Inputs: Canonical shipment version  |  Output: Document set  |  Approval: Automated  |  On failure: Do not render inconsistent documents  |  Evidence: Template/version/hash  |  Sources: SRC-CUS-001, SRC-CUS-003, SRC-CUS-004, SRC-ELC-001, SRC-ELC-002  |  Test: T-CUS-017</w:t>
      </w:r>
    </w:p>
    <w:p>
      <w:pPr>
        <w:pStyle w:val="ReqTitle"/>
        <w:keepNext/>
        <w:shd w:fill="DDF3F5"/>
      </w:pPr>
      <w:r>
        <w:rPr>
          <w:b/>
          <w:color w:val="16324F"/>
        </w:rPr>
        <w:t>CUS-018  •  Electronic signature legality</w:t>
      </w:r>
      <w:r>
        <w:rPr>
          <w:b/>
          <w:color w:val="0F6B78"/>
          <w:sz w:val="15"/>
        </w:rPr>
        <w:t xml:space="preserve">   [MUST]</w:t>
      </w:r>
    </w:p>
    <w:p>
      <w:pPr>
        <w:keepNext/>
        <w:keepLines/>
        <w:spacing w:before="20" w:after="20" w:line="245" w:lineRule="auto"/>
        <w:ind w:left="115" w:right="72"/>
      </w:pPr>
      <w:r>
        <w:rPr>
          <w:rFonts w:ascii="Aptos" w:hAnsi="Aptos"/>
          <w:color w:val="24313D"/>
          <w:sz w:val="16"/>
        </w:rPr>
        <w:t>Electronic signatures SHALL be used only where the country pack and recipient/carrier permit them; signature identity, intent, method, timestamp and tamper evidence SHALL be retained.</w:t>
      </w:r>
    </w:p>
    <w:p>
      <w:pPr>
        <w:keepLines/>
        <w:spacing w:before="0" w:after="60" w:line="240" w:lineRule="auto"/>
        <w:ind w:left="115" w:right="72"/>
      </w:pPr>
      <w:r>
        <w:rPr>
          <w:rFonts w:ascii="Aptos" w:hAnsi="Aptos"/>
          <w:color w:val="52616B"/>
          <w:sz w:val="14"/>
        </w:rPr>
        <w:t>Trigger: Document signing  |  Inputs: Jurisdictions, document type, signer  |  Output: Valid signed document or wet-sign requirement  |  Approval: Authorized signer  |  On failure: Hold  |  Evidence: Signature evidence  |  Sources: SRC-CUS-001, SRC-CUS-003, SRC-CUS-004, SRC-ELC-001, SRC-ELC-002  |  Test: T-CUS-018</w:t>
      </w:r>
    </w:p>
    <w:p>
      <w:pPr>
        <w:pStyle w:val="ReqTitle"/>
        <w:keepNext/>
        <w:shd w:fill="DDF3F5"/>
      </w:pPr>
      <w:r>
        <w:rPr>
          <w:b/>
          <w:color w:val="16324F"/>
        </w:rPr>
        <w:t>CUS-019  •  Document language/copies</w:t>
      </w:r>
      <w:r>
        <w:rPr>
          <w:b/>
          <w:color w:val="0F6B78"/>
          <w:sz w:val="15"/>
        </w:rPr>
        <w:t xml:space="preserve">   [MUST]</w:t>
      </w:r>
    </w:p>
    <w:p>
      <w:pPr>
        <w:keepNext/>
        <w:keepLines/>
        <w:spacing w:before="20" w:after="20" w:line="245" w:lineRule="auto"/>
        <w:ind w:left="115" w:right="72"/>
      </w:pPr>
      <w:r>
        <w:rPr>
          <w:rFonts w:ascii="Aptos" w:hAnsi="Aptos"/>
          <w:color w:val="24313D"/>
          <w:sz w:val="16"/>
        </w:rPr>
        <w:t>Country packs and adapters SHALL specify permitted languages, translations, original/copy status, signature/stamp needs, document count and placement/pouch rules.</w:t>
      </w:r>
    </w:p>
    <w:p>
      <w:pPr>
        <w:keepLines/>
        <w:spacing w:before="0" w:after="60" w:line="240" w:lineRule="auto"/>
        <w:ind w:left="115" w:right="72"/>
      </w:pPr>
      <w:r>
        <w:rPr>
          <w:rFonts w:ascii="Aptos" w:hAnsi="Aptos"/>
          <w:color w:val="52616B"/>
          <w:sz w:val="14"/>
        </w:rPr>
        <w:t>Trigger: Document generation/handover  |  Inputs: Lane, service, document types  |  Output: Document instructions  |  Approval: Automated  |  On failure: Hold  |  Evidence: Instruction version and packing confirmation  |  Sources: SRC-CUS-001, SRC-CUS-003, SRC-CUS-004, SRC-ELC-001, SRC-ELC-002  |  Test: T-CUS-019</w:t>
      </w:r>
    </w:p>
    <w:p>
      <w:pPr>
        <w:pStyle w:val="ReqTitle"/>
        <w:keepNext/>
        <w:shd w:fill="DDF3F5"/>
      </w:pPr>
      <w:r>
        <w:rPr>
          <w:b/>
          <w:color w:val="16324F"/>
        </w:rPr>
        <w:t>CUS-020  •  Record declaration identifiers</w:t>
      </w:r>
      <w:r>
        <w:rPr>
          <w:b/>
          <w:color w:val="0F6B78"/>
          <w:sz w:val="15"/>
        </w:rPr>
        <w:t xml:space="preserve">   [MUST]</w:t>
      </w:r>
    </w:p>
    <w:p>
      <w:pPr>
        <w:keepNext/>
        <w:keepLines/>
        <w:spacing w:before="20" w:after="20" w:line="245" w:lineRule="auto"/>
        <w:ind w:left="115" w:right="72"/>
      </w:pPr>
      <w:r>
        <w:rPr>
          <w:rFonts w:ascii="Aptos" w:hAnsi="Aptos"/>
          <w:color w:val="24313D"/>
          <w:sz w:val="16"/>
        </w:rPr>
        <w:t>MRN/entry number, carrier declaration ID, postal message IDs, referral IDs and status timestamps SHALL be stored as typed external references and never inferred from tracking numbers.</w:t>
      </w:r>
    </w:p>
    <w:p>
      <w:pPr>
        <w:keepLines/>
        <w:spacing w:before="0" w:after="60" w:line="240" w:lineRule="auto"/>
        <w:ind w:left="115" w:right="72"/>
      </w:pPr>
      <w:r>
        <w:rPr>
          <w:rFonts w:ascii="Aptos" w:hAnsi="Aptos"/>
          <w:color w:val="52616B"/>
          <w:sz w:val="14"/>
        </w:rPr>
        <w:t>Trigger: Filing response  |  Inputs: External identifiers  |  Output: Typed references  |  Approval: Automated  |  On failure: Hold if required reference absent  |  Evidence: Response snapshot  |  Sources: SRC-CUS-001, SRC-CUS-003, SRC-CUS-004, SRC-ELC-001, SRC-ELC-002  |  Test: T-CUS-020</w:t>
      </w:r>
    </w:p>
    <w:p>
      <w:pPr>
        <w:pStyle w:val="ReqTitle"/>
        <w:keepNext/>
        <w:shd w:fill="DDF3F5"/>
      </w:pPr>
      <w:r>
        <w:rPr>
          <w:b/>
          <w:color w:val="16324F"/>
        </w:rPr>
        <w:t>CUS-021  •  Return/re-import linkage</w:t>
      </w:r>
      <w:r>
        <w:rPr>
          <w:b/>
          <w:color w:val="0F6B78"/>
          <w:sz w:val="15"/>
        </w:rPr>
        <w:t xml:space="preserve">   [MUST]</w:t>
      </w:r>
    </w:p>
    <w:p>
      <w:pPr>
        <w:keepNext/>
        <w:keepLines/>
        <w:spacing w:before="20" w:after="20" w:line="245" w:lineRule="auto"/>
        <w:ind w:left="115" w:right="72"/>
      </w:pPr>
      <w:r>
        <w:rPr>
          <w:rFonts w:ascii="Aptos" w:hAnsi="Aptos"/>
          <w:color w:val="24313D"/>
          <w:sz w:val="16"/>
        </w:rPr>
        <w:t>Returns and re-imports SHALL link original export/declaration, goods identity/serials, value, reason, condition and relief eligibility; absence of evidence means normal import treatment or hold.</w:t>
      </w:r>
    </w:p>
    <w:p>
      <w:pPr>
        <w:keepLines/>
        <w:spacing w:before="0" w:after="60" w:line="240" w:lineRule="auto"/>
        <w:ind w:left="115" w:right="72"/>
      </w:pPr>
      <w:r>
        <w:rPr>
          <w:rFonts w:ascii="Aptos" w:hAnsi="Aptos"/>
          <w:color w:val="52616B"/>
          <w:sz w:val="14"/>
        </w:rPr>
        <w:t>Trigger: Return creation  |  Inputs: Original shipment/evidence  |  Output: Relief path or standard import  |  Approval: Customs reviewer/external filer  |  On failure: Hold if relief claimed without evidence  |  Evidence: Linked records  |  Sources: SRC-CUS-001, SRC-CUS-003, SRC-CUS-004, SRC-ELC-001, SRC-ELC-002  |  Test: T-CUS-021</w:t>
      </w:r>
    </w:p>
    <w:p>
      <w:pPr>
        <w:pStyle w:val="ReqTitle"/>
        <w:keepNext/>
        <w:shd w:fill="DDF3F5"/>
      </w:pPr>
      <w:r>
        <w:rPr>
          <w:b/>
          <w:color w:val="16324F"/>
        </w:rPr>
        <w:t>CUS-022  •  Temporary export/re-import</w:t>
      </w:r>
      <w:r>
        <w:rPr>
          <w:b/>
          <w:color w:val="0F6B78"/>
          <w:sz w:val="15"/>
        </w:rPr>
        <w:t xml:space="preserve">   [MUST]</w:t>
      </w:r>
    </w:p>
    <w:p>
      <w:pPr>
        <w:keepNext/>
        <w:keepLines/>
        <w:spacing w:before="20" w:after="20" w:line="245" w:lineRule="auto"/>
        <w:ind w:left="115" w:right="72"/>
      </w:pPr>
      <w:r>
        <w:rPr>
          <w:rFonts w:ascii="Aptos" w:hAnsi="Aptos"/>
          <w:color w:val="24313D"/>
          <w:sz w:val="16"/>
        </w:rPr>
        <w:t>Temporary admission/export procedures SHALL capture procedure, authorization/carnet/reference, expiry, goods serial identity, conditions and discharge/re-export evidence; expiry alerts are mandatory.</w:t>
      </w:r>
    </w:p>
    <w:p>
      <w:pPr>
        <w:keepLines/>
        <w:spacing w:before="0" w:after="60" w:line="240" w:lineRule="auto"/>
        <w:ind w:left="115" w:right="72"/>
      </w:pPr>
      <w:r>
        <w:rPr>
          <w:rFonts w:ascii="Aptos" w:hAnsi="Aptos"/>
          <w:color w:val="52616B"/>
          <w:sz w:val="14"/>
        </w:rPr>
        <w:t>Trigger: Temporary flow  |  Inputs: Authorization and goods IDs  |  Output: Procedure allowed/blocked  |  Approval: External broker/carrier approval  |  On failure: Hold and escalate  |  Evidence: Lifecycle dossier  |  Sources: SRC-CUS-001, SRC-CUS-003, SRC-CUS-004, SRC-ELC-001, SRC-ELC-002  |  Test: T-CUS-022</w:t>
      </w:r>
    </w:p>
    <w:p>
      <w:pPr>
        <w:pStyle w:val="Heading2"/>
        <w:keepNext/>
      </w:pPr>
      <w:r>
        <w:t>20.6 Postal packets (13 controls)</w:t>
      </w:r>
    </w:p>
    <w:p>
      <w:pPr>
        <w:pStyle w:val="ReqTitle"/>
        <w:keepNext/>
        <w:shd w:fill="DDF3F5"/>
      </w:pPr>
      <w:r>
        <w:rPr>
          <w:b/>
          <w:color w:val="16324F"/>
        </w:rPr>
        <w:t>POS-001  •  Postal operator contract</w:t>
      </w:r>
      <w:r>
        <w:rPr>
          <w:b/>
          <w:color w:val="0F6B78"/>
          <w:sz w:val="15"/>
        </w:rPr>
        <w:t xml:space="preserve">   [MUST]</w:t>
      </w:r>
    </w:p>
    <w:p>
      <w:pPr>
        <w:keepNext/>
        <w:keepLines/>
        <w:spacing w:before="20" w:after="20" w:line="245" w:lineRule="auto"/>
        <w:ind w:left="115" w:right="72"/>
      </w:pPr>
      <w:r>
        <w:rPr>
          <w:rFonts w:ascii="Aptos" w:hAnsi="Aptos"/>
          <w:color w:val="24313D"/>
          <w:sz w:val="16"/>
        </w:rPr>
        <w:t>Postal services SHALL be enabled only for an origin designated operator or authorized consolidator account whose contract permits the tenant's traffic and commodities.</w:t>
      </w:r>
    </w:p>
    <w:p>
      <w:pPr>
        <w:keepLines/>
        <w:spacing w:before="0" w:after="60" w:line="240" w:lineRule="auto"/>
        <w:ind w:left="115" w:right="72"/>
      </w:pPr>
      <w:r>
        <w:rPr>
          <w:rFonts w:ascii="Aptos" w:hAnsi="Aptos"/>
          <w:color w:val="52616B"/>
          <w:sz w:val="14"/>
        </w:rPr>
        <w:t>Trigger: Postal service selection  |  Inputs: Origin DO/account, customer class, service  |  Output: Eligible service  |  Approval: Postal operator  |  On failure: Block  |  Evidence: Account/capability record  |  Sources: SRC-POST-001, SRC-POST-002, SRC-POST-003, SRC-POST-004  |  Test: T-POS-001</w:t>
      </w:r>
    </w:p>
    <w:p>
      <w:pPr>
        <w:pStyle w:val="ReqTitle"/>
        <w:keepNext/>
        <w:shd w:fill="DDF3F5"/>
      </w:pPr>
      <w:r>
        <w:rPr>
          <w:b/>
          <w:color w:val="16324F"/>
        </w:rPr>
        <w:t>POS-002  •  S10 identifier control</w:t>
      </w:r>
      <w:r>
        <w:rPr>
          <w:b/>
          <w:color w:val="0F6B78"/>
          <w:sz w:val="15"/>
        </w:rPr>
        <w:t xml:space="preserve">   [MUST]</w:t>
      </w:r>
    </w:p>
    <w:p>
      <w:pPr>
        <w:keepNext/>
        <w:keepLines/>
        <w:spacing w:before="20" w:after="20" w:line="245" w:lineRule="auto"/>
        <w:ind w:left="115" w:right="72"/>
      </w:pPr>
      <w:r>
        <w:rPr>
          <w:rFonts w:ascii="Aptos" w:hAnsi="Aptos"/>
          <w:color w:val="24313D"/>
          <w:sz w:val="16"/>
        </w:rPr>
        <w:t>International postal item identifiers SHALL conform to the applicable S10 standard and shall not be reused within the prohibited interval; assignment SHALL be atomic and traceable.</w:t>
      </w:r>
    </w:p>
    <w:p>
      <w:pPr>
        <w:keepLines/>
        <w:spacing w:before="0" w:after="60" w:line="240" w:lineRule="auto"/>
        <w:ind w:left="115" w:right="72"/>
      </w:pPr>
      <w:r>
        <w:rPr>
          <w:rFonts w:ascii="Aptos" w:hAnsi="Aptos"/>
          <w:color w:val="52616B"/>
          <w:sz w:val="14"/>
        </w:rPr>
        <w:t>Trigger: Postal item creation  |  Inputs: Identifier allocation range and service indicator  |  Output: Unique S10  |  Approval: Automated  |  On failure: No label  |  Evidence: Allocation ledger  |  Sources: SRC-POST-001, SRC-POST-002, SRC-POST-003, SRC-POST-004  |  Test: T-POS-002</w:t>
      </w:r>
    </w:p>
    <w:p>
      <w:pPr>
        <w:pStyle w:val="ReqTitle"/>
        <w:keepNext/>
        <w:shd w:fill="DDF3F5"/>
      </w:pPr>
      <w:r>
        <w:rPr>
          <w:b/>
          <w:color w:val="16324F"/>
        </w:rPr>
        <w:t>POS-003  •  ITMATT message</w:t>
      </w:r>
      <w:r>
        <w:rPr>
          <w:b/>
          <w:color w:val="0F6B78"/>
          <w:sz w:val="15"/>
        </w:rPr>
        <w:t xml:space="preserve">   [MUST]</w:t>
      </w:r>
    </w:p>
    <w:p>
      <w:pPr>
        <w:keepNext/>
        <w:keepLines/>
        <w:spacing w:before="20" w:after="20" w:line="245" w:lineRule="auto"/>
        <w:ind w:left="115" w:right="72"/>
      </w:pPr>
      <w:r>
        <w:rPr>
          <w:rFonts w:ascii="Aptos" w:hAnsi="Aptos"/>
          <w:color w:val="24313D"/>
          <w:sz w:val="16"/>
        </w:rPr>
        <w:t>Goods items SHALL produce complete ITMATT data for each content line including precise description, quantity, value/currency, net weight, origin and HS code where required.</w:t>
      </w:r>
    </w:p>
    <w:p>
      <w:pPr>
        <w:keepLines/>
        <w:spacing w:before="0" w:after="60" w:line="240" w:lineRule="auto"/>
        <w:ind w:left="115" w:right="72"/>
      </w:pPr>
      <w:r>
        <w:rPr>
          <w:rFonts w:ascii="Aptos" w:hAnsi="Aptos"/>
          <w:color w:val="52616B"/>
          <w:sz w:val="14"/>
        </w:rPr>
        <w:t>Trigger: Pre-advice  |  Inputs: Postal item and contents  |  Output: Validated ITMATT  |  Approval: Automated  |  On failure: Hold  |  Evidence: Message payload/hash  |  Sources: SRC-POST-001, SRC-POST-002, SRC-POST-003, SRC-POST-004  |  Test: T-POS-003</w:t>
      </w:r>
    </w:p>
    <w:p>
      <w:pPr>
        <w:pStyle w:val="ReqTitle"/>
        <w:keepNext/>
        <w:shd w:fill="DDF3F5"/>
      </w:pPr>
      <w:r>
        <w:rPr>
          <w:b/>
          <w:color w:val="16324F"/>
        </w:rPr>
        <w:t>POS-004  •  CN22/CN23 consistency</w:t>
      </w:r>
      <w:r>
        <w:rPr>
          <w:b/>
          <w:color w:val="0F6B78"/>
          <w:sz w:val="15"/>
        </w:rPr>
        <w:t xml:space="preserve">   [MUST]</w:t>
      </w:r>
    </w:p>
    <w:p>
      <w:pPr>
        <w:keepNext/>
        <w:keepLines/>
        <w:spacing w:before="20" w:after="20" w:line="245" w:lineRule="auto"/>
        <w:ind w:left="115" w:right="72"/>
      </w:pPr>
      <w:r>
        <w:rPr>
          <w:rFonts w:ascii="Aptos" w:hAnsi="Aptos"/>
          <w:color w:val="24313D"/>
          <w:sz w:val="16"/>
        </w:rPr>
        <w:t>Paper or rendered CN22/CN23 data SHALL match the electronic customs data and the package contents; signed forms SHALL be captured where required.</w:t>
      </w:r>
    </w:p>
    <w:p>
      <w:pPr>
        <w:keepLines/>
        <w:spacing w:before="0" w:after="60" w:line="240" w:lineRule="auto"/>
        <w:ind w:left="115" w:right="72"/>
      </w:pPr>
      <w:r>
        <w:rPr>
          <w:rFonts w:ascii="Aptos" w:hAnsi="Aptos"/>
          <w:color w:val="52616B"/>
          <w:sz w:val="14"/>
        </w:rPr>
        <w:t>Trigger: Document print/handover  |  Inputs: ITMATT/canonical data and form rules  |  Output: Consistent form  |  Approval: Shipper/authorized signatory  |  On failure: Hold  |  Evidence: Rendered form/hash/signature  |  Sources: SRC-POST-001, SRC-POST-002, SRC-POST-003, SRC-POST-004  |  Test: T-POS-004</w:t>
      </w:r>
    </w:p>
    <w:p>
      <w:pPr>
        <w:pStyle w:val="ReqTitle"/>
        <w:keepNext/>
        <w:shd w:fill="DDF3F5"/>
      </w:pPr>
      <w:r>
        <w:rPr>
          <w:b/>
          <w:color w:val="16324F"/>
        </w:rPr>
        <w:t>POS-005  •  Postal nesting</w:t>
      </w:r>
      <w:r>
        <w:rPr>
          <w:b/>
          <w:color w:val="0F6B78"/>
          <w:sz w:val="15"/>
        </w:rPr>
        <w:t xml:space="preserve">   [MUST]</w:t>
      </w:r>
    </w:p>
    <w:p>
      <w:pPr>
        <w:keepNext/>
        <w:keepLines/>
        <w:spacing w:before="20" w:after="20" w:line="245" w:lineRule="auto"/>
        <w:ind w:left="115" w:right="72"/>
      </w:pPr>
      <w:r>
        <w:rPr>
          <w:rFonts w:ascii="Aptos" w:hAnsi="Aptos"/>
          <w:color w:val="24313D"/>
          <w:sz w:val="16"/>
        </w:rPr>
        <w:t>S10 item identifiers SHALL be nested into receptacle/dispatch identifiers and PREDES messages according to the operator's standard; orphaned or duplicate nesting is prohibited.</w:t>
      </w:r>
    </w:p>
    <w:p>
      <w:pPr>
        <w:keepLines/>
        <w:spacing w:before="0" w:after="60" w:line="240" w:lineRule="auto"/>
        <w:ind w:left="115" w:right="72"/>
      </w:pPr>
      <w:r>
        <w:rPr>
          <w:rFonts w:ascii="Aptos" w:hAnsi="Aptos"/>
          <w:color w:val="52616B"/>
          <w:sz w:val="14"/>
        </w:rPr>
        <w:t>Trigger: Dispatch close  |  Inputs: Item/receptacle/dispatch IDs  |  Output: Valid nesting  |  Approval: Automated  |  On failure: Do not close dispatch  |  Evidence: PREDES and scan reconciliation  |  Sources: SRC-POST-001, SRC-POST-002, SRC-POST-003, SRC-POST-004  |  Test: T-POS-005</w:t>
      </w:r>
    </w:p>
    <w:p>
      <w:pPr>
        <w:pStyle w:val="ReqTitle"/>
        <w:keepNext/>
        <w:shd w:fill="DDF3F5"/>
      </w:pPr>
      <w:r>
        <w:rPr>
          <w:b/>
          <w:color w:val="16324F"/>
        </w:rPr>
        <w:t>POS-006  •  CARDIT/air carrier handover</w:t>
      </w:r>
      <w:r>
        <w:rPr>
          <w:b/>
          <w:color w:val="0F6B78"/>
          <w:sz w:val="15"/>
        </w:rPr>
        <w:t xml:space="preserve">   [MUST]</w:t>
      </w:r>
    </w:p>
    <w:p>
      <w:pPr>
        <w:keepNext/>
        <w:keepLines/>
        <w:spacing w:before="20" w:after="20" w:line="245" w:lineRule="auto"/>
        <w:ind w:left="115" w:right="72"/>
      </w:pPr>
      <w:r>
        <w:rPr>
          <w:rFonts w:ascii="Aptos" w:hAnsi="Aptos"/>
          <w:color w:val="24313D"/>
          <w:sz w:val="16"/>
        </w:rPr>
        <w:t>Where the postal route uses air, CARDIT data including advance-risk indicators SHALL be transmitted through the postal/air partner flow before tender as required.</w:t>
      </w:r>
    </w:p>
    <w:p>
      <w:pPr>
        <w:keepLines/>
        <w:spacing w:before="0" w:after="60" w:line="240" w:lineRule="auto"/>
        <w:ind w:left="115" w:right="72"/>
      </w:pPr>
      <w:r>
        <w:rPr>
          <w:rFonts w:ascii="Aptos" w:hAnsi="Aptos"/>
          <w:color w:val="52616B"/>
          <w:sz w:val="14"/>
        </w:rPr>
        <w:t>Trigger: Dispatch/transport assignment  |  Inputs: Dispatch, flight/transport and security data  |  Output: Accepted CARDIT status  |  Approval: Postal/air partner  |  On failure: Hold dispatch  |  Evidence: Message/response  |  Sources: SRC-POST-001, SRC-POST-002, SRC-POST-003, SRC-POST-004  |  Test: T-POS-006</w:t>
      </w:r>
    </w:p>
    <w:p>
      <w:pPr>
        <w:pStyle w:val="ReqTitle"/>
        <w:keepNext/>
        <w:shd w:fill="DDF3F5"/>
      </w:pPr>
      <w:r>
        <w:rPr>
          <w:b/>
          <w:color w:val="16324F"/>
        </w:rPr>
        <w:t>POS-007  •  PLACI 7+1 completeness</w:t>
      </w:r>
      <w:r>
        <w:rPr>
          <w:b/>
          <w:color w:val="0F6B78"/>
          <w:sz w:val="15"/>
        </w:rPr>
        <w:t xml:space="preserve">   [MUST]</w:t>
      </w:r>
    </w:p>
    <w:p>
      <w:pPr>
        <w:keepNext/>
        <w:keepLines/>
        <w:spacing w:before="20" w:after="20" w:line="245" w:lineRule="auto"/>
        <w:ind w:left="115" w:right="72"/>
      </w:pPr>
      <w:r>
        <w:rPr>
          <w:rFonts w:ascii="Aptos" w:hAnsi="Aptos"/>
          <w:color w:val="24313D"/>
          <w:sz w:val="16"/>
        </w:rPr>
        <w:t>At minimum when PLACI applies, consignor name/address, consignee name/address, package count, gross weight and unit, brief description and item/consignment identifier SHALL be complete before the filing cut-off.</w:t>
      </w:r>
    </w:p>
    <w:p>
      <w:pPr>
        <w:keepLines/>
        <w:spacing w:before="0" w:after="60" w:line="240" w:lineRule="auto"/>
        <w:ind w:left="115" w:right="72"/>
      </w:pPr>
      <w:r>
        <w:rPr>
          <w:rFonts w:ascii="Aptos" w:hAnsi="Aptos"/>
          <w:color w:val="52616B"/>
          <w:sz w:val="14"/>
        </w:rPr>
        <w:t>Trigger: Air postal flow  |  Inputs: 7+1 fields and timing  |  Output: PLACI-ready  |  Approval: Automated/external filer  |  On failure: Do not load/tender  |  Evidence: Validation and submission  |  Sources: SRC-POST-001, SRC-POST-002, SRC-POST-003, SRC-POST-004  |  Test: T-POS-007</w:t>
      </w:r>
    </w:p>
    <w:p>
      <w:pPr>
        <w:pStyle w:val="ReqTitle"/>
        <w:keepNext/>
        <w:shd w:fill="DDF3F5"/>
      </w:pPr>
      <w:r>
        <w:rPr>
          <w:b/>
          <w:color w:val="16324F"/>
        </w:rPr>
        <w:t>POS-008  •  Referral handling</w:t>
      </w:r>
      <w:r>
        <w:rPr>
          <w:b/>
          <w:color w:val="0F6B78"/>
          <w:sz w:val="15"/>
        </w:rPr>
        <w:t xml:space="preserve">   [MUST]</w:t>
      </w:r>
    </w:p>
    <w:p>
      <w:pPr>
        <w:keepNext/>
        <w:keepLines/>
        <w:spacing w:before="20" w:after="20" w:line="245" w:lineRule="auto"/>
        <w:ind w:left="115" w:right="72"/>
      </w:pPr>
      <w:r>
        <w:rPr>
          <w:rFonts w:ascii="Aptos" w:hAnsi="Aptos"/>
          <w:color w:val="24313D"/>
          <w:sz w:val="16"/>
        </w:rPr>
        <w:t>RFI, RFS and DNL referrals SHALL enter explicit state-machine workflows; DNL can be cleared only by the competent external authority/carrier response, never by a tenant user.</w:t>
      </w:r>
    </w:p>
    <w:p>
      <w:pPr>
        <w:keepLines/>
        <w:spacing w:before="0" w:after="60" w:line="240" w:lineRule="auto"/>
        <w:ind w:left="115" w:right="72"/>
      </w:pPr>
      <w:r>
        <w:rPr>
          <w:rFonts w:ascii="Aptos" w:hAnsi="Aptos"/>
          <w:color w:val="52616B"/>
          <w:sz w:val="14"/>
        </w:rPr>
        <w:t>Trigger: Referral received  |  Inputs: Referral type, item, authority response  |  Output: Pending/responded/cleared/DNL  |  Approval: External authority/carrier  |  On failure: Hold/segregate  |  Evidence: ITMREF/REFRSP or partner equivalent  |  Sources: SRC-POST-001, SRC-POST-002, SRC-POST-003, SRC-POST-004  |  Test: T-POS-008</w:t>
      </w:r>
    </w:p>
    <w:p>
      <w:pPr>
        <w:pStyle w:val="ReqTitle"/>
        <w:keepNext/>
        <w:shd w:fill="DDF3F5"/>
      </w:pPr>
      <w:r>
        <w:rPr>
          <w:b/>
          <w:color w:val="16324F"/>
        </w:rPr>
        <w:t>POS-009  •  Postal security hold</w:t>
      </w:r>
      <w:r>
        <w:rPr>
          <w:b/>
          <w:color w:val="0F6B78"/>
          <w:sz w:val="15"/>
        </w:rPr>
        <w:t xml:space="preserve">   [MUST]</w:t>
      </w:r>
    </w:p>
    <w:p>
      <w:pPr>
        <w:keepNext/>
        <w:keepLines/>
        <w:spacing w:before="20" w:after="20" w:line="245" w:lineRule="auto"/>
        <w:ind w:left="115" w:right="72"/>
      </w:pPr>
      <w:r>
        <w:rPr>
          <w:rFonts w:ascii="Aptos" w:hAnsi="Aptos"/>
          <w:color w:val="24313D"/>
          <w:sz w:val="16"/>
        </w:rPr>
        <w:t>A DNL or unresolved security referral SHALL prevent container close and carrier handover and SHALL trigger physical segregation with restricted access.</w:t>
      </w:r>
    </w:p>
    <w:p>
      <w:pPr>
        <w:keepLines/>
        <w:spacing w:before="0" w:after="60" w:line="240" w:lineRule="auto"/>
        <w:ind w:left="115" w:right="72"/>
      </w:pPr>
      <w:r>
        <w:rPr>
          <w:rFonts w:ascii="Aptos" w:hAnsi="Aptos"/>
          <w:color w:val="52616B"/>
          <w:sz w:val="14"/>
        </w:rPr>
        <w:t>Trigger: Referral/state  |  Inputs: Item location and dispatch  |  Output: Segregated hold  |  Approval: Warehouse security  |  On failure: Block dispatch  |  Evidence: Scan/location/incident log  |  Sources: SRC-POST-001, SRC-POST-002, SRC-POST-003, SRC-POST-004  |  Test: T-POS-009</w:t>
      </w:r>
    </w:p>
    <w:p>
      <w:pPr>
        <w:pStyle w:val="ReqTitle"/>
        <w:keepNext/>
        <w:shd w:fill="DDF3F5"/>
      </w:pPr>
      <w:r>
        <w:rPr>
          <w:b/>
          <w:color w:val="16324F"/>
        </w:rPr>
        <w:t>POS-010  •  Data-before-goods</w:t>
      </w:r>
      <w:r>
        <w:rPr>
          <w:b/>
          <w:color w:val="0F6B78"/>
          <w:sz w:val="15"/>
        </w:rPr>
        <w:t xml:space="preserve">   [MUST]</w:t>
      </w:r>
    </w:p>
    <w:p>
      <w:pPr>
        <w:keepNext/>
        <w:keepLines/>
        <w:spacing w:before="20" w:after="20" w:line="245" w:lineRule="auto"/>
        <w:ind w:left="115" w:right="72"/>
      </w:pPr>
      <w:r>
        <w:rPr>
          <w:rFonts w:ascii="Aptos" w:hAnsi="Aptos"/>
          <w:color w:val="24313D"/>
          <w:sz w:val="16"/>
        </w:rPr>
        <w:t>Required EAD SHALL be acknowledged or otherwise in the external accepted state before physical entry/loading/tender cut-offs.</w:t>
      </w:r>
    </w:p>
    <w:p>
      <w:pPr>
        <w:keepLines/>
        <w:spacing w:before="0" w:after="60" w:line="240" w:lineRule="auto"/>
        <w:ind w:left="115" w:right="72"/>
      </w:pPr>
      <w:r>
        <w:rPr>
          <w:rFonts w:ascii="Aptos" w:hAnsi="Aptos"/>
          <w:color w:val="52616B"/>
          <w:sz w:val="14"/>
        </w:rPr>
        <w:t>Trigger: Handover readiness  |  Inputs: Message status and cut-off  |  Output: Ready/not ready  |  Approval: External operator  |  On failure: Hold  |  Evidence: Acknowledgement  |  Sources: SRC-POST-001, SRC-POST-002, SRC-POST-003, SRC-POST-004  |  Test: T-POS-010</w:t>
      </w:r>
    </w:p>
    <w:p>
      <w:pPr>
        <w:pStyle w:val="ReqTitle"/>
        <w:keepNext/>
        <w:shd w:fill="DDF3F5"/>
      </w:pPr>
      <w:r>
        <w:rPr>
          <w:b/>
          <w:color w:val="16324F"/>
        </w:rPr>
        <w:t>POS-011  •  Six-digit HS transition</w:t>
      </w:r>
      <w:r>
        <w:rPr>
          <w:b/>
          <w:color w:val="0F6B78"/>
          <w:sz w:val="15"/>
        </w:rPr>
        <w:t xml:space="preserve">   [MUST]</w:t>
      </w:r>
    </w:p>
    <w:p>
      <w:pPr>
        <w:keepNext/>
        <w:keepLines/>
        <w:spacing w:before="20" w:after="20" w:line="245" w:lineRule="auto"/>
        <w:ind w:left="115" w:right="72"/>
      </w:pPr>
      <w:r>
        <w:rPr>
          <w:rFonts w:ascii="Aptos" w:hAnsi="Aptos"/>
          <w:color w:val="24313D"/>
          <w:sz w:val="16"/>
        </w:rPr>
        <w:t>Postal rules SHALL support destination-specific six-digit HS mandates and effective dates; the system SHALL not assume a universal exemption for noncommercial gifts or samples.</w:t>
      </w:r>
    </w:p>
    <w:p>
      <w:pPr>
        <w:keepLines/>
        <w:spacing w:before="0" w:after="60" w:line="240" w:lineRule="auto"/>
        <w:ind w:left="115" w:right="72"/>
      </w:pPr>
      <w:r>
        <w:rPr>
          <w:rFonts w:ascii="Aptos" w:hAnsi="Aptos"/>
          <w:color w:val="52616B"/>
          <w:sz w:val="14"/>
        </w:rPr>
        <w:t>Trigger: Postal contents validation  |  Inputs: Destination, date, content purpose  |  Output: HS required/not required  |  Approval: Automated  |  On failure: Hold  |  Evidence: Matched rule  |  Sources: SRC-POST-001, SRC-POST-002, SRC-POST-003, SRC-POST-004  |  Test: T-POS-011</w:t>
      </w:r>
    </w:p>
    <w:p>
      <w:pPr>
        <w:pStyle w:val="ReqTitle"/>
        <w:keepNext/>
        <w:shd w:fill="DDF3F5"/>
      </w:pPr>
      <w:r>
        <w:rPr>
          <w:b/>
          <w:color w:val="16324F"/>
        </w:rPr>
        <w:t>POS-012  •  Postal returns</w:t>
      </w:r>
      <w:r>
        <w:rPr>
          <w:b/>
          <w:color w:val="0F6B78"/>
          <w:sz w:val="15"/>
        </w:rPr>
        <w:t xml:space="preserve">   [MUST]</w:t>
      </w:r>
    </w:p>
    <w:p>
      <w:pPr>
        <w:keepNext/>
        <w:keepLines/>
        <w:spacing w:before="20" w:after="20" w:line="245" w:lineRule="auto"/>
        <w:ind w:left="115" w:right="72"/>
      </w:pPr>
      <w:r>
        <w:rPr>
          <w:rFonts w:ascii="Aptos" w:hAnsi="Aptos"/>
          <w:color w:val="24313D"/>
          <w:sz w:val="16"/>
        </w:rPr>
        <w:t>Undeliverable/return-to-sender flows SHALL preserve original S10 and customs data, create required return identifiers/messages, and link reason, custody and duty-relief evidence.</w:t>
      </w:r>
    </w:p>
    <w:p>
      <w:pPr>
        <w:keepLines/>
        <w:spacing w:before="0" w:after="60" w:line="240" w:lineRule="auto"/>
        <w:ind w:left="115" w:right="72"/>
      </w:pPr>
      <w:r>
        <w:rPr>
          <w:rFonts w:ascii="Aptos" w:hAnsi="Aptos"/>
          <w:color w:val="52616B"/>
          <w:sz w:val="14"/>
        </w:rPr>
        <w:t>Trigger: Return event  |  Inputs: Original item and operator response  |  Output: Linked postal return  |  Approval: Automated/external operator  |  On failure: Hold exception  |  Evidence: Return event chain  |  Sources: SRC-POST-001, SRC-POST-002, SRC-POST-003, SRC-POST-004  |  Test: T-POS-012</w:t>
      </w:r>
    </w:p>
    <w:p>
      <w:pPr>
        <w:pStyle w:val="ReqTitle"/>
        <w:keepNext/>
        <w:shd w:fill="DDF3F5"/>
      </w:pPr>
      <w:r>
        <w:rPr>
          <w:b/>
          <w:color w:val="16324F"/>
        </w:rPr>
        <w:t>POS-013  •  Postal message versioning</w:t>
      </w:r>
      <w:r>
        <w:rPr>
          <w:b/>
          <w:color w:val="0F6B78"/>
          <w:sz w:val="15"/>
        </w:rPr>
        <w:t xml:space="preserve">   [MUST]</w:t>
      </w:r>
    </w:p>
    <w:p>
      <w:pPr>
        <w:keepNext/>
        <w:keepLines/>
        <w:spacing w:before="20" w:after="20" w:line="245" w:lineRule="auto"/>
        <w:ind w:left="115" w:right="72"/>
      </w:pPr>
      <w:r>
        <w:rPr>
          <w:rFonts w:ascii="Aptos" w:hAnsi="Aptos"/>
          <w:color w:val="24313D"/>
          <w:sz w:val="16"/>
        </w:rPr>
        <w:t>UPU message versions, code lists and bilateral operator deviations SHALL be adapter configuration with conformance tests; unknown versions fail closed.</w:t>
      </w:r>
    </w:p>
    <w:p>
      <w:pPr>
        <w:keepLines/>
        <w:spacing w:before="0" w:after="60" w:line="240" w:lineRule="auto"/>
        <w:ind w:left="115" w:right="72"/>
      </w:pPr>
      <w:r>
        <w:rPr>
          <w:rFonts w:ascii="Aptos" w:hAnsi="Aptos"/>
          <w:color w:val="52616B"/>
          <w:sz w:val="14"/>
        </w:rPr>
        <w:t>Trigger: Message exchange  |  Inputs: Operator/version/schema  |  Output: Accepted schema  |  Approval: Integration owner  |  On failure: Reject/hold  |  Evidence: Schema validation report  |  Sources: SRC-POST-001, SRC-POST-002, SRC-POST-003, SRC-POST-004  |  Test: T-POS-013</w:t>
      </w:r>
    </w:p>
    <w:p>
      <w:pPr>
        <w:pStyle w:val="Heading2"/>
        <w:keepNext/>
      </w:pPr>
      <w:r>
        <w:t>20.7 Air freight (13 controls)</w:t>
      </w:r>
    </w:p>
    <w:p>
      <w:pPr>
        <w:pStyle w:val="ReqTitle"/>
        <w:keepNext/>
        <w:shd w:fill="DDF3F5"/>
      </w:pPr>
      <w:r>
        <w:rPr>
          <w:b/>
          <w:color w:val="16324F"/>
        </w:rPr>
        <w:t>AIR-001  •  Air forwarder/carrier boundary</w:t>
      </w:r>
      <w:r>
        <w:rPr>
          <w:b/>
          <w:color w:val="0F6B78"/>
          <w:sz w:val="15"/>
        </w:rPr>
        <w:t xml:space="preserve">   [MUST]</w:t>
      </w:r>
    </w:p>
    <w:p>
      <w:pPr>
        <w:keepNext/>
        <w:keepLines/>
        <w:spacing w:before="20" w:after="20" w:line="245" w:lineRule="auto"/>
        <w:ind w:left="115" w:right="72"/>
      </w:pPr>
      <w:r>
        <w:rPr>
          <w:rFonts w:ascii="Aptos" w:hAnsi="Aptos"/>
          <w:color w:val="24313D"/>
          <w:sz w:val="16"/>
        </w:rPr>
        <w:t>Air-freight booking and AWB flows SHALL identify the contracted carrier/forwarder and regulated filing/security party. The warehouse operator SHALL not be presented as airline, freight forwarder or regulated agent unless separately authorized.</w:t>
      </w:r>
    </w:p>
    <w:p>
      <w:pPr>
        <w:keepLines/>
        <w:spacing w:before="0" w:after="60" w:line="240" w:lineRule="auto"/>
        <w:ind w:left="115" w:right="72"/>
      </w:pPr>
      <w:r>
        <w:rPr>
          <w:rFonts w:ascii="Aptos" w:hAnsi="Aptos"/>
          <w:color w:val="52616B"/>
          <w:sz w:val="14"/>
        </w:rPr>
        <w:t>Trigger: Air quote/booking  |  Inputs: Contracts, roles, security status  |  Output: Valid routing roles  |  Approval: Air operations compliance  |  On failure: Block  |  Evidence: Role/contract record  |  Sources: SRC-AIR-009, SRC-AIR-010, SRC-AIR-011, SRC-AIR-012, SRC-AIR-013, SRC-AIR-014  |  Test: T-AIR-001</w:t>
      </w:r>
    </w:p>
    <w:p>
      <w:pPr>
        <w:pStyle w:val="ReqTitle"/>
        <w:keepNext/>
        <w:shd w:fill="DDF3F5"/>
      </w:pPr>
      <w:r>
        <w:rPr>
          <w:b/>
          <w:color w:val="16324F"/>
        </w:rPr>
        <w:t>AIR-002  •  Known consignor/security status</w:t>
      </w:r>
      <w:r>
        <w:rPr>
          <w:b/>
          <w:color w:val="0F6B78"/>
          <w:sz w:val="15"/>
        </w:rPr>
        <w:t xml:space="preserve">   [MUST]</w:t>
      </w:r>
    </w:p>
    <w:p>
      <w:pPr>
        <w:keepNext/>
        <w:keepLines/>
        <w:spacing w:before="20" w:after="20" w:line="245" w:lineRule="auto"/>
        <w:ind w:left="115" w:right="72"/>
      </w:pPr>
      <w:r>
        <w:rPr>
          <w:rFonts w:ascii="Aptos" w:hAnsi="Aptos"/>
          <w:color w:val="24313D"/>
          <w:sz w:val="16"/>
        </w:rPr>
        <w:t>Where aviation-security programs require regulated agent/known consignor status, the platform SHALL capture status, authority, identifier, scope and expiry and enforce required screening by an authorized external party.</w:t>
      </w:r>
    </w:p>
    <w:p>
      <w:pPr>
        <w:keepLines/>
        <w:spacing w:before="0" w:after="60" w:line="240" w:lineRule="auto"/>
        <w:ind w:left="115" w:right="72"/>
      </w:pPr>
      <w:r>
        <w:rPr>
          <w:rFonts w:ascii="Aptos" w:hAnsi="Aptos"/>
          <w:color w:val="52616B"/>
          <w:sz w:val="14"/>
        </w:rPr>
        <w:t>Trigger: Air tender  |  Inputs: Origin security regime, parties, site  |  Output: Screening route/status  |  Approval: External authorized security party  |  On failure: Hold  |  Evidence: Certificate and screening result  |  Sources: SRC-AIR-009, SRC-AIR-010, SRC-AIR-011, SRC-AIR-012, SRC-AIR-013, SRC-AIR-014  |  Test: T-AIR-002</w:t>
      </w:r>
    </w:p>
    <w:p>
      <w:pPr>
        <w:pStyle w:val="ReqTitle"/>
        <w:keepNext/>
        <w:shd w:fill="DDF3F5"/>
      </w:pPr>
      <w:r>
        <w:rPr>
          <w:b/>
          <w:color w:val="16324F"/>
        </w:rPr>
        <w:t>AIR-003  •  PLACI timing</w:t>
      </w:r>
      <w:r>
        <w:rPr>
          <w:b/>
          <w:color w:val="0F6B78"/>
          <w:sz w:val="15"/>
        </w:rPr>
        <w:t xml:space="preserve">   [MUST]</w:t>
      </w:r>
    </w:p>
    <w:p>
      <w:pPr>
        <w:keepNext/>
        <w:keepLines/>
        <w:spacing w:before="20" w:after="20" w:line="245" w:lineRule="auto"/>
        <w:ind w:left="115" w:right="72"/>
      </w:pPr>
      <w:r>
        <w:rPr>
          <w:rFonts w:ascii="Aptos" w:hAnsi="Aptos"/>
          <w:color w:val="24313D"/>
          <w:sz w:val="16"/>
        </w:rPr>
        <w:t>The system SHALL calculate per-regime and per-carrier pre-loading filing cut-offs and transmit data only through the carrier/forwarder/postal partner; missed or unknown cut-offs block loading.</w:t>
      </w:r>
    </w:p>
    <w:p>
      <w:pPr>
        <w:keepLines/>
        <w:spacing w:before="0" w:after="60" w:line="240" w:lineRule="auto"/>
        <w:ind w:left="115" w:right="72"/>
      </w:pPr>
      <w:r>
        <w:rPr>
          <w:rFonts w:ascii="Aptos" w:hAnsi="Aptos"/>
          <w:color w:val="52616B"/>
          <w:sz w:val="14"/>
        </w:rPr>
        <w:t>Trigger: Booking/route/time change  |  Inputs: Regime, departure, carrier, data readiness  |  Output: Filed/accepted before cut-off  |  Approval: External filer  |  On failure: Do not load  |  Evidence: Timestamps and response  |  Sources: SRC-AIR-009, SRC-AIR-010, SRC-AIR-011, SRC-AIR-012, SRC-AIR-013, SRC-AIR-014  |  Test: T-AIR-003</w:t>
      </w:r>
    </w:p>
    <w:p>
      <w:pPr>
        <w:pStyle w:val="ReqTitle"/>
        <w:keepNext/>
        <w:shd w:fill="DDF3F5"/>
      </w:pPr>
      <w:r>
        <w:rPr>
          <w:b/>
          <w:color w:val="16324F"/>
        </w:rPr>
        <w:t>AIR-004  •  PLACI referrals</w:t>
      </w:r>
      <w:r>
        <w:rPr>
          <w:b/>
          <w:color w:val="0F6B78"/>
          <w:sz w:val="15"/>
        </w:rPr>
        <w:t xml:space="preserve">   [MUST]</w:t>
      </w:r>
    </w:p>
    <w:p>
      <w:pPr>
        <w:keepNext/>
        <w:keepLines/>
        <w:spacing w:before="20" w:after="20" w:line="245" w:lineRule="auto"/>
        <w:ind w:left="115" w:right="72"/>
      </w:pPr>
      <w:r>
        <w:rPr>
          <w:rFonts w:ascii="Aptos" w:hAnsi="Aptos"/>
          <w:color w:val="24313D"/>
          <w:sz w:val="16"/>
        </w:rPr>
        <w:t>RFI, RFS, DNL and equivalent referrals SHALL be normalized without losing provider-specific codes; only an external clearance may release a security hold.</w:t>
      </w:r>
    </w:p>
    <w:p>
      <w:pPr>
        <w:keepLines/>
        <w:spacing w:before="0" w:after="60" w:line="240" w:lineRule="auto"/>
        <w:ind w:left="115" w:right="72"/>
      </w:pPr>
      <w:r>
        <w:rPr>
          <w:rFonts w:ascii="Aptos" w:hAnsi="Aptos"/>
          <w:color w:val="52616B"/>
          <w:sz w:val="14"/>
        </w:rPr>
        <w:t>Trigger: External event  |  Inputs: Referral, source, scope  |  Output: Normalized referral state  |  Approval: External authority/carrier  |  On failure: Hold  |  Evidence: Raw/normalized event  |  Sources: SRC-AIR-009, SRC-AIR-010, SRC-AIR-011, SRC-AIR-012, SRC-AIR-013, SRC-AIR-014  |  Test: T-AIR-004</w:t>
      </w:r>
    </w:p>
    <w:p>
      <w:pPr>
        <w:pStyle w:val="ReqTitle"/>
        <w:keepNext/>
        <w:shd w:fill="DDF3F5"/>
      </w:pPr>
      <w:r>
        <w:rPr>
          <w:b/>
          <w:color w:val="16324F"/>
        </w:rPr>
        <w:t>AIR-005  •  AWB identity</w:t>
      </w:r>
      <w:r>
        <w:rPr>
          <w:b/>
          <w:color w:val="0F6B78"/>
          <w:sz w:val="15"/>
        </w:rPr>
        <w:t xml:space="preserve">   [MUST]</w:t>
      </w:r>
    </w:p>
    <w:p>
      <w:pPr>
        <w:keepNext/>
        <w:keepLines/>
        <w:spacing w:before="20" w:after="20" w:line="245" w:lineRule="auto"/>
        <w:ind w:left="115" w:right="72"/>
      </w:pPr>
      <w:r>
        <w:rPr>
          <w:rFonts w:ascii="Aptos" w:hAnsi="Aptos"/>
          <w:color w:val="24313D"/>
          <w:sz w:val="16"/>
        </w:rPr>
        <w:t>Master and house air waybill numbers SHALL be validated, linked to consignments and packages, and generated/accepted only under the carrier/forwarder allocation rules.</w:t>
      </w:r>
    </w:p>
    <w:p>
      <w:pPr>
        <w:keepLines/>
        <w:spacing w:before="0" w:after="60" w:line="240" w:lineRule="auto"/>
        <w:ind w:left="115" w:right="72"/>
      </w:pPr>
      <w:r>
        <w:rPr>
          <w:rFonts w:ascii="Aptos" w:hAnsi="Aptos"/>
          <w:color w:val="52616B"/>
          <w:sz w:val="14"/>
        </w:rPr>
        <w:t>Trigger: Booking/manifest  |  Inputs: AWB allocation and shipment  |  Output: Valid MAWB/HAWB graph  |  Approval: Air partner  |  On failure: Hold  |  Evidence: Allocation response  |  Sources: SRC-AIR-009, SRC-AIR-010, SRC-AIR-011, SRC-AIR-012, SRC-AIR-013, SRC-AIR-014  |  Test: T-AIR-005</w:t>
      </w:r>
    </w:p>
    <w:p>
      <w:pPr>
        <w:pStyle w:val="ReqTitle"/>
        <w:keepNext/>
        <w:shd w:fill="DDF3F5"/>
      </w:pPr>
      <w:r>
        <w:rPr>
          <w:b/>
          <w:color w:val="16324F"/>
        </w:rPr>
        <w:t>AIR-006  •  AWB data integrity</w:t>
      </w:r>
      <w:r>
        <w:rPr>
          <w:b/>
          <w:color w:val="0F6B78"/>
          <w:sz w:val="15"/>
        </w:rPr>
        <w:t xml:space="preserve">   [MUST]</w:t>
      </w:r>
    </w:p>
    <w:p>
      <w:pPr>
        <w:keepNext/>
        <w:keepLines/>
        <w:spacing w:before="20" w:after="20" w:line="245" w:lineRule="auto"/>
        <w:ind w:left="115" w:right="72"/>
      </w:pPr>
      <w:r>
        <w:rPr>
          <w:rFonts w:ascii="Aptos" w:hAnsi="Aptos"/>
          <w:color w:val="24313D"/>
          <w:sz w:val="16"/>
        </w:rPr>
        <w:t>Shipper, consignee, routing, handling information, nature/quantity, weights, charges, declared values and special handling SHALL reconcile to canonical shipment and carrier acceptance.</w:t>
      </w:r>
    </w:p>
    <w:p>
      <w:pPr>
        <w:keepLines/>
        <w:spacing w:before="0" w:after="60" w:line="240" w:lineRule="auto"/>
        <w:ind w:left="115" w:right="72"/>
      </w:pPr>
      <w:r>
        <w:rPr>
          <w:rFonts w:ascii="Aptos" w:hAnsi="Aptos"/>
          <w:color w:val="52616B"/>
          <w:sz w:val="14"/>
        </w:rPr>
        <w:t>Trigger: AWB creation/update  |  Inputs: Canonical data and booking  |  Output: Validated AWB  |  Approval: Automated/external carrier  |  On failure: Hold  |  Evidence: AWB/hash/response  |  Sources: SRC-AIR-009, SRC-AIR-010, SRC-AIR-011, SRC-AIR-012, SRC-AIR-013, SRC-AIR-014  |  Test: T-AIR-006</w:t>
      </w:r>
    </w:p>
    <w:p>
      <w:pPr>
        <w:pStyle w:val="ReqTitle"/>
        <w:keepNext/>
        <w:shd w:fill="DDF3F5"/>
      </w:pPr>
      <w:r>
        <w:rPr>
          <w:b/>
          <w:color w:val="16324F"/>
        </w:rPr>
        <w:t>AIR-007  •  e-AWB applicability</w:t>
      </w:r>
      <w:r>
        <w:rPr>
          <w:b/>
          <w:color w:val="0F6B78"/>
          <w:sz w:val="15"/>
        </w:rPr>
        <w:t xml:space="preserve">   [MUST]</w:t>
      </w:r>
    </w:p>
    <w:p>
      <w:pPr>
        <w:keepNext/>
        <w:keepLines/>
        <w:spacing w:before="20" w:after="20" w:line="245" w:lineRule="auto"/>
        <w:ind w:left="115" w:right="72"/>
      </w:pPr>
      <w:r>
        <w:rPr>
          <w:rFonts w:ascii="Aptos" w:hAnsi="Aptos"/>
          <w:color w:val="24313D"/>
          <w:sz w:val="16"/>
        </w:rPr>
        <w:t>Electronic AWB shall be used only for lanes/participants accepting it; paper fallback and original-document requirements SHALL be country/partner configuration.</w:t>
      </w:r>
    </w:p>
    <w:p>
      <w:pPr>
        <w:keepLines/>
        <w:spacing w:before="0" w:after="60" w:line="240" w:lineRule="auto"/>
        <w:ind w:left="115" w:right="72"/>
      </w:pPr>
      <w:r>
        <w:rPr>
          <w:rFonts w:ascii="Aptos" w:hAnsi="Aptos"/>
          <w:color w:val="52616B"/>
          <w:sz w:val="14"/>
        </w:rPr>
        <w:t>Trigger: Booking  |  Inputs: Participants, lane, agreement  |  Output: e-AWB or paper path  |  Approval: Air partner  |  On failure: Hold if no valid form  |  Evidence: Applicability decision  |  Sources: SRC-AIR-009, SRC-AIR-010, SRC-AIR-011, SRC-AIR-012, SRC-AIR-013, SRC-AIR-014  |  Test: T-AIR-007</w:t>
      </w:r>
    </w:p>
    <w:p>
      <w:pPr>
        <w:pStyle w:val="ReqTitle"/>
        <w:keepNext/>
        <w:shd w:fill="DDF3F5"/>
      </w:pPr>
      <w:r>
        <w:rPr>
          <w:b/>
          <w:color w:val="16324F"/>
        </w:rPr>
        <w:t>AIR-008  •  ONE Record/Cargo-XML adapter</w:t>
      </w:r>
      <w:r>
        <w:rPr>
          <w:b/>
          <w:color w:val="0F6B78"/>
          <w:sz w:val="15"/>
        </w:rPr>
        <w:t xml:space="preserve">   [MUST]</w:t>
      </w:r>
    </w:p>
    <w:p>
      <w:pPr>
        <w:keepNext/>
        <w:keepLines/>
        <w:spacing w:before="20" w:after="20" w:line="245" w:lineRule="auto"/>
        <w:ind w:left="115" w:right="72"/>
      </w:pPr>
      <w:r>
        <w:rPr>
          <w:rFonts w:ascii="Aptos" w:hAnsi="Aptos"/>
          <w:color w:val="24313D"/>
          <w:sz w:val="16"/>
        </w:rPr>
        <w:t>The vendor-neutral air adapter SHALL support canonical mapping to ONE Record APIs and Cargo-XML/partner formats while preserving identifiers, events, data ownership and security controls.</w:t>
      </w:r>
    </w:p>
    <w:p>
      <w:pPr>
        <w:keepLines/>
        <w:spacing w:before="0" w:after="60" w:line="240" w:lineRule="auto"/>
        <w:ind w:left="115" w:right="72"/>
      </w:pPr>
      <w:r>
        <w:rPr>
          <w:rFonts w:ascii="Aptos" w:hAnsi="Aptos"/>
          <w:color w:val="52616B"/>
          <w:sz w:val="14"/>
        </w:rPr>
        <w:t>Trigger: Integration  |  Inputs: Canonical cargo graph and partner schema  |  Output: Lossless mapped exchange  |  Approval: Integration owner  |  On failure: Reject lossy mapping  |  Evidence: Mapping/conformance test  |  Sources: SRC-AIR-009, SRC-AIR-010, SRC-AIR-011, SRC-AIR-012, SRC-AIR-013, SRC-AIR-014  |  Test: T-AIR-008</w:t>
      </w:r>
    </w:p>
    <w:p>
      <w:pPr>
        <w:pStyle w:val="ReqTitle"/>
        <w:keepNext/>
        <w:shd w:fill="DDF3F5"/>
      </w:pPr>
      <w:r>
        <w:rPr>
          <w:b/>
          <w:color w:val="16324F"/>
        </w:rPr>
        <w:t>AIR-009  •  Special handling codes</w:t>
      </w:r>
      <w:r>
        <w:rPr>
          <w:b/>
          <w:color w:val="0F6B78"/>
          <w:sz w:val="15"/>
        </w:rPr>
        <w:t xml:space="preserve">   [MUST]</w:t>
      </w:r>
    </w:p>
    <w:p>
      <w:pPr>
        <w:keepNext/>
        <w:keepLines/>
        <w:spacing w:before="20" w:after="20" w:line="245" w:lineRule="auto"/>
        <w:ind w:left="115" w:right="72"/>
      </w:pPr>
      <w:r>
        <w:rPr>
          <w:rFonts w:ascii="Aptos" w:hAnsi="Aptos"/>
          <w:color w:val="24313D"/>
          <w:sz w:val="16"/>
        </w:rPr>
        <w:t>Temperature, DG, live/valuable/vulnerable cargo, perishables, pharmaceuticals, dry ice and other special handling codes SHALL be derived from approved product/package profiles and confirmed by the carrier.</w:t>
      </w:r>
    </w:p>
    <w:p>
      <w:pPr>
        <w:keepLines/>
        <w:spacing w:before="0" w:after="60" w:line="240" w:lineRule="auto"/>
        <w:ind w:left="115" w:right="72"/>
      </w:pPr>
      <w:r>
        <w:rPr>
          <w:rFonts w:ascii="Aptos" w:hAnsi="Aptos"/>
          <w:color w:val="52616B"/>
          <w:sz w:val="14"/>
        </w:rPr>
        <w:t>Trigger: Booking  |  Inputs: Commodity and package conditions  |  Output: Accepted special handling  |  Approval: Carrier/external approver  |  On failure: Hold  |  Evidence: Booking response  |  Sources: SRC-AIR-009, SRC-AIR-010, SRC-AIR-011, SRC-AIR-012, SRC-AIR-013, SRC-AIR-014  |  Test: T-AIR-009</w:t>
      </w:r>
    </w:p>
    <w:p>
      <w:pPr>
        <w:pStyle w:val="ReqTitle"/>
        <w:keepNext/>
        <w:shd w:fill="DDF3F5"/>
      </w:pPr>
      <w:r>
        <w:rPr>
          <w:b/>
          <w:color w:val="16324F"/>
        </w:rPr>
        <w:t>AIR-010  •  Weight/volume verification</w:t>
      </w:r>
      <w:r>
        <w:rPr>
          <w:b/>
          <w:color w:val="0F6B78"/>
          <w:sz w:val="15"/>
        </w:rPr>
        <w:t xml:space="preserve">   [MUST]</w:t>
      </w:r>
    </w:p>
    <w:p>
      <w:pPr>
        <w:keepNext/>
        <w:keepLines/>
        <w:spacing w:before="20" w:after="20" w:line="245" w:lineRule="auto"/>
        <w:ind w:left="115" w:right="72"/>
      </w:pPr>
      <w:r>
        <w:rPr>
          <w:rFonts w:ascii="Aptos" w:hAnsi="Aptos"/>
          <w:color w:val="24313D"/>
          <w:sz w:val="16"/>
        </w:rPr>
        <w:t>Actual gross, chargeable and dimensional weights and package dimensions SHALL be reconciled at build-up and carrier handover; changes trigger rate, DG, security and declaration reevaluation.</w:t>
      </w:r>
    </w:p>
    <w:p>
      <w:pPr>
        <w:keepLines/>
        <w:spacing w:before="0" w:after="60" w:line="240" w:lineRule="auto"/>
        <w:ind w:left="115" w:right="72"/>
      </w:pPr>
      <w:r>
        <w:rPr>
          <w:rFonts w:ascii="Aptos" w:hAnsi="Aptos"/>
          <w:color w:val="52616B"/>
          <w:sz w:val="14"/>
        </w:rPr>
        <w:t>Trigger: Weigh/measure event  |  Inputs: Package measurements and booking  |  Output: Revalidated booking  |  Approval: Automated  |  On failure: Hold discrepancy  |  Evidence: Measurement device/event  |  Sources: SRC-AIR-009, SRC-AIR-010, SRC-AIR-011, SRC-AIR-012, SRC-AIR-013, SRC-AIR-014  |  Test: T-AIR-010</w:t>
      </w:r>
    </w:p>
    <w:p>
      <w:pPr>
        <w:pStyle w:val="ReqTitle"/>
        <w:keepNext/>
        <w:shd w:fill="DDF3F5"/>
      </w:pPr>
      <w:r>
        <w:rPr>
          <w:b/>
          <w:color w:val="16324F"/>
        </w:rPr>
        <w:t>AIR-011  •  Flight/routing change</w:t>
      </w:r>
      <w:r>
        <w:rPr>
          <w:b/>
          <w:color w:val="0F6B78"/>
          <w:sz w:val="15"/>
        </w:rPr>
        <w:t xml:space="preserve">   [MUST]</w:t>
      </w:r>
    </w:p>
    <w:p>
      <w:pPr>
        <w:keepNext/>
        <w:keepLines/>
        <w:spacing w:before="20" w:after="20" w:line="245" w:lineRule="auto"/>
        <w:ind w:left="115" w:right="72"/>
      </w:pPr>
      <w:r>
        <w:rPr>
          <w:rFonts w:ascii="Aptos" w:hAnsi="Aptos"/>
          <w:color w:val="24313D"/>
          <w:sz w:val="16"/>
        </w:rPr>
        <w:t>A carrier routing change SHALL trigger transit, sanctions, security, temperature, service and document impact evaluation using carrier events or external assurance.</w:t>
      </w:r>
    </w:p>
    <w:p>
      <w:pPr>
        <w:keepLines/>
        <w:spacing w:before="0" w:after="60" w:line="240" w:lineRule="auto"/>
        <w:ind w:left="115" w:right="72"/>
      </w:pPr>
      <w:r>
        <w:rPr>
          <w:rFonts w:ascii="Aptos" w:hAnsi="Aptos"/>
          <w:color w:val="52616B"/>
          <w:sz w:val="14"/>
        </w:rPr>
        <w:t>Trigger: Route event  |  Inputs: Old/new routing  |  Output: Continue/review/intercept  |  Approval: Automated/air operations  |  On failure: Hold if before handover; escalate in transit  |  Evidence: Routing event  |  Sources: SRC-AIR-009, SRC-AIR-010, SRC-AIR-011, SRC-AIR-012, SRC-AIR-013, SRC-AIR-014  |  Test: T-AIR-011</w:t>
      </w:r>
    </w:p>
    <w:p>
      <w:pPr>
        <w:pStyle w:val="ReqTitle"/>
        <w:keepNext/>
        <w:shd w:fill="DDF3F5"/>
      </w:pPr>
      <w:r>
        <w:rPr>
          <w:b/>
          <w:color w:val="16324F"/>
        </w:rPr>
        <w:t>AIR-012  •  Montreal Convention versioning</w:t>
      </w:r>
      <w:r>
        <w:rPr>
          <w:b/>
          <w:color w:val="0F6B78"/>
          <w:sz w:val="15"/>
        </w:rPr>
        <w:t xml:space="preserve">   [MUST]</w:t>
      </w:r>
    </w:p>
    <w:p>
      <w:pPr>
        <w:keepNext/>
        <w:keepLines/>
        <w:spacing w:before="20" w:after="20" w:line="245" w:lineRule="auto"/>
        <w:ind w:left="115" w:right="72"/>
      </w:pPr>
      <w:r>
        <w:rPr>
          <w:rFonts w:ascii="Aptos" w:hAnsi="Aptos"/>
          <w:color w:val="24313D"/>
          <w:sz w:val="16"/>
        </w:rPr>
        <w:t>Air-carriage convention applicability and liability limits SHALL be calculated by lane/date/parties and stored as versioned legal data; displayed amounts are informational and never hard-coded globally.</w:t>
      </w:r>
    </w:p>
    <w:p>
      <w:pPr>
        <w:keepLines/>
        <w:spacing w:before="0" w:after="60" w:line="240" w:lineRule="auto"/>
        <w:ind w:left="115" w:right="72"/>
      </w:pPr>
      <w:r>
        <w:rPr>
          <w:rFonts w:ascii="Aptos" w:hAnsi="Aptos"/>
          <w:color w:val="52616B"/>
          <w:sz w:val="14"/>
        </w:rPr>
        <w:t>Trigger: Quote/claim context  |  Inputs: Lane, carrier, dates, declared value  |  Output: Applicable regime/limit  |  Approval: Legal configuration  |  On failure: Mark unknown and require review  |  Evidence: Rule version  |  Sources: SRC-AIR-009, SRC-AIR-010, SRC-AIR-011, SRC-AIR-012, SRC-AIR-013, SRC-AIR-014  |  Test: T-AIR-012</w:t>
      </w:r>
    </w:p>
    <w:p>
      <w:pPr>
        <w:pStyle w:val="ReqTitle"/>
        <w:keepNext/>
        <w:shd w:fill="DDF3F5"/>
      </w:pPr>
      <w:r>
        <w:rPr>
          <w:b/>
          <w:color w:val="16324F"/>
        </w:rPr>
        <w:t>AIR-013  •  Air manifest close</w:t>
      </w:r>
      <w:r>
        <w:rPr>
          <w:b/>
          <w:color w:val="0F6B78"/>
          <w:sz w:val="15"/>
        </w:rPr>
        <w:t xml:space="preserve">   [MUST]</w:t>
      </w:r>
    </w:p>
    <w:p>
      <w:pPr>
        <w:keepNext/>
        <w:keepLines/>
        <w:spacing w:before="20" w:after="20" w:line="245" w:lineRule="auto"/>
        <w:ind w:left="115" w:right="72"/>
      </w:pPr>
      <w:r>
        <w:rPr>
          <w:rFonts w:ascii="Aptos" w:hAnsi="Aptos"/>
          <w:color w:val="24313D"/>
          <w:sz w:val="16"/>
        </w:rPr>
        <w:t>Manifest close SHALL require all packages scanned, filings/security statuses acceptable, DG approvals current, weights reconciled and carrier booking accepted.</w:t>
      </w:r>
    </w:p>
    <w:p>
      <w:pPr>
        <w:keepLines/>
        <w:spacing w:before="0" w:after="60" w:line="240" w:lineRule="auto"/>
        <w:ind w:left="115" w:right="72"/>
      </w:pPr>
      <w:r>
        <w:rPr>
          <w:rFonts w:ascii="Aptos" w:hAnsi="Aptos"/>
          <w:color w:val="52616B"/>
          <w:sz w:val="14"/>
        </w:rPr>
        <w:t>Trigger: Build-up close  |  Inputs: Package/filing/booking statuses  |  Output: Closed/blocked manifest  |  Approval: Warehouse release supervisor  |  On failure: Do not tender  |  Evidence: Close checklist  |  Sources: SRC-AIR-009, SRC-AIR-010, SRC-AIR-011, SRC-AIR-012, SRC-AIR-013, SRC-AIR-014  |  Test: T-AIR-013</w:t>
      </w:r>
    </w:p>
    <w:p>
      <w:pPr>
        <w:pStyle w:val="Heading2"/>
        <w:keepNext/>
      </w:pPr>
      <w:r>
        <w:t>20.8 Dangerous goods &amp; lithium batteries (18 controls)</w:t>
      </w:r>
    </w:p>
    <w:p>
      <w:pPr>
        <w:pStyle w:val="ReqTitle"/>
        <w:keepNext/>
        <w:shd w:fill="DDF3F5"/>
      </w:pPr>
      <w:r>
        <w:rPr>
          <w:b/>
          <w:color w:val="16324F"/>
        </w:rPr>
        <w:t>DGR-001  •  Universal DG prescreen</w:t>
      </w:r>
      <w:r>
        <w:rPr>
          <w:b/>
          <w:color w:val="0F6B78"/>
          <w:sz w:val="15"/>
        </w:rPr>
        <w:t xml:space="preserve">   [MUST]</w:t>
      </w:r>
    </w:p>
    <w:p>
      <w:pPr>
        <w:keepNext/>
        <w:keepLines/>
        <w:spacing w:before="20" w:after="20" w:line="245" w:lineRule="auto"/>
        <w:ind w:left="115" w:right="72"/>
      </w:pPr>
      <w:r>
        <w:rPr>
          <w:rFonts w:ascii="Aptos" w:hAnsi="Aptos"/>
          <w:color w:val="24313D"/>
          <w:sz w:val="16"/>
        </w:rPr>
        <w:t>Every product SHALL pass a potential-DG screening questionnaire/knowledge rule before it may be classified as non-DG; keywords alone may not determine non-DG status.</w:t>
      </w:r>
    </w:p>
    <w:p>
      <w:pPr>
        <w:keepLines/>
        <w:spacing w:before="0" w:after="60" w:line="240" w:lineRule="auto"/>
        <w:ind w:left="115" w:right="72"/>
      </w:pPr>
      <w:r>
        <w:rPr>
          <w:rFonts w:ascii="Aptos" w:hAnsi="Aptos"/>
          <w:color w:val="52616B"/>
          <w:sz w:val="14"/>
        </w:rPr>
        <w:t>Trigger: Product onboarding/change  |  Inputs: Composition, SDS, use, battery/aerosol/magnet/dry ice indicators  |  Output: Not DG / potential DG  |  Approval: Automated; DG reviewer for potential  |  On failure: Hold potential/unknown  |  Evidence: Questionnaire and rule version  |  Sources: SRC-AIR-001, SRC-AIR-002, SRC-AIR-003, SRC-AIR-004, SRC-AIR-005, SRC-AIR-006, SRC-AIR-007, SRC-AIR-008  |  Test: T-DGR-001</w:t>
      </w:r>
    </w:p>
    <w:p>
      <w:pPr>
        <w:pStyle w:val="ReqTitle"/>
        <w:keepNext/>
        <w:shd w:fill="DDF3F5"/>
      </w:pPr>
      <w:r>
        <w:rPr>
          <w:b/>
          <w:color w:val="16324F"/>
        </w:rPr>
        <w:t>DGR-002  •  Certified human approval</w:t>
      </w:r>
      <w:r>
        <w:rPr>
          <w:b/>
          <w:color w:val="0F6B78"/>
          <w:sz w:val="15"/>
        </w:rPr>
        <w:t xml:space="preserve">   [MUST]</w:t>
      </w:r>
    </w:p>
    <w:p>
      <w:pPr>
        <w:keepNext/>
        <w:keepLines/>
        <w:spacing w:before="20" w:after="20" w:line="245" w:lineRule="auto"/>
        <w:ind w:left="115" w:right="72"/>
      </w:pPr>
      <w:r>
        <w:rPr>
          <w:rFonts w:ascii="Aptos" w:hAnsi="Aptos"/>
          <w:color w:val="24313D"/>
          <w:sz w:val="16"/>
        </w:rPr>
        <w:t>Any dangerous goods or lithium battery shipment SHALL require a currently certified human approval scoped to mode, class, packing instruction, carrier and jurisdiction before label/manifest release.</w:t>
      </w:r>
    </w:p>
    <w:p>
      <w:pPr>
        <w:keepLines/>
        <w:spacing w:before="0" w:after="60" w:line="240" w:lineRule="auto"/>
        <w:ind w:left="115" w:right="72"/>
      </w:pPr>
      <w:r>
        <w:rPr>
          <w:rFonts w:ascii="Aptos" w:hAnsi="Aptos"/>
          <w:color w:val="52616B"/>
          <w:sz w:val="14"/>
        </w:rPr>
        <w:t>Trigger: Pre-label and pre-handover  |  Inputs: DG profile, package, reviewer credential  |  Output: Approved/rejected  |  Approval: Certified DG reviewer  |  On failure: Hold  |  Evidence: Signed approval  |  Sources: SRC-AIR-001, SRC-AIR-002, SRC-AIR-003, SRC-AIR-004, SRC-AIR-005, SRC-AIR-006, SRC-AIR-007, SRC-AIR-008  |  Test: T-DGR-002</w:t>
      </w:r>
    </w:p>
    <w:p>
      <w:pPr>
        <w:pStyle w:val="ReqTitle"/>
        <w:keepNext/>
        <w:shd w:fill="DDF3F5"/>
      </w:pPr>
      <w:r>
        <w:rPr>
          <w:b/>
          <w:color w:val="16324F"/>
        </w:rPr>
        <w:t>DGR-003  •  External acceptance boundary</w:t>
      </w:r>
      <w:r>
        <w:rPr>
          <w:b/>
          <w:color w:val="0F6B78"/>
          <w:sz w:val="15"/>
        </w:rPr>
        <w:t xml:space="preserve">   [MUST]</w:t>
      </w:r>
    </w:p>
    <w:p>
      <w:pPr>
        <w:keepNext/>
        <w:keepLines/>
        <w:spacing w:before="20" w:after="20" w:line="245" w:lineRule="auto"/>
        <w:ind w:left="115" w:right="72"/>
      </w:pPr>
      <w:r>
        <w:rPr>
          <w:rFonts w:ascii="Aptos" w:hAnsi="Aptos"/>
          <w:color w:val="24313D"/>
          <w:sz w:val="16"/>
        </w:rPr>
        <w:t>The platform MAY generate DG documents but SHALL require carrier/forwarder acceptance or other configured external approval before tender. Internal approval does not guarantee carriage.</w:t>
      </w:r>
    </w:p>
    <w:p>
      <w:pPr>
        <w:keepLines/>
        <w:spacing w:before="0" w:after="60" w:line="240" w:lineRule="auto"/>
        <w:ind w:left="115" w:right="72"/>
      </w:pPr>
      <w:r>
        <w:rPr>
          <w:rFonts w:ascii="Aptos" w:hAnsi="Aptos"/>
          <w:color w:val="52616B"/>
          <w:sz w:val="14"/>
        </w:rPr>
        <w:t>Trigger: Booking/tender  |  Inputs: Internal approval and carrier response  |  Output: Externally accepted  |  Approval: Carrier/forwarder  |  On failure: Hold  |  Evidence: Acceptance response  |  Sources: SRC-AIR-001, SRC-AIR-002, SRC-AIR-003, SRC-AIR-004, SRC-AIR-005, SRC-AIR-006, SRC-AIR-007, SRC-AIR-008  |  Test: T-DGR-003</w:t>
      </w:r>
    </w:p>
    <w:p>
      <w:pPr>
        <w:pStyle w:val="ReqTitle"/>
        <w:keepNext/>
        <w:shd w:fill="DDF3F5"/>
      </w:pPr>
      <w:r>
        <w:rPr>
          <w:b/>
          <w:color w:val="16324F"/>
        </w:rPr>
        <w:t>DGR-004  •  Edition and variation</w:t>
      </w:r>
      <w:r>
        <w:rPr>
          <w:b/>
          <w:color w:val="0F6B78"/>
          <w:sz w:val="15"/>
        </w:rPr>
        <w:t xml:space="preserve">   [MUST]</w:t>
      </w:r>
    </w:p>
    <w:p>
      <w:pPr>
        <w:keepNext/>
        <w:keepLines/>
        <w:spacing w:before="20" w:after="20" w:line="245" w:lineRule="auto"/>
        <w:ind w:left="115" w:right="72"/>
      </w:pPr>
      <w:r>
        <w:rPr>
          <w:rFonts w:ascii="Aptos" w:hAnsi="Aptos"/>
          <w:color w:val="24313D"/>
          <w:sz w:val="16"/>
        </w:rPr>
        <w:t>DG evaluation SHALL select ICAO Technical Instructions/IATA DGR edition by acceptance date and include origin, transit, destination state variations plus operator variations and service-contract limitations.</w:t>
      </w:r>
    </w:p>
    <w:p>
      <w:pPr>
        <w:keepLines/>
        <w:spacing w:before="0" w:after="60" w:line="240" w:lineRule="auto"/>
        <w:ind w:left="115" w:right="72"/>
      </w:pPr>
      <w:r>
        <w:rPr>
          <w:rFonts w:ascii="Aptos" w:hAnsi="Aptos"/>
          <w:color w:val="52616B"/>
          <w:sz w:val="14"/>
        </w:rPr>
        <w:t>Trigger: DG evaluation  |  Inputs: Dates, route, operator, class/profile  |  Output: Applicable rule stack  |  Approval: DG reviewer  |  On failure: UNKNOWN_BLOCKED if any variation unavailable  |  Evidence: Edition/variation trace  |  Sources: SRC-AIR-001, SRC-AIR-002, SRC-AIR-003, SRC-AIR-004, SRC-AIR-005, SRC-AIR-006, SRC-AIR-007, SRC-AIR-008  |  Test: T-DGR-004</w:t>
      </w:r>
    </w:p>
    <w:p>
      <w:pPr>
        <w:pStyle w:val="ReqTitle"/>
        <w:keepNext/>
        <w:shd w:fill="DDF3F5"/>
      </w:pPr>
      <w:r>
        <w:rPr>
          <w:b/>
          <w:color w:val="16324F"/>
        </w:rPr>
        <w:t>DGR-005  •  UN classification evidence</w:t>
      </w:r>
      <w:r>
        <w:rPr>
          <w:b/>
          <w:color w:val="0F6B78"/>
          <w:sz w:val="15"/>
        </w:rPr>
        <w:t xml:space="preserve">   [MUST]</w:t>
      </w:r>
    </w:p>
    <w:p>
      <w:pPr>
        <w:keepNext/>
        <w:keepLines/>
        <w:spacing w:before="20" w:after="20" w:line="245" w:lineRule="auto"/>
        <w:ind w:left="115" w:right="72"/>
      </w:pPr>
      <w:r>
        <w:rPr>
          <w:rFonts w:ascii="Aptos" w:hAnsi="Aptos"/>
          <w:color w:val="24313D"/>
          <w:sz w:val="16"/>
        </w:rPr>
        <w:t>UN number/classification SHALL be supported by SDS, manufacturer statement, competent authority approval or test evidence appropriate to the material; a carrier product code is not sufficient evidence.</w:t>
      </w:r>
    </w:p>
    <w:p>
      <w:pPr>
        <w:keepLines/>
        <w:spacing w:before="0" w:after="60" w:line="240" w:lineRule="auto"/>
        <w:ind w:left="115" w:right="72"/>
      </w:pPr>
      <w:r>
        <w:rPr>
          <w:rFonts w:ascii="Aptos" w:hAnsi="Aptos"/>
          <w:color w:val="52616B"/>
          <w:sz w:val="14"/>
        </w:rPr>
        <w:t>Trigger: Product classification  |  Inputs: Evidence and product version  |  Output: Approved DG identity  |  Approval: DG reviewer  |  On failure: Hold  |  Evidence: Evidence document  |  Sources: SRC-AIR-001, SRC-AIR-002, SRC-AIR-003, SRC-AIR-004, SRC-AIR-005, SRC-AIR-006, SRC-AIR-007, SRC-AIR-008  |  Test: T-DGR-005</w:t>
      </w:r>
    </w:p>
    <w:p>
      <w:pPr>
        <w:pStyle w:val="ReqTitle"/>
        <w:keepNext/>
        <w:shd w:fill="DDF3F5"/>
      </w:pPr>
      <w:r>
        <w:rPr>
          <w:b/>
          <w:color w:val="16324F"/>
        </w:rPr>
        <w:t>DGR-006  •  Packaging selection</w:t>
      </w:r>
      <w:r>
        <w:rPr>
          <w:b/>
          <w:color w:val="0F6B78"/>
          <w:sz w:val="15"/>
        </w:rPr>
        <w:t xml:space="preserve">   [MUST]</w:t>
      </w:r>
    </w:p>
    <w:p>
      <w:pPr>
        <w:keepNext/>
        <w:keepLines/>
        <w:spacing w:before="20" w:after="20" w:line="245" w:lineRule="auto"/>
        <w:ind w:left="115" w:right="72"/>
      </w:pPr>
      <w:r>
        <w:rPr>
          <w:rFonts w:ascii="Aptos" w:hAnsi="Aptos"/>
          <w:color w:val="24313D"/>
          <w:sz w:val="16"/>
        </w:rPr>
        <w:t>The system SHALL enforce permitted combination/single packaging, performance level, material compatibility, closures, inner quantities, absorbent/cushioning, orientation and pressure/temperature conditions per packing instruction.</w:t>
      </w:r>
    </w:p>
    <w:p>
      <w:pPr>
        <w:keepLines/>
        <w:spacing w:before="0" w:after="60" w:line="240" w:lineRule="auto"/>
        <w:ind w:left="115" w:right="72"/>
      </w:pPr>
      <w:r>
        <w:rPr>
          <w:rFonts w:ascii="Aptos" w:hAnsi="Aptos"/>
          <w:color w:val="52616B"/>
          <w:sz w:val="14"/>
        </w:rPr>
        <w:t>Trigger: Pack planning/confirmation  |  Inputs: DG profile and packaging certificate  |  Output: Compliant package plan  |  Approval: DG reviewer + packer confirmation  |  On failure: Hold  |  Evidence: Packaging BOM and checklist  |  Sources: SRC-AIR-001, SRC-AIR-002, SRC-AIR-003, SRC-AIR-004, SRC-AIR-005, SRC-AIR-006, SRC-AIR-007, SRC-AIR-008  |  Test: T-DGR-006</w:t>
      </w:r>
    </w:p>
    <w:p>
      <w:pPr>
        <w:pStyle w:val="ReqTitle"/>
        <w:keepNext/>
        <w:shd w:fill="DDF3F5"/>
      </w:pPr>
      <w:r>
        <w:rPr>
          <w:b/>
          <w:color w:val="16324F"/>
        </w:rPr>
        <w:t>DGR-007  •  Quantity limits</w:t>
      </w:r>
      <w:r>
        <w:rPr>
          <w:b/>
          <w:color w:val="0F6B78"/>
          <w:sz w:val="15"/>
        </w:rPr>
        <w:t xml:space="preserve">   [MUST]</w:t>
      </w:r>
    </w:p>
    <w:p>
      <w:pPr>
        <w:keepNext/>
        <w:keepLines/>
        <w:spacing w:before="20" w:after="20" w:line="245" w:lineRule="auto"/>
        <w:ind w:left="115" w:right="72"/>
      </w:pPr>
      <w:r>
        <w:rPr>
          <w:rFonts w:ascii="Aptos" w:hAnsi="Aptos"/>
          <w:color w:val="24313D"/>
          <w:sz w:val="16"/>
        </w:rPr>
        <w:t>Per-inner, per-package, per-consignment, excepted/limited quantity and passenger/cargo-aircraft limits SHALL be calculated in original units and rechecked after actual packing.</w:t>
      </w:r>
    </w:p>
    <w:p>
      <w:pPr>
        <w:keepLines/>
        <w:spacing w:before="0" w:after="60" w:line="240" w:lineRule="auto"/>
        <w:ind w:left="115" w:right="72"/>
      </w:pPr>
      <w:r>
        <w:rPr>
          <w:rFonts w:ascii="Aptos" w:hAnsi="Aptos"/>
          <w:color w:val="52616B"/>
          <w:sz w:val="14"/>
        </w:rPr>
        <w:t>Trigger: Pack/weight change  |  Inputs: Quantities, packaging, aircraft/service  |  Output: Within limit/blocked  |  Approval: Automated + DG reviewer  |  On failure: Hold  |  Evidence: Calculation trace  |  Sources: SRC-AIR-001, SRC-AIR-002, SRC-AIR-003, SRC-AIR-004, SRC-AIR-005, SRC-AIR-006, SRC-AIR-007, SRC-AIR-008  |  Test: T-DGR-007</w:t>
      </w:r>
    </w:p>
    <w:p>
      <w:pPr>
        <w:pStyle w:val="ReqTitle"/>
        <w:keepNext/>
        <w:shd w:fill="DDF3F5"/>
      </w:pPr>
      <w:r>
        <w:rPr>
          <w:b/>
          <w:color w:val="16324F"/>
        </w:rPr>
        <w:t>DGR-008  •  Segregation and compatibility</w:t>
      </w:r>
      <w:r>
        <w:rPr>
          <w:b/>
          <w:color w:val="0F6B78"/>
          <w:sz w:val="15"/>
        </w:rPr>
        <w:t xml:space="preserve">   [MUST]</w:t>
      </w:r>
    </w:p>
    <w:p>
      <w:pPr>
        <w:keepNext/>
        <w:keepLines/>
        <w:spacing w:before="20" w:after="20" w:line="245" w:lineRule="auto"/>
        <w:ind w:left="115" w:right="72"/>
      </w:pPr>
      <w:r>
        <w:rPr>
          <w:rFonts w:ascii="Aptos" w:hAnsi="Aptos"/>
          <w:color w:val="24313D"/>
          <w:sz w:val="16"/>
        </w:rPr>
        <w:t>Incompatible DG classes/materials SHALL not be co-packed, overpacked, stored or loaded together contrary to applicable rules; warehouse zone and handling constraints SHALL be enforced.</w:t>
      </w:r>
    </w:p>
    <w:p>
      <w:pPr>
        <w:keepLines/>
        <w:spacing w:before="0" w:after="60" w:line="240" w:lineRule="auto"/>
        <w:ind w:left="115" w:right="72"/>
      </w:pPr>
      <w:r>
        <w:rPr>
          <w:rFonts w:ascii="Aptos" w:hAnsi="Aptos"/>
          <w:color w:val="52616B"/>
          <w:sz w:val="14"/>
        </w:rPr>
        <w:t>Trigger: Putaway, pack, manifest  |  Inputs: Hazards, packages, locations  |  Output: Compatible/blocked  |  Approval: Automated  |  On failure: Quarantine/hold  |  Evidence: Compatibility decision  |  Sources: SRC-AIR-001, SRC-AIR-002, SRC-AIR-003, SRC-AIR-004, SRC-AIR-005, SRC-AIR-006, SRC-AIR-007, SRC-AIR-008  |  Test: T-DGR-008</w:t>
      </w:r>
    </w:p>
    <w:p>
      <w:pPr>
        <w:pStyle w:val="ReqTitle"/>
        <w:keepNext/>
        <w:shd w:fill="DDF3F5"/>
      </w:pPr>
      <w:r>
        <w:rPr>
          <w:b/>
          <w:color w:val="16324F"/>
        </w:rPr>
        <w:t>DGR-009  •  Marks and labels</w:t>
      </w:r>
      <w:r>
        <w:rPr>
          <w:b/>
          <w:color w:val="0F6B78"/>
          <w:sz w:val="15"/>
        </w:rPr>
        <w:t xml:space="preserve">   [MUST]</w:t>
      </w:r>
    </w:p>
    <w:p>
      <w:pPr>
        <w:keepNext/>
        <w:keepLines/>
        <w:spacing w:before="20" w:after="20" w:line="245" w:lineRule="auto"/>
        <w:ind w:left="115" w:right="72"/>
      </w:pPr>
      <w:r>
        <w:rPr>
          <w:rFonts w:ascii="Aptos" w:hAnsi="Aptos"/>
          <w:color w:val="24313D"/>
          <w:sz w:val="16"/>
        </w:rPr>
        <w:t>Required UN marks, proper shipping name, hazard/subsidiary labels, handling marks, orientation arrows, lithium marks, cargo-aircraft-only label and overpack marks SHALL be generated/verified for exact package configuration.</w:t>
      </w:r>
    </w:p>
    <w:p>
      <w:pPr>
        <w:keepLines/>
        <w:spacing w:before="0" w:after="60" w:line="240" w:lineRule="auto"/>
        <w:ind w:left="115" w:right="72"/>
      </w:pPr>
      <w:r>
        <w:rPr>
          <w:rFonts w:ascii="Aptos" w:hAnsi="Aptos"/>
          <w:color w:val="52616B"/>
          <w:sz w:val="14"/>
        </w:rPr>
        <w:t>Trigger: Package close  |  Inputs: DG decision and packaging  |  Output: Verified marking set  |  Approval: Certified checker  |  On failure: Hold  |  Evidence: Label templates and scan/photo  |  Sources: SRC-AIR-001, SRC-AIR-002, SRC-AIR-003, SRC-AIR-004, SRC-AIR-005, SRC-AIR-006, SRC-AIR-007, SRC-AIR-008  |  Test: T-DGR-009</w:t>
      </w:r>
    </w:p>
    <w:p>
      <w:pPr>
        <w:pStyle w:val="ReqTitle"/>
        <w:keepNext/>
        <w:shd w:fill="DDF3F5"/>
      </w:pPr>
      <w:r>
        <w:rPr>
          <w:b/>
          <w:color w:val="16324F"/>
        </w:rPr>
        <w:t>DGR-010  •  DGD/e-DGD</w:t>
      </w:r>
      <w:r>
        <w:rPr>
          <w:b/>
          <w:color w:val="0F6B78"/>
          <w:sz w:val="15"/>
        </w:rPr>
        <w:t xml:space="preserve">   [MUST]</w:t>
      </w:r>
    </w:p>
    <w:p>
      <w:pPr>
        <w:keepNext/>
        <w:keepLines/>
        <w:spacing w:before="20" w:after="20" w:line="245" w:lineRule="auto"/>
        <w:ind w:left="115" w:right="72"/>
      </w:pPr>
      <w:r>
        <w:rPr>
          <w:rFonts w:ascii="Aptos" w:hAnsi="Aptos"/>
          <w:color w:val="24313D"/>
          <w:sz w:val="16"/>
        </w:rPr>
        <w:t>Shipper's Declaration or e-DGD SHALL be populated from approved DG data, signed by an authorized person, version locked and reconciled with carrier booking and physical package.</w:t>
      </w:r>
    </w:p>
    <w:p>
      <w:pPr>
        <w:keepLines/>
        <w:spacing w:before="0" w:after="60" w:line="240" w:lineRule="auto"/>
        <w:ind w:left="115" w:right="72"/>
      </w:pPr>
      <w:r>
        <w:rPr>
          <w:rFonts w:ascii="Aptos" w:hAnsi="Aptos"/>
          <w:color w:val="52616B"/>
          <w:sz w:val="14"/>
        </w:rPr>
        <w:t>Trigger: Document generation  |  Inputs: Approved DG/package/booking  |  Output: Signed declaration  |  Approval: Authorized trained signatory  |  On failure: Hold  |  Evidence: Document/hash/signature  |  Sources: SRC-AIR-001, SRC-AIR-002, SRC-AIR-003, SRC-AIR-004, SRC-AIR-005, SRC-AIR-006, SRC-AIR-007, SRC-AIR-008  |  Test: T-DGR-010</w:t>
      </w:r>
    </w:p>
    <w:p>
      <w:pPr>
        <w:pStyle w:val="ReqTitle"/>
        <w:keepNext/>
        <w:shd w:fill="DDF3F5"/>
      </w:pPr>
      <w:r>
        <w:rPr>
          <w:b/>
          <w:color w:val="16324F"/>
        </w:rPr>
        <w:t>DGR-011  •  Dry ice</w:t>
      </w:r>
      <w:r>
        <w:rPr>
          <w:b/>
          <w:color w:val="0F6B78"/>
          <w:sz w:val="15"/>
        </w:rPr>
        <w:t xml:space="preserve">   [MUST]</w:t>
      </w:r>
    </w:p>
    <w:p>
      <w:pPr>
        <w:keepNext/>
        <w:keepLines/>
        <w:spacing w:before="20" w:after="20" w:line="245" w:lineRule="auto"/>
        <w:ind w:left="115" w:right="72"/>
      </w:pPr>
      <w:r>
        <w:rPr>
          <w:rFonts w:ascii="Aptos" w:hAnsi="Aptos"/>
          <w:color w:val="24313D"/>
          <w:sz w:val="16"/>
        </w:rPr>
        <w:t>Dry ice used as coolant SHALL be modeled as DG with UN number, net quantity per package, ventilation/packaging controls and package marks; it also affects cold-chain duration and weight.</w:t>
      </w:r>
    </w:p>
    <w:p>
      <w:pPr>
        <w:keepLines/>
        <w:spacing w:before="0" w:after="60" w:line="240" w:lineRule="auto"/>
        <w:ind w:left="115" w:right="72"/>
      </w:pPr>
      <w:r>
        <w:rPr>
          <w:rFonts w:ascii="Aptos" w:hAnsi="Aptos"/>
          <w:color w:val="52616B"/>
          <w:sz w:val="14"/>
        </w:rPr>
        <w:t>Trigger: Dry ice selected  |  Inputs: Coolant plan and packages  |  Output: Compliant/blocked  |  Approval: DG reviewer  |  On failure: Hold  |  Evidence: Coolant calculation  |  Sources: SRC-AIR-001, SRC-AIR-002, SRC-AIR-003, SRC-AIR-004, SRC-AIR-005, SRC-AIR-006, SRC-AIR-007, SRC-AIR-008  |  Test: T-DGR-011</w:t>
      </w:r>
    </w:p>
    <w:p>
      <w:pPr>
        <w:pStyle w:val="ReqTitle"/>
        <w:keepNext/>
        <w:shd w:fill="DDF3F5"/>
      </w:pPr>
      <w:r>
        <w:rPr>
          <w:b/>
          <w:color w:val="16324F"/>
        </w:rPr>
        <w:t>DGR-012  •  UN 38.3 evidence</w:t>
      </w:r>
      <w:r>
        <w:rPr>
          <w:b/>
          <w:color w:val="0F6B78"/>
          <w:sz w:val="15"/>
        </w:rPr>
        <w:t xml:space="preserve">   [MUST]</w:t>
      </w:r>
    </w:p>
    <w:p>
      <w:pPr>
        <w:keepNext/>
        <w:keepLines/>
        <w:spacing w:before="20" w:after="20" w:line="245" w:lineRule="auto"/>
        <w:ind w:left="115" w:right="72"/>
      </w:pPr>
      <w:r>
        <w:rPr>
          <w:rFonts w:ascii="Aptos" w:hAnsi="Aptos"/>
          <w:color w:val="24313D"/>
          <w:sz w:val="16"/>
        </w:rPr>
        <w:t>Lithium cells/batteries requiring UN 38.3 shall have a test-summary reference tied to manufacturer, model and production type; evidence expiry/change controls and retrieval for carrier requests are required.</w:t>
      </w:r>
    </w:p>
    <w:p>
      <w:pPr>
        <w:keepLines/>
        <w:spacing w:before="0" w:after="60" w:line="240" w:lineRule="auto"/>
        <w:ind w:left="115" w:right="72"/>
      </w:pPr>
      <w:r>
        <w:rPr>
          <w:rFonts w:ascii="Aptos" w:hAnsi="Aptos"/>
          <w:color w:val="52616B"/>
          <w:sz w:val="14"/>
        </w:rPr>
        <w:t>Trigger: Battery onboarding/shipment  |  Inputs: Test summary and model data  |  Output: Verified/exception path  |  Approval: DG reviewer  |  On failure: Hold  |  Evidence: Test summary metadata  |  Sources: SRC-AIR-001, SRC-AIR-002, SRC-AIR-003, SRC-AIR-004, SRC-AIR-005, SRC-AIR-006, SRC-AIR-007, SRC-AIR-008  |  Test: T-DGR-012</w:t>
      </w:r>
    </w:p>
    <w:p>
      <w:pPr>
        <w:pStyle w:val="ReqTitle"/>
        <w:keepNext/>
        <w:shd w:fill="DDF3F5"/>
      </w:pPr>
      <w:r>
        <w:rPr>
          <w:b/>
          <w:color w:val="16324F"/>
        </w:rPr>
        <w:t>DGR-013  •  Damaged/defective/recalled batteries</w:t>
      </w:r>
      <w:r>
        <w:rPr>
          <w:b/>
          <w:color w:val="0F6B78"/>
          <w:sz w:val="15"/>
        </w:rPr>
        <w:t xml:space="preserve">   [MUST]</w:t>
      </w:r>
    </w:p>
    <w:p>
      <w:pPr>
        <w:keepNext/>
        <w:keepLines/>
        <w:spacing w:before="20" w:after="20" w:line="245" w:lineRule="auto"/>
        <w:ind w:left="115" w:right="72"/>
      </w:pPr>
      <w:r>
        <w:rPr>
          <w:rFonts w:ascii="Aptos" w:hAnsi="Aptos"/>
          <w:color w:val="24313D"/>
          <w:sz w:val="16"/>
        </w:rPr>
        <w:t>Damaged, defective, recalled, waste or recycling lithium batteries SHALL default to BLOCKED for air and require an expressly supported non-air specialist workflow outside this release.</w:t>
      </w:r>
    </w:p>
    <w:p>
      <w:pPr>
        <w:keepLines/>
        <w:spacing w:before="0" w:after="60" w:line="240" w:lineRule="auto"/>
        <w:ind w:left="115" w:right="72"/>
      </w:pPr>
      <w:r>
        <w:rPr>
          <w:rFonts w:ascii="Aptos" w:hAnsi="Aptos"/>
          <w:color w:val="52616B"/>
          <w:sz w:val="14"/>
        </w:rPr>
        <w:t>Trigger: Condition indication/return  |  Inputs: Condition and recall data  |  Output: BLOCKED  |  Approval: Automated  |  On failure: Block  |  Evidence: Reason and incident  |  Sources: SRC-AIR-001, SRC-AIR-002, SRC-AIR-003, SRC-AIR-004, SRC-AIR-005, SRC-AIR-006, SRC-AIR-007, SRC-AIR-008  |  Test: T-DGR-013</w:t>
      </w:r>
    </w:p>
    <w:p>
      <w:pPr>
        <w:pStyle w:val="ReqTitle"/>
        <w:keepNext/>
        <w:shd w:fill="DDF3F5"/>
      </w:pPr>
      <w:r>
        <w:rPr>
          <w:b/>
          <w:color w:val="16324F"/>
        </w:rPr>
        <w:t>DGR-014  •  Standalone battery restrictions</w:t>
      </w:r>
      <w:r>
        <w:rPr>
          <w:b/>
          <w:color w:val="0F6B78"/>
          <w:sz w:val="15"/>
        </w:rPr>
        <w:t xml:space="preserve">   [MUST]</w:t>
      </w:r>
    </w:p>
    <w:p>
      <w:pPr>
        <w:keepNext/>
        <w:keepLines/>
        <w:spacing w:before="20" w:after="20" w:line="245" w:lineRule="auto"/>
        <w:ind w:left="115" w:right="72"/>
      </w:pPr>
      <w:r>
        <w:rPr>
          <w:rFonts w:ascii="Aptos" w:hAnsi="Aptos"/>
          <w:color w:val="24313D"/>
          <w:sz w:val="16"/>
        </w:rPr>
        <w:t>Standalone lithium battery acceptance, state-of-charge, packing-section and cargo-aircraft constraints SHALL be evaluated by edition, state, operator and service; no global permissive default is allowed.</w:t>
      </w:r>
    </w:p>
    <w:p>
      <w:pPr>
        <w:keepLines/>
        <w:spacing w:before="0" w:after="60" w:line="240" w:lineRule="auto"/>
        <w:ind w:left="115" w:right="72"/>
      </w:pPr>
      <w:r>
        <w:rPr>
          <w:rFonts w:ascii="Aptos" w:hAnsi="Aptos"/>
          <w:color w:val="52616B"/>
          <w:sz w:val="14"/>
        </w:rPr>
        <w:t>Trigger: Battery configuration  |  Inputs: Chemistry, WH/LC, SoC, package, route  |  Output: Allowed/conditions/blocked  |  Approval: DG reviewer/external carrier  |  On failure: Hold  |  Evidence: Decision trace  |  Sources: SRC-AIR-001, SRC-AIR-002, SRC-AIR-003, SRC-AIR-004, SRC-AIR-005, SRC-AIR-006, SRC-AIR-007, SRC-AIR-008  |  Test: T-DGR-014</w:t>
      </w:r>
    </w:p>
    <w:p>
      <w:pPr>
        <w:pStyle w:val="ReqTitle"/>
        <w:keepNext/>
        <w:shd w:fill="DDF3F5"/>
      </w:pPr>
      <w:r>
        <w:rPr>
          <w:b/>
          <w:color w:val="16324F"/>
        </w:rPr>
        <w:t>DGR-015  •  Prototype/small production</w:t>
      </w:r>
      <w:r>
        <w:rPr>
          <w:b/>
          <w:color w:val="0F6B78"/>
          <w:sz w:val="15"/>
        </w:rPr>
        <w:t xml:space="preserve">   [MUST]</w:t>
      </w:r>
    </w:p>
    <w:p>
      <w:pPr>
        <w:keepNext/>
        <w:keepLines/>
        <w:spacing w:before="20" w:after="20" w:line="245" w:lineRule="auto"/>
        <w:ind w:left="115" w:right="72"/>
      </w:pPr>
      <w:r>
        <w:rPr>
          <w:rFonts w:ascii="Aptos" w:hAnsi="Aptos"/>
          <w:color w:val="24313D"/>
          <w:sz w:val="16"/>
        </w:rPr>
        <w:t>Prototype or low-production-run battery exceptions SHALL require competent-authority approvals and carrier acceptance explicitly linked to the shipment.</w:t>
      </w:r>
    </w:p>
    <w:p>
      <w:pPr>
        <w:keepLines/>
        <w:spacing w:before="0" w:after="60" w:line="240" w:lineRule="auto"/>
        <w:ind w:left="115" w:right="72"/>
      </w:pPr>
      <w:r>
        <w:rPr>
          <w:rFonts w:ascii="Aptos" w:hAnsi="Aptos"/>
          <w:color w:val="52616B"/>
          <w:sz w:val="14"/>
        </w:rPr>
        <w:t>Trigger: Product trigger  |  Inputs: Approval documents and route  |  Output: External approval required  |  Approval: DG reviewer + carrier  |  On failure: Hold  |  Evidence: Approval/response  |  Sources: SRC-AIR-001, SRC-AIR-002, SRC-AIR-003, SRC-AIR-004, SRC-AIR-005, SRC-AIR-006, SRC-AIR-007, SRC-AIR-008  |  Test: T-DGR-015</w:t>
      </w:r>
    </w:p>
    <w:p>
      <w:pPr>
        <w:pStyle w:val="ReqTitle"/>
        <w:keepNext/>
        <w:shd w:fill="DDF3F5"/>
      </w:pPr>
      <w:r>
        <w:rPr>
          <w:b/>
          <w:color w:val="16324F"/>
        </w:rPr>
        <w:t>DGR-016  •  DG training</w:t>
      </w:r>
      <w:r>
        <w:rPr>
          <w:b/>
          <w:color w:val="0F6B78"/>
          <w:sz w:val="15"/>
        </w:rPr>
        <w:t xml:space="preserve">   [MUST]</w:t>
      </w:r>
    </w:p>
    <w:p>
      <w:pPr>
        <w:keepNext/>
        <w:keepLines/>
        <w:spacing w:before="20" w:after="20" w:line="245" w:lineRule="auto"/>
        <w:ind w:left="115" w:right="72"/>
      </w:pPr>
      <w:r>
        <w:rPr>
          <w:rFonts w:ascii="Aptos" w:hAnsi="Aptos"/>
          <w:color w:val="24313D"/>
          <w:sz w:val="16"/>
        </w:rPr>
        <w:t>Training records SHALL be role- and function-specific, include recurrent due dates, course/assessment evidence and suspension; expired training disables the function immediately.</w:t>
      </w:r>
    </w:p>
    <w:p>
      <w:pPr>
        <w:keepLines/>
        <w:spacing w:before="0" w:after="60" w:line="240" w:lineRule="auto"/>
        <w:ind w:left="115" w:right="72"/>
      </w:pPr>
      <w:r>
        <w:rPr>
          <w:rFonts w:ascii="Aptos" w:hAnsi="Aptos"/>
          <w:color w:val="52616B"/>
          <w:sz w:val="14"/>
        </w:rPr>
        <w:t>Trigger: Assignment/action  |  Inputs: Role and training record  |  Output: Authorized/denied  |  Approval: Compliance admin  |  On failure: Deny  |  Evidence: Training record  |  Sources: SRC-AIR-001, SRC-AIR-002, SRC-AIR-003, SRC-AIR-004, SRC-AIR-005, SRC-AIR-006, SRC-AIR-007, SRC-AIR-008  |  Test: T-DGR-016</w:t>
      </w:r>
    </w:p>
    <w:p>
      <w:pPr>
        <w:pStyle w:val="ReqTitle"/>
        <w:keepNext/>
        <w:shd w:fill="DDF3F5"/>
      </w:pPr>
      <w:r>
        <w:rPr>
          <w:b/>
          <w:color w:val="16324F"/>
        </w:rPr>
        <w:t>DGR-017  •  Emergency response</w:t>
      </w:r>
      <w:r>
        <w:rPr>
          <w:b/>
          <w:color w:val="0F6B78"/>
          <w:sz w:val="15"/>
        </w:rPr>
        <w:t xml:space="preserve">   [MUST]</w:t>
      </w:r>
    </w:p>
    <w:p>
      <w:pPr>
        <w:keepNext/>
        <w:keepLines/>
        <w:spacing w:before="20" w:after="20" w:line="245" w:lineRule="auto"/>
        <w:ind w:left="115" w:right="72"/>
      </w:pPr>
      <w:r>
        <w:rPr>
          <w:rFonts w:ascii="Aptos" w:hAnsi="Aptos"/>
          <w:color w:val="24313D"/>
          <w:sz w:val="16"/>
        </w:rPr>
        <w:t>DG incidents, leakage, damage, temperature events and misdeclaration SHALL trigger emergency SOPs, area isolation, carrier notification, evidence preservation and regulatory escalation defined by site/country pack.</w:t>
      </w:r>
    </w:p>
    <w:p>
      <w:pPr>
        <w:keepLines/>
        <w:spacing w:before="0" w:after="60" w:line="240" w:lineRule="auto"/>
        <w:ind w:left="115" w:right="72"/>
      </w:pPr>
      <w:r>
        <w:rPr>
          <w:rFonts w:ascii="Aptos" w:hAnsi="Aptos"/>
          <w:color w:val="52616B"/>
          <w:sz w:val="14"/>
        </w:rPr>
        <w:t>Trigger: Incident  |  Inputs: Product, location, exposure, contacts  |  Output: Incident workflow  |  Approval: Site safety/DG officer  |  On failure: Stop movement  |  Evidence: Incident dossier  |  Sources: SRC-AIR-001, SRC-AIR-002, SRC-AIR-003, SRC-AIR-004, SRC-AIR-005, SRC-AIR-006, SRC-AIR-007, SRC-AIR-008  |  Test: T-DGR-017</w:t>
      </w:r>
    </w:p>
    <w:p>
      <w:pPr>
        <w:pStyle w:val="ReqTitle"/>
        <w:keepNext/>
        <w:shd w:fill="DDF3F5"/>
      </w:pPr>
      <w:r>
        <w:rPr>
          <w:b/>
          <w:color w:val="16324F"/>
        </w:rPr>
        <w:t>DGR-018  •  DG record retention</w:t>
      </w:r>
      <w:r>
        <w:rPr>
          <w:b/>
          <w:color w:val="0F6B78"/>
          <w:sz w:val="15"/>
        </w:rPr>
        <w:t xml:space="preserve">   [MUST]</w:t>
      </w:r>
    </w:p>
    <w:p>
      <w:pPr>
        <w:keepNext/>
        <w:keepLines/>
        <w:spacing w:before="20" w:after="20" w:line="245" w:lineRule="auto"/>
        <w:ind w:left="115" w:right="72"/>
      </w:pPr>
      <w:r>
        <w:rPr>
          <w:rFonts w:ascii="Aptos" w:hAnsi="Aptos"/>
          <w:color w:val="24313D"/>
          <w:sz w:val="16"/>
        </w:rPr>
        <w:t>DG declarations, acceptance checklists, training, test evidence, approvals and incident records SHALL use the longest applicable retention period across rule, carrier contract and tenant policy.</w:t>
      </w:r>
    </w:p>
    <w:p>
      <w:pPr>
        <w:keepLines/>
        <w:spacing w:before="0" w:after="60" w:line="240" w:lineRule="auto"/>
        <w:ind w:left="115" w:right="72"/>
      </w:pPr>
      <w:r>
        <w:rPr>
          <w:rFonts w:ascii="Aptos" w:hAnsi="Aptos"/>
          <w:color w:val="52616B"/>
          <w:sz w:val="14"/>
        </w:rPr>
        <w:t>Trigger: Record creation  |  Inputs: Record type and jurisdictions  |  Output: Retention/destruction schedule  |  Approval: Records owner  |  On failure: Legal hold/no deletion  |  Evidence: Retention decision  |  Sources: SRC-AIR-001, SRC-AIR-002, SRC-AIR-003, SRC-AIR-004, SRC-AIR-005, SRC-AIR-006, SRC-AIR-007, SRC-AIR-008  |  Test: T-DGR-018</w:t>
      </w:r>
    </w:p>
    <w:p>
      <w:pPr>
        <w:pStyle w:val="Heading2"/>
        <w:keepNext/>
      </w:pPr>
      <w:r>
        <w:t>20.9 Regulated &amp; special commodities (21 controls)</w:t>
      </w:r>
    </w:p>
    <w:p>
      <w:pPr>
        <w:pStyle w:val="ReqTitle"/>
        <w:keepNext/>
        <w:shd w:fill="DDF3F5"/>
      </w:pPr>
      <w:r>
        <w:rPr>
          <w:b/>
          <w:color w:val="16324F"/>
        </w:rPr>
        <w:t>SPC-001  •  SPS eligibility</w:t>
      </w:r>
      <w:r>
        <w:rPr>
          <w:b/>
          <w:color w:val="0F6B78"/>
          <w:sz w:val="15"/>
        </w:rPr>
        <w:t xml:space="preserve">   [MUST]</w:t>
      </w:r>
    </w:p>
    <w:p>
      <w:pPr>
        <w:keepNext/>
        <w:keepLines/>
        <w:spacing w:before="20" w:after="20" w:line="245" w:lineRule="auto"/>
        <w:ind w:left="115" w:right="72"/>
      </w:pPr>
      <w:r>
        <w:rPr>
          <w:rFonts w:ascii="Aptos" w:hAnsi="Aptos"/>
          <w:color w:val="24313D"/>
          <w:sz w:val="16"/>
        </w:rPr>
        <w:t>Food, animal-origin, plant-origin and related products SHALL be evaluated against origin/destination SPS measures, establishment approvals, health/phytosanitary certificates, border-control routing and personal/commercial exemptions.</w:t>
      </w:r>
    </w:p>
    <w:p>
      <w:pPr>
        <w:keepLines/>
        <w:spacing w:before="0" w:after="60" w:line="240" w:lineRule="auto"/>
        <w:ind w:left="115" w:right="72"/>
      </w:pPr>
      <w:r>
        <w:rPr>
          <w:rFonts w:ascii="Aptos" w:hAnsi="Aptos"/>
          <w:color w:val="52616B"/>
          <w:sz w:val="14"/>
        </w:rPr>
        <w:t>Trigger: Regulated item/lane  |  Inputs: Product composition, origin, manufacturer, destination, quantity/use  |  Output: Permit/certificate/control-post conditions  |  Approval: Food/SPS specialist/external authority  |  On failure: Hold  |  Evidence: SPS source and certificates  |  Sources: SRC-COM-001, SRC-COM-002, SRC-COM-003, SRC-COM-004, SRC-COM-005, SRC-COM-012, SRC-SAN-007, SRC-SAN-010, SRC-SAN-011, SRC-SAN-012, SRC-SAN-013  |  Test: T-SPC-001</w:t>
      </w:r>
    </w:p>
    <w:p>
      <w:pPr>
        <w:pStyle w:val="ReqTitle"/>
        <w:keepNext/>
        <w:shd w:fill="DDF3F5"/>
      </w:pPr>
      <w:r>
        <w:rPr>
          <w:b/>
          <w:color w:val="16324F"/>
        </w:rPr>
        <w:t>SPC-002  •  Food prior notice/agency filing</w:t>
      </w:r>
      <w:r>
        <w:rPr>
          <w:b/>
          <w:color w:val="0F6B78"/>
          <w:sz w:val="15"/>
        </w:rPr>
        <w:t xml:space="preserve">   [MUST]</w:t>
      </w:r>
    </w:p>
    <w:p>
      <w:pPr>
        <w:keepNext/>
        <w:keepLines/>
        <w:spacing w:before="20" w:after="20" w:line="245" w:lineRule="auto"/>
        <w:ind w:left="115" w:right="72"/>
      </w:pPr>
      <w:r>
        <w:rPr>
          <w:rFonts w:ascii="Aptos" w:hAnsi="Aptos"/>
          <w:color w:val="24313D"/>
          <w:sz w:val="16"/>
        </w:rPr>
        <w:t>Where a destination requires prior notice or agency data, the platform SHALL collect and transmit it only through the carrier/approved external filer and retain the accepted external reference before tender.</w:t>
      </w:r>
    </w:p>
    <w:p>
      <w:pPr>
        <w:keepLines/>
        <w:spacing w:before="0" w:after="60" w:line="240" w:lineRule="auto"/>
        <w:ind w:left="115" w:right="72"/>
      </w:pPr>
      <w:r>
        <w:rPr>
          <w:rFonts w:ascii="Aptos" w:hAnsi="Aptos"/>
          <w:color w:val="52616B"/>
          <w:sz w:val="14"/>
        </w:rPr>
        <w:t>Trigger: Shipment readiness  |  Inputs: Food dossier and filing route  |  Output: Accepted reference  |  Approval: External filer  |  On failure: Hold  |  Evidence: External response  |  Sources: SRC-COM-001, SRC-COM-002, SRC-COM-003, SRC-COM-004, SRC-COM-005, SRC-COM-012, SRC-SAN-007, SRC-SAN-010, SRC-SAN-011, SRC-SAN-012, SRC-SAN-013  |  Test: T-SPC-002</w:t>
      </w:r>
    </w:p>
    <w:p>
      <w:pPr>
        <w:pStyle w:val="ReqTitle"/>
        <w:keepNext/>
        <w:shd w:fill="DDF3F5"/>
      </w:pPr>
      <w:r>
        <w:rPr>
          <w:b/>
          <w:color w:val="16324F"/>
        </w:rPr>
        <w:t>SPC-003  •  Cold-chain lane qualification</w:t>
      </w:r>
      <w:r>
        <w:rPr>
          <w:b/>
          <w:color w:val="0F6B78"/>
          <w:sz w:val="15"/>
        </w:rPr>
        <w:t xml:space="preserve">   [MUST]</w:t>
      </w:r>
    </w:p>
    <w:p>
      <w:pPr>
        <w:keepNext/>
        <w:keepLines/>
        <w:spacing w:before="20" w:after="20" w:line="245" w:lineRule="auto"/>
        <w:ind w:left="115" w:right="72"/>
      </w:pPr>
      <w:r>
        <w:rPr>
          <w:rFonts w:ascii="Aptos" w:hAnsi="Aptos"/>
          <w:color w:val="24313D"/>
          <w:sz w:val="16"/>
        </w:rPr>
        <w:t>Temperature-controlled service SHALL be offered only when packaging, coolant, sensor, carrier product, transit time, seasonal profile, contingency and customs-delay assumptions meet the product stability budget.</w:t>
      </w:r>
    </w:p>
    <w:p>
      <w:pPr>
        <w:keepLines/>
        <w:spacing w:before="0" w:after="60" w:line="240" w:lineRule="auto"/>
        <w:ind w:left="115" w:right="72"/>
      </w:pPr>
      <w:r>
        <w:rPr>
          <w:rFonts w:ascii="Aptos" w:hAnsi="Aptos"/>
          <w:color w:val="52616B"/>
          <w:sz w:val="14"/>
        </w:rPr>
        <w:t>Trigger: Quote/pack  |  Inputs: Temperature range, stability, route, packaging qualification  |  Output: Qualified lane or block  |  Approval: Quality approver  |  On failure: Hold  |  Evidence: Lane qualification  |  Sources: SRC-COM-001, SRC-COM-002, SRC-COM-003, SRC-COM-004, SRC-COM-005, SRC-COM-012, SRC-SAN-007, SRC-SAN-010, SRC-SAN-011, SRC-SAN-012, SRC-SAN-013  |  Test: T-SPC-003</w:t>
      </w:r>
    </w:p>
    <w:p>
      <w:pPr>
        <w:pStyle w:val="ReqTitle"/>
        <w:keepNext/>
        <w:shd w:fill="DDF3F5"/>
      </w:pPr>
      <w:r>
        <w:rPr>
          <w:b/>
          <w:color w:val="16324F"/>
        </w:rPr>
        <w:t>SPC-004  •  Temperature monitoring</w:t>
      </w:r>
      <w:r>
        <w:rPr>
          <w:b/>
          <w:color w:val="0F6B78"/>
          <w:sz w:val="15"/>
        </w:rPr>
        <w:t xml:space="preserve">   [MUST]</w:t>
      </w:r>
    </w:p>
    <w:p>
      <w:pPr>
        <w:keepNext/>
        <w:keepLines/>
        <w:spacing w:before="20" w:after="20" w:line="245" w:lineRule="auto"/>
        <w:ind w:left="115" w:right="72"/>
      </w:pPr>
      <w:r>
        <w:rPr>
          <w:rFonts w:ascii="Aptos" w:hAnsi="Aptos"/>
          <w:color w:val="24313D"/>
          <w:sz w:val="16"/>
        </w:rPr>
        <w:t>Sensor IDs, calibration, placement, start/stop, readings and time-zone-normalized events SHALL be linked to package/lot; gaps and excursions trigger quarantine.</w:t>
      </w:r>
    </w:p>
    <w:p>
      <w:pPr>
        <w:keepLines/>
        <w:spacing w:before="0" w:after="60" w:line="240" w:lineRule="auto"/>
        <w:ind w:left="115" w:right="72"/>
      </w:pPr>
      <w:r>
        <w:rPr>
          <w:rFonts w:ascii="Aptos" w:hAnsi="Aptos"/>
          <w:color w:val="52616B"/>
          <w:sz w:val="14"/>
        </w:rPr>
        <w:t>Trigger: Pack/handover/arrival  |  Inputs: Sensor and product limits  |  Output: Within range/excursion  |  Approval: Quality unit  |  On failure: Quarantine  |  Evidence: Sensor file and chain  |  Sources: SRC-COM-001, SRC-COM-002, SRC-COM-003, SRC-COM-004, SRC-COM-005, SRC-COM-012, SRC-SAN-007, SRC-SAN-010, SRC-SAN-011, SRC-SAN-012, SRC-SAN-013  |  Test: T-SPC-004</w:t>
      </w:r>
    </w:p>
    <w:p>
      <w:pPr>
        <w:pStyle w:val="ReqTitle"/>
        <w:keepNext/>
        <w:shd w:fill="DDF3F5"/>
      </w:pPr>
      <w:r>
        <w:rPr>
          <w:b/>
          <w:color w:val="16324F"/>
        </w:rPr>
        <w:t>SPC-005  •  Shelf-life at delivery</w:t>
      </w:r>
      <w:r>
        <w:rPr>
          <w:b/>
          <w:color w:val="0F6B78"/>
          <w:sz w:val="15"/>
        </w:rPr>
        <w:t xml:space="preserve">   [MUST]</w:t>
      </w:r>
    </w:p>
    <w:p>
      <w:pPr>
        <w:keepNext/>
        <w:keepLines/>
        <w:spacing w:before="20" w:after="20" w:line="245" w:lineRule="auto"/>
        <w:ind w:left="115" w:right="72"/>
      </w:pPr>
      <w:r>
        <w:rPr>
          <w:rFonts w:ascii="Aptos" w:hAnsi="Aptos"/>
          <w:color w:val="24313D"/>
          <w:sz w:val="16"/>
        </w:rPr>
        <w:t>The system SHALL calculate minimum remaining shelf life at planned and worst-case delivery including customs delays; items below customer/regulatory policy are blocked.</w:t>
      </w:r>
    </w:p>
    <w:p>
      <w:pPr>
        <w:keepLines/>
        <w:spacing w:before="0" w:after="60" w:line="240" w:lineRule="auto"/>
        <w:ind w:left="115" w:right="72"/>
      </w:pPr>
      <w:r>
        <w:rPr>
          <w:rFonts w:ascii="Aptos" w:hAnsi="Aptos"/>
          <w:color w:val="52616B"/>
          <w:sz w:val="14"/>
        </w:rPr>
        <w:t>Trigger: Allocation/route change  |  Inputs: Expiry, transit, delay buffer  |  Output: Eligible lot  |  Approval: Automated  |  On failure: Block lot  |  Evidence: Calculation  |  Sources: SRC-COM-001, SRC-COM-002, SRC-COM-003, SRC-COM-004, SRC-COM-005, SRC-COM-012, SRC-SAN-007, SRC-SAN-010, SRC-SAN-011, SRC-SAN-012, SRC-SAN-013  |  Test: T-SPC-005</w:t>
      </w:r>
    </w:p>
    <w:p>
      <w:pPr>
        <w:pStyle w:val="ReqTitle"/>
        <w:keepNext/>
        <w:shd w:fill="DDF3F5"/>
      </w:pPr>
      <w:r>
        <w:rPr>
          <w:b/>
          <w:color w:val="16324F"/>
        </w:rPr>
        <w:t>SPC-006  •  GDP quality release</w:t>
      </w:r>
      <w:r>
        <w:rPr>
          <w:b/>
          <w:color w:val="0F6B78"/>
          <w:sz w:val="15"/>
        </w:rPr>
        <w:t xml:space="preserve">   [MUST]</w:t>
      </w:r>
    </w:p>
    <w:p>
      <w:pPr>
        <w:keepNext/>
        <w:keepLines/>
        <w:spacing w:before="20" w:after="20" w:line="245" w:lineRule="auto"/>
        <w:ind w:left="115" w:right="72"/>
      </w:pPr>
      <w:r>
        <w:rPr>
          <w:rFonts w:ascii="Aptos" w:hAnsi="Aptos"/>
          <w:color w:val="24313D"/>
          <w:sz w:val="16"/>
        </w:rPr>
        <w:t>Medicinal-product flows SHALL require qualified supplier/customer/site status, authorized product/market, lot traceability, storage compliance, anti-falsification controls and quality-unit release.</w:t>
      </w:r>
    </w:p>
    <w:p>
      <w:pPr>
        <w:keepLines/>
        <w:spacing w:before="0" w:after="60" w:line="240" w:lineRule="auto"/>
        <w:ind w:left="115" w:right="72"/>
      </w:pPr>
      <w:r>
        <w:rPr>
          <w:rFonts w:ascii="Aptos" w:hAnsi="Aptos"/>
          <w:color w:val="52616B"/>
          <w:sz w:val="14"/>
        </w:rPr>
        <w:t>Trigger: Life-science shipment  |  Inputs: GDP dossier and lane  |  Output: Released/hold  |  Approval: Responsible quality person/external approval  |  On failure: Hold  |  Evidence: Quality release  |  Sources: SRC-COM-001, SRC-COM-002, SRC-COM-003, SRC-COM-004, SRC-COM-005, SRC-COM-012, SRC-SAN-007, SRC-SAN-010, SRC-SAN-011, SRC-SAN-012, SRC-SAN-013  |  Test: T-SPC-006</w:t>
      </w:r>
    </w:p>
    <w:p>
      <w:pPr>
        <w:pStyle w:val="ReqTitle"/>
        <w:keepNext/>
        <w:shd w:fill="DDF3F5"/>
      </w:pPr>
      <w:r>
        <w:rPr>
          <w:b/>
          <w:color w:val="16324F"/>
        </w:rPr>
        <w:t>SPC-007  •  Medical-device identifiers</w:t>
      </w:r>
      <w:r>
        <w:rPr>
          <w:b/>
          <w:color w:val="0F6B78"/>
          <w:sz w:val="15"/>
        </w:rPr>
        <w:t xml:space="preserve">   [MUST]</w:t>
      </w:r>
    </w:p>
    <w:p>
      <w:pPr>
        <w:keepNext/>
        <w:keepLines/>
        <w:spacing w:before="20" w:after="20" w:line="245" w:lineRule="auto"/>
        <w:ind w:left="115" w:right="72"/>
      </w:pPr>
      <w:r>
        <w:rPr>
          <w:rFonts w:ascii="Aptos" w:hAnsi="Aptos"/>
          <w:color w:val="24313D"/>
          <w:sz w:val="16"/>
        </w:rPr>
        <w:t>Device shipments SHALL capture manufacturer, device name/model, UDI where applicable, registration/listing/authorization, lot/serial and destination importer information.</w:t>
      </w:r>
    </w:p>
    <w:p>
      <w:pPr>
        <w:keepLines/>
        <w:spacing w:before="0" w:after="60" w:line="240" w:lineRule="auto"/>
        <w:ind w:left="115" w:right="72"/>
      </w:pPr>
      <w:r>
        <w:rPr>
          <w:rFonts w:ascii="Aptos" w:hAnsi="Aptos"/>
          <w:color w:val="52616B"/>
          <w:sz w:val="14"/>
        </w:rPr>
        <w:t>Trigger: Device item/lane  |  Inputs: Device dossier  |  Output: Eligible/agency data required  |  Approval: Device regulatory reviewer  |  On failure: Hold  |  Evidence: Registration evidence  |  Sources: SRC-COM-001, SRC-COM-002, SRC-COM-003, SRC-COM-004, SRC-COM-005, SRC-COM-012, SRC-SAN-007, SRC-SAN-010, SRC-SAN-011, SRC-SAN-012, SRC-SAN-013  |  Test: T-SPC-007</w:t>
      </w:r>
    </w:p>
    <w:p>
      <w:pPr>
        <w:pStyle w:val="ReqTitle"/>
        <w:keepNext/>
        <w:shd w:fill="DDF3F5"/>
      </w:pPr>
      <w:r>
        <w:rPr>
          <w:b/>
          <w:color w:val="16324F"/>
        </w:rPr>
        <w:t>SPC-008  •  Recall capability</w:t>
      </w:r>
      <w:r>
        <w:rPr>
          <w:b/>
          <w:color w:val="0F6B78"/>
          <w:sz w:val="15"/>
        </w:rPr>
        <w:t xml:space="preserve">   [MUST]</w:t>
      </w:r>
    </w:p>
    <w:p>
      <w:pPr>
        <w:keepNext/>
        <w:keepLines/>
        <w:spacing w:before="20" w:after="20" w:line="245" w:lineRule="auto"/>
        <w:ind w:left="115" w:right="72"/>
      </w:pPr>
      <w:r>
        <w:rPr>
          <w:rFonts w:ascii="Aptos" w:hAnsi="Aptos"/>
          <w:color w:val="24313D"/>
          <w:sz w:val="16"/>
        </w:rPr>
        <w:t>Food, pharma and devices SHALL be searchable by product, lot/batch/serial/UDI, customer, destination and shipment, with hold/recall actions and regulatory/customer notification evidence.</w:t>
      </w:r>
    </w:p>
    <w:p>
      <w:pPr>
        <w:keepLines/>
        <w:spacing w:before="0" w:after="60" w:line="240" w:lineRule="auto"/>
        <w:ind w:left="115" w:right="72"/>
      </w:pPr>
      <w:r>
        <w:rPr>
          <w:rFonts w:ascii="Aptos" w:hAnsi="Aptos"/>
          <w:color w:val="52616B"/>
          <w:sz w:val="14"/>
        </w:rPr>
        <w:t>Trigger: Recall/incident  |  Inputs: Traceability data  |  Output: Affected population and actions  |  Approval: Quality unit  |  On failure: Stop stock/shipments  |  Evidence: Recall dossier  |  Sources: SRC-COM-001, SRC-COM-002, SRC-COM-003, SRC-COM-004, SRC-COM-005, SRC-COM-012, SRC-SAN-007, SRC-SAN-010, SRC-SAN-011, SRC-SAN-012, SRC-SAN-013  |  Test: T-SPC-008</w:t>
      </w:r>
    </w:p>
    <w:p>
      <w:pPr>
        <w:pStyle w:val="ReqTitle"/>
        <w:keepNext/>
        <w:shd w:fill="DDF3F5"/>
      </w:pPr>
      <w:r>
        <w:rPr>
          <w:b/>
          <w:color w:val="16324F"/>
        </w:rPr>
        <w:t>SPC-009  •  Excise licences</w:t>
      </w:r>
      <w:r>
        <w:rPr>
          <w:b/>
          <w:color w:val="0F6B78"/>
          <w:sz w:val="15"/>
        </w:rPr>
        <w:t xml:space="preserve">   [MUST]</w:t>
      </w:r>
    </w:p>
    <w:p>
      <w:pPr>
        <w:keepNext/>
        <w:keepLines/>
        <w:spacing w:before="20" w:after="20" w:line="245" w:lineRule="auto"/>
        <w:ind w:left="115" w:right="72"/>
      </w:pPr>
      <w:r>
        <w:rPr>
          <w:rFonts w:ascii="Aptos" w:hAnsi="Aptos"/>
          <w:color w:val="24313D"/>
          <w:sz w:val="16"/>
        </w:rPr>
        <w:t>Alcohol/tobacco SHALL require origin warehouse/shipper, carrier, importer/consignee and destination licences/registrations as applicable; consumer shipments need explicit lane permission.</w:t>
      </w:r>
    </w:p>
    <w:p>
      <w:pPr>
        <w:keepLines/>
        <w:spacing w:before="0" w:after="60" w:line="240" w:lineRule="auto"/>
        <w:ind w:left="115" w:right="72"/>
      </w:pPr>
      <w:r>
        <w:rPr>
          <w:rFonts w:ascii="Aptos" w:hAnsi="Aptos"/>
          <w:color w:val="52616B"/>
          <w:sz w:val="14"/>
        </w:rPr>
        <w:t>Trigger: Excise item/lane  |  Inputs: Licences, customer type, route  |  Output: Eligible/blocked  |  Approval: Excise specialist/external carrier  |  On failure: Hold  |  Evidence: Verified licences  |  Sources: SRC-COM-001, SRC-COM-002, SRC-COM-003, SRC-COM-004, SRC-COM-005, SRC-COM-012, SRC-SAN-007, SRC-SAN-010, SRC-SAN-011, SRC-SAN-012, SRC-SAN-013  |  Test: T-SPC-009</w:t>
      </w:r>
    </w:p>
    <w:p>
      <w:pPr>
        <w:pStyle w:val="ReqTitle"/>
        <w:keepNext/>
        <w:shd w:fill="DDF3F5"/>
      </w:pPr>
      <w:r>
        <w:rPr>
          <w:b/>
          <w:color w:val="16324F"/>
        </w:rPr>
        <w:t>SPC-010  •  Excise tax and movement references</w:t>
      </w:r>
      <w:r>
        <w:rPr>
          <w:b/>
          <w:color w:val="0F6B78"/>
          <w:sz w:val="15"/>
        </w:rPr>
        <w:t xml:space="preserve">   [MUST]</w:t>
      </w:r>
    </w:p>
    <w:p>
      <w:pPr>
        <w:keepNext/>
        <w:keepLines/>
        <w:spacing w:before="20" w:after="20" w:line="245" w:lineRule="auto"/>
        <w:ind w:left="115" w:right="72"/>
      </w:pPr>
      <w:r>
        <w:rPr>
          <w:rFonts w:ascii="Aptos" w:hAnsi="Aptos"/>
          <w:color w:val="24313D"/>
          <w:sz w:val="16"/>
        </w:rPr>
        <w:t>Duty-suspension or excise movement documents/references SHALL be externally approved and linked; the SaaS SHALL not simulate an authority acceptance.</w:t>
      </w:r>
    </w:p>
    <w:p>
      <w:pPr>
        <w:keepLines/>
        <w:spacing w:before="0" w:after="60" w:line="240" w:lineRule="auto"/>
        <w:ind w:left="115" w:right="72"/>
      </w:pPr>
      <w:r>
        <w:rPr>
          <w:rFonts w:ascii="Aptos" w:hAnsi="Aptos"/>
          <w:color w:val="52616B"/>
          <w:sz w:val="14"/>
        </w:rPr>
        <w:t>Trigger: Excise procedure  |  Inputs: External system/filing response  |  Output: Accepted movement reference  |  Approval: External filer  |  On failure: Hold  |  Evidence: Response/reference  |  Sources: SRC-COM-001, SRC-COM-002, SRC-COM-003, SRC-COM-004, SRC-COM-005, SRC-COM-012, SRC-SAN-007, SRC-SAN-010, SRC-SAN-011, SRC-SAN-012, SRC-SAN-013  |  Test: T-SPC-010</w:t>
      </w:r>
    </w:p>
    <w:p>
      <w:pPr>
        <w:pStyle w:val="ReqTitle"/>
        <w:keepNext/>
        <w:shd w:fill="DDF3F5"/>
      </w:pPr>
      <w:r>
        <w:rPr>
          <w:b/>
          <w:color w:val="16324F"/>
        </w:rPr>
        <w:t>SPC-011  •  Age and identity service</w:t>
      </w:r>
      <w:r>
        <w:rPr>
          <w:b/>
          <w:color w:val="0F6B78"/>
          <w:sz w:val="15"/>
        </w:rPr>
        <w:t xml:space="preserve">   [MUST]</w:t>
      </w:r>
    </w:p>
    <w:p>
      <w:pPr>
        <w:keepNext/>
        <w:keepLines/>
        <w:spacing w:before="20" w:after="20" w:line="245" w:lineRule="auto"/>
        <w:ind w:left="115" w:right="72"/>
      </w:pPr>
      <w:r>
        <w:rPr>
          <w:rFonts w:ascii="Aptos" w:hAnsi="Aptos"/>
          <w:color w:val="24313D"/>
          <w:sz w:val="16"/>
        </w:rPr>
        <w:t>Where required, adult signature/age verification SHALL be a carrier-supported special service, with privacy-minimized evidence and no unsupported promise of legal age verification.</w:t>
      </w:r>
    </w:p>
    <w:p>
      <w:pPr>
        <w:keepLines/>
        <w:spacing w:before="0" w:after="60" w:line="240" w:lineRule="auto"/>
        <w:ind w:left="115" w:right="72"/>
      </w:pPr>
      <w:r>
        <w:rPr>
          <w:rFonts w:ascii="Aptos" w:hAnsi="Aptos"/>
          <w:color w:val="52616B"/>
          <w:sz w:val="14"/>
        </w:rPr>
        <w:t>Trigger: Service selection  |  Inputs: Destination law, product, carrier service  |  Output: Eligible service  |  Approval: Automated/external carrier  |  On failure: Block consumer shipment  |  Evidence: Capability response  |  Sources: SRC-COM-001, SRC-COM-002, SRC-COM-003, SRC-COM-004, SRC-COM-005, SRC-COM-012, SRC-SAN-007, SRC-SAN-010, SRC-SAN-011, SRC-SAN-012, SRC-SAN-013  |  Test: T-SPC-011</w:t>
      </w:r>
    </w:p>
    <w:p>
      <w:pPr>
        <w:pStyle w:val="ReqTitle"/>
        <w:keepNext/>
        <w:shd w:fill="DDF3F5"/>
      </w:pPr>
      <w:r>
        <w:rPr>
          <w:b/>
          <w:color w:val="16324F"/>
        </w:rPr>
        <w:t>SPC-012  •  Dual-use licence determination</w:t>
      </w:r>
      <w:r>
        <w:rPr>
          <w:b/>
          <w:color w:val="0F6B78"/>
          <w:sz w:val="15"/>
        </w:rPr>
        <w:t xml:space="preserve">   [MUST]</w:t>
      </w:r>
    </w:p>
    <w:p>
      <w:pPr>
        <w:keepNext/>
        <w:keepLines/>
        <w:spacing w:before="20" w:after="20" w:line="245" w:lineRule="auto"/>
        <w:ind w:left="115" w:right="72"/>
      </w:pPr>
      <w:r>
        <w:rPr>
          <w:rFonts w:ascii="Aptos" w:hAnsi="Aptos"/>
          <w:color w:val="24313D"/>
          <w:sz w:val="16"/>
        </w:rPr>
        <w:t>Controlled and potentially controlled goods SHALL require jurisdiction-specific classification, end-use/end-user review, licence exception/general authorization eligibility and external licence evidence before release.</w:t>
      </w:r>
    </w:p>
    <w:p>
      <w:pPr>
        <w:keepLines/>
        <w:spacing w:before="0" w:after="60" w:line="240" w:lineRule="auto"/>
        <w:ind w:left="115" w:right="72"/>
      </w:pPr>
      <w:r>
        <w:rPr>
          <w:rFonts w:ascii="Aptos" w:hAnsi="Aptos"/>
          <w:color w:val="52616B"/>
          <w:sz w:val="14"/>
        </w:rPr>
        <w:t>Trigger: Controlled-goods trigger  |  Inputs: Technical dossier, nexuses, parties, end use  |  Output: NLR/authorization/licence/block  |  Approval: Export-control specialist/external authority  |  On failure: Hold  |  Evidence: Determination and licence  |  Sources: SRC-COM-001, SRC-COM-002, SRC-COM-003, SRC-COM-004, SRC-COM-005, SRC-COM-012, SRC-SAN-007, SRC-SAN-010, SRC-SAN-011, SRC-SAN-012, SRC-SAN-013  |  Test: T-SPC-012</w:t>
      </w:r>
    </w:p>
    <w:p>
      <w:pPr>
        <w:pStyle w:val="ReqTitle"/>
        <w:keepNext/>
        <w:shd w:fill="DDF3F5"/>
      </w:pPr>
      <w:r>
        <w:rPr>
          <w:b/>
          <w:color w:val="16324F"/>
        </w:rPr>
        <w:t>SPC-013  •  Licence decrement/control</w:t>
      </w:r>
      <w:r>
        <w:rPr>
          <w:b/>
          <w:color w:val="0F6B78"/>
          <w:sz w:val="15"/>
        </w:rPr>
        <w:t xml:space="preserve">   [MUST]</w:t>
      </w:r>
    </w:p>
    <w:p>
      <w:pPr>
        <w:keepNext/>
        <w:keepLines/>
        <w:spacing w:before="20" w:after="20" w:line="245" w:lineRule="auto"/>
        <w:ind w:left="115" w:right="72"/>
      </w:pPr>
      <w:r>
        <w:rPr>
          <w:rFonts w:ascii="Aptos" w:hAnsi="Aptos"/>
          <w:color w:val="24313D"/>
          <w:sz w:val="16"/>
        </w:rPr>
        <w:t>Quantity/value-limited licences SHALL be validated for holder, goods, parties, countries, conditions and validity and decremented atomically; overuse is prohibited.</w:t>
      </w:r>
    </w:p>
    <w:p>
      <w:pPr>
        <w:keepLines/>
        <w:spacing w:before="0" w:after="60" w:line="240" w:lineRule="auto"/>
        <w:ind w:left="115" w:right="72"/>
      </w:pPr>
      <w:r>
        <w:rPr>
          <w:rFonts w:ascii="Aptos" w:hAnsi="Aptos"/>
          <w:color w:val="52616B"/>
          <w:sz w:val="14"/>
        </w:rPr>
        <w:t>Trigger: Shipment allocation  |  Inputs: Licence balance and shipment  |  Output: Reserved/consumed/released  |  Approval: Export-control specialist  |  On failure: Hold  |  Evidence: Licence ledger  |  Sources: SRC-COM-001, SRC-COM-002, SRC-COM-003, SRC-COM-004, SRC-COM-005, SRC-COM-012, SRC-SAN-007, SRC-SAN-010, SRC-SAN-011, SRC-SAN-012, SRC-SAN-013  |  Test: T-SPC-013</w:t>
      </w:r>
    </w:p>
    <w:p>
      <w:pPr>
        <w:pStyle w:val="ReqTitle"/>
        <w:keepNext/>
        <w:shd w:fill="DDF3F5"/>
      </w:pPr>
      <w:r>
        <w:rPr>
          <w:b/>
          <w:color w:val="16324F"/>
        </w:rPr>
        <w:t>SPC-014  •  Encryption/technology controls</w:t>
      </w:r>
      <w:r>
        <w:rPr>
          <w:b/>
          <w:color w:val="0F6B78"/>
          <w:sz w:val="15"/>
        </w:rPr>
        <w:t xml:space="preserve">   [MUST]</w:t>
      </w:r>
    </w:p>
    <w:p>
      <w:pPr>
        <w:keepNext/>
        <w:keepLines/>
        <w:spacing w:before="20" w:after="20" w:line="245" w:lineRule="auto"/>
        <w:ind w:left="115" w:right="72"/>
      </w:pPr>
      <w:r>
        <w:rPr>
          <w:rFonts w:ascii="Aptos" w:hAnsi="Aptos"/>
          <w:color w:val="24313D"/>
          <w:sz w:val="16"/>
        </w:rPr>
        <w:t>Software, firmware, technical data and encryption embedded in goods SHALL be considered in export-control classification; physical shipment data SHALL not expose controlled technical content unnecessarily.</w:t>
      </w:r>
    </w:p>
    <w:p>
      <w:pPr>
        <w:keepLines/>
        <w:spacing w:before="0" w:after="60" w:line="240" w:lineRule="auto"/>
        <w:ind w:left="115" w:right="72"/>
      </w:pPr>
      <w:r>
        <w:rPr>
          <w:rFonts w:ascii="Aptos" w:hAnsi="Aptos"/>
          <w:color w:val="52616B"/>
          <w:sz w:val="14"/>
        </w:rPr>
        <w:t>Trigger: Product onboarding/lane  |  Inputs: Technical attributes and origin  |  Output: Control status  |  Approval: Export-control specialist  |  On failure: Hold  |  Evidence: Assessment  |  Sources: SRC-COM-001, SRC-COM-002, SRC-COM-003, SRC-COM-004, SRC-COM-005, SRC-COM-012, SRC-SAN-007, SRC-SAN-010, SRC-SAN-011, SRC-SAN-012, SRC-SAN-013  |  Test: T-SPC-014</w:t>
      </w:r>
    </w:p>
    <w:p>
      <w:pPr>
        <w:pStyle w:val="ReqTitle"/>
        <w:keepNext/>
        <w:shd w:fill="DDF3F5"/>
      </w:pPr>
      <w:r>
        <w:rPr>
          <w:b/>
          <w:color w:val="16324F"/>
        </w:rPr>
        <w:t>SPC-015  •  High-value service</w:t>
      </w:r>
      <w:r>
        <w:rPr>
          <w:b/>
          <w:color w:val="0F6B78"/>
          <w:sz w:val="15"/>
        </w:rPr>
        <w:t xml:space="preserve">   [MUST]</w:t>
      </w:r>
    </w:p>
    <w:p>
      <w:pPr>
        <w:keepNext/>
        <w:keepLines/>
        <w:spacing w:before="20" w:after="20" w:line="245" w:lineRule="auto"/>
        <w:ind w:left="115" w:right="72"/>
      </w:pPr>
      <w:r>
        <w:rPr>
          <w:rFonts w:ascii="Aptos" w:hAnsi="Aptos"/>
          <w:color w:val="24313D"/>
          <w:sz w:val="16"/>
        </w:rPr>
        <w:t>High-value goods SHALL require carrier service/value limits, declared-value/insurance options, secure storage, restricted access, dual-control packing, tamper evidence and verified handover.</w:t>
      </w:r>
    </w:p>
    <w:p>
      <w:pPr>
        <w:keepLines/>
        <w:spacing w:before="0" w:after="60" w:line="240" w:lineRule="auto"/>
        <w:ind w:left="115" w:right="72"/>
      </w:pPr>
      <w:r>
        <w:rPr>
          <w:rFonts w:ascii="Aptos" w:hAnsi="Aptos"/>
          <w:color w:val="52616B"/>
          <w:sz w:val="14"/>
        </w:rPr>
        <w:t>Trigger: Value/category trigger  |  Inputs: Value, carrier capability, site security  |  Output: Qualified secure workflow  |  Approval: Security supervisor  |  On failure: Hold  |  Evidence: Custody/insurance evidence  |  Sources: SRC-COM-001, SRC-COM-002, SRC-COM-003, SRC-COM-004, SRC-COM-005, SRC-COM-012, SRC-SAN-007, SRC-SAN-010, SRC-SAN-011, SRC-SAN-012, SRC-SAN-013  |  Test: T-SPC-015</w:t>
      </w:r>
    </w:p>
    <w:p>
      <w:pPr>
        <w:pStyle w:val="ReqTitle"/>
        <w:keepNext/>
        <w:shd w:fill="DDF3F5"/>
      </w:pPr>
      <w:r>
        <w:rPr>
          <w:b/>
          <w:color w:val="16324F"/>
        </w:rPr>
        <w:t>SPC-016  •  Art/cultural provenance</w:t>
      </w:r>
      <w:r>
        <w:rPr>
          <w:b/>
          <w:color w:val="0F6B78"/>
          <w:sz w:val="15"/>
        </w:rPr>
        <w:t xml:space="preserve">   [MUST]</w:t>
      </w:r>
    </w:p>
    <w:p>
      <w:pPr>
        <w:keepNext/>
        <w:keepLines/>
        <w:spacing w:before="20" w:after="20" w:line="245" w:lineRule="auto"/>
        <w:ind w:left="115" w:right="72"/>
      </w:pPr>
      <w:r>
        <w:rPr>
          <w:rFonts w:ascii="Aptos" w:hAnsi="Aptos"/>
          <w:color w:val="24313D"/>
          <w:sz w:val="16"/>
        </w:rPr>
        <w:t>Art and cultural goods SHALL capture creator, title, medium/material, dimensions, age, origin/provenance, ownership, valuation, export permit and stolen-art screening where triggered.</w:t>
      </w:r>
    </w:p>
    <w:p>
      <w:pPr>
        <w:keepLines/>
        <w:spacing w:before="0" w:after="60" w:line="240" w:lineRule="auto"/>
        <w:ind w:left="115" w:right="72"/>
      </w:pPr>
      <w:r>
        <w:rPr>
          <w:rFonts w:ascii="Aptos" w:hAnsi="Aptos"/>
          <w:color w:val="52616B"/>
          <w:sz w:val="14"/>
        </w:rPr>
        <w:t>Trigger: Art item/lane  |  Inputs: Object dossier  |  Output: Eligible/permit/review  |  Approval: Cultural-property specialist/external authority  |  On failure: Hold  |  Evidence: Provenance/screening  |  Sources: SRC-COM-001, SRC-COM-002, SRC-COM-003, SRC-COM-004, SRC-COM-005, SRC-COM-012, SRC-SAN-007, SRC-SAN-010, SRC-SAN-011, SRC-SAN-012, SRC-SAN-013  |  Test: T-SPC-016</w:t>
      </w:r>
    </w:p>
    <w:p>
      <w:pPr>
        <w:pStyle w:val="ReqTitle"/>
        <w:keepNext/>
        <w:shd w:fill="DDF3F5"/>
      </w:pPr>
      <w:r>
        <w:rPr>
          <w:b/>
          <w:color w:val="16324F"/>
        </w:rPr>
        <w:t>SPC-017  •  Precious materials</w:t>
      </w:r>
      <w:r>
        <w:rPr>
          <w:b/>
          <w:color w:val="0F6B78"/>
          <w:sz w:val="15"/>
        </w:rPr>
        <w:t xml:space="preserve">   [MUST]</w:t>
      </w:r>
    </w:p>
    <w:p>
      <w:pPr>
        <w:keepNext/>
        <w:keepLines/>
        <w:spacing w:before="20" w:after="20" w:line="245" w:lineRule="auto"/>
        <w:ind w:left="115" w:right="72"/>
      </w:pPr>
      <w:r>
        <w:rPr>
          <w:rFonts w:ascii="Aptos" w:hAnsi="Aptos"/>
          <w:color w:val="24313D"/>
          <w:sz w:val="16"/>
        </w:rPr>
        <w:t>Precious metals, stones and rough diamonds SHALL capture weight/fineness/category, provenance, valuation, KP certificate where applicable, AML/high-value controls and carrier permission.</w:t>
      </w:r>
    </w:p>
    <w:p>
      <w:pPr>
        <w:keepLines/>
        <w:spacing w:before="0" w:after="60" w:line="240" w:lineRule="auto"/>
        <w:ind w:left="115" w:right="72"/>
      </w:pPr>
      <w:r>
        <w:rPr>
          <w:rFonts w:ascii="Aptos" w:hAnsi="Aptos"/>
          <w:color w:val="52616B"/>
          <w:sz w:val="14"/>
        </w:rPr>
        <w:t>Trigger: Precious item/lane  |  Inputs: Commodity dossier and parties  |  Output: Eligible/blocked  |  Approval: Specialist/external carrier  |  On failure: Hold  |  Evidence: Certificates/custody  |  Sources: SRC-COM-001, SRC-COM-002, SRC-COM-003, SRC-COM-004, SRC-COM-005, SRC-COM-012, SRC-SAN-007, SRC-SAN-010, SRC-SAN-011, SRC-SAN-012, SRC-SAN-013  |  Test: T-SPC-017</w:t>
      </w:r>
    </w:p>
    <w:p>
      <w:pPr>
        <w:pStyle w:val="ReqTitle"/>
        <w:keepNext/>
        <w:shd w:fill="DDF3F5"/>
      </w:pPr>
      <w:r>
        <w:rPr>
          <w:b/>
          <w:color w:val="16324F"/>
        </w:rPr>
        <w:t>SPC-018  •  Personal effects inventory</w:t>
      </w:r>
      <w:r>
        <w:rPr>
          <w:b/>
          <w:color w:val="0F6B78"/>
          <w:sz w:val="15"/>
        </w:rPr>
        <w:t xml:space="preserve">   [MUST]</w:t>
      </w:r>
    </w:p>
    <w:p>
      <w:pPr>
        <w:keepNext/>
        <w:keepLines/>
        <w:spacing w:before="20" w:after="20" w:line="245" w:lineRule="auto"/>
        <w:ind w:left="115" w:right="72"/>
      </w:pPr>
      <w:r>
        <w:rPr>
          <w:rFonts w:ascii="Aptos" w:hAnsi="Aptos"/>
          <w:color w:val="24313D"/>
          <w:sz w:val="16"/>
        </w:rPr>
        <w:t>Personal-effects shipments SHALL require owner identity, residency/move/travel context, itemized inventory, ownership/use period, values, restricted-item questionnaire and destination relief evidence.</w:t>
      </w:r>
    </w:p>
    <w:p>
      <w:pPr>
        <w:keepLines/>
        <w:spacing w:before="0" w:after="60" w:line="240" w:lineRule="auto"/>
        <w:ind w:left="115" w:right="72"/>
      </w:pPr>
      <w:r>
        <w:rPr>
          <w:rFonts w:ascii="Aptos" w:hAnsi="Aptos"/>
          <w:color w:val="52616B"/>
          <w:sz w:val="14"/>
        </w:rPr>
        <w:t>Trigger: Personal effects flow  |  Inputs: Owner and inventory  |  Output: Eligible/procedure  |  Approval: Customs specialist/external filer  |  On failure: Hold  |  Evidence: Attestation/inventory  |  Sources: SRC-COM-001, SRC-COM-002, SRC-COM-003, SRC-COM-004, SRC-COM-005, SRC-COM-012, SRC-SAN-007, SRC-SAN-010, SRC-SAN-011, SRC-SAN-012, SRC-SAN-013  |  Test: T-SPC-018</w:t>
      </w:r>
    </w:p>
    <w:p>
      <w:pPr>
        <w:pStyle w:val="ReqTitle"/>
        <w:keepNext/>
        <w:shd w:fill="DDF3F5"/>
      </w:pPr>
      <w:r>
        <w:rPr>
          <w:b/>
          <w:color w:val="16324F"/>
        </w:rPr>
        <w:t>SPC-019  •  Gift validation</w:t>
      </w:r>
      <w:r>
        <w:rPr>
          <w:b/>
          <w:color w:val="0F6B78"/>
          <w:sz w:val="15"/>
        </w:rPr>
        <w:t xml:space="preserve">   [MUST]</w:t>
      </w:r>
    </w:p>
    <w:p>
      <w:pPr>
        <w:keepNext/>
        <w:keepLines/>
        <w:spacing w:before="20" w:after="20" w:line="245" w:lineRule="auto"/>
        <w:ind w:left="115" w:right="72"/>
      </w:pPr>
      <w:r>
        <w:rPr>
          <w:rFonts w:ascii="Aptos" w:hAnsi="Aptos"/>
          <w:color w:val="24313D"/>
          <w:sz w:val="16"/>
        </w:rPr>
        <w:t>Gift status SHALL require natural-person sender and recipient, no commercial consideration, genuine occasion/purpose and line values; thresholds and exclusions are destination-specific and splitting to evade limits is prohibited.</w:t>
      </w:r>
    </w:p>
    <w:p>
      <w:pPr>
        <w:keepLines/>
        <w:spacing w:before="0" w:after="60" w:line="240" w:lineRule="auto"/>
        <w:ind w:left="115" w:right="72"/>
      </w:pPr>
      <w:r>
        <w:rPr>
          <w:rFonts w:ascii="Aptos" w:hAnsi="Aptos"/>
          <w:color w:val="52616B"/>
          <w:sz w:val="14"/>
        </w:rPr>
        <w:t>Trigger: Gift flow  |  Inputs: Party type, purpose, value/history  |  Output: Gift treatment or commercial treatment  |  Approval: Automated/reviewer  |  On failure: Hold suspicious; otherwise reclassify  |  Evidence: Attestation/rule  |  Sources: SRC-COM-001, SRC-COM-002, SRC-COM-003, SRC-COM-004, SRC-COM-005, SRC-COM-012, SRC-SAN-007, SRC-SAN-010, SRC-SAN-011, SRC-SAN-012, SRC-SAN-013  |  Test: T-SPC-019</w:t>
      </w:r>
    </w:p>
    <w:p>
      <w:pPr>
        <w:pStyle w:val="ReqTitle"/>
        <w:keepNext/>
        <w:shd w:fill="DDF3F5"/>
      </w:pPr>
      <w:r>
        <w:rPr>
          <w:b/>
          <w:color w:val="16324F"/>
        </w:rPr>
        <w:t>SPC-020  •  Sample validation</w:t>
      </w:r>
      <w:r>
        <w:rPr>
          <w:b/>
          <w:color w:val="0F6B78"/>
          <w:sz w:val="15"/>
        </w:rPr>
        <w:t xml:space="preserve">   [MUST]</w:t>
      </w:r>
    </w:p>
    <w:p>
      <w:pPr>
        <w:keepNext/>
        <w:keepLines/>
        <w:spacing w:before="20" w:after="20" w:line="245" w:lineRule="auto"/>
        <w:ind w:left="115" w:right="72"/>
      </w:pPr>
      <w:r>
        <w:rPr>
          <w:rFonts w:ascii="Aptos" w:hAnsi="Aptos"/>
          <w:color w:val="24313D"/>
          <w:sz w:val="16"/>
        </w:rPr>
        <w:t>Samples SHALL have a commercial purpose, defensible value, condition/marking where required and destination-specific relief eligibility; saleable samples do not automatically qualify.</w:t>
      </w:r>
    </w:p>
    <w:p>
      <w:pPr>
        <w:keepLines/>
        <w:spacing w:before="0" w:after="60" w:line="240" w:lineRule="auto"/>
        <w:ind w:left="115" w:right="72"/>
      </w:pPr>
      <w:r>
        <w:rPr>
          <w:rFonts w:ascii="Aptos" w:hAnsi="Aptos"/>
          <w:color w:val="52616B"/>
          <w:sz w:val="14"/>
        </w:rPr>
        <w:t>Trigger: Sample flow  |  Inputs: Purpose, condition, value, recipient business  |  Output: Relief/normal import  |  Approval: Customs reviewer  |  On failure: Hold relief claim  |  Evidence: Evidence  |  Sources: SRC-COM-001, SRC-COM-002, SRC-COM-003, SRC-COM-004, SRC-COM-005, SRC-COM-012, SRC-SAN-007, SRC-SAN-010, SRC-SAN-011, SRC-SAN-012, SRC-SAN-013  |  Test: T-SPC-020</w:t>
      </w:r>
    </w:p>
    <w:p>
      <w:pPr>
        <w:pStyle w:val="ReqTitle"/>
        <w:keepNext/>
        <w:shd w:fill="DDF3F5"/>
      </w:pPr>
      <w:r>
        <w:rPr>
          <w:b/>
          <w:color w:val="16324F"/>
        </w:rPr>
        <w:t>SPC-021  •  Perishables contingency</w:t>
      </w:r>
      <w:r>
        <w:rPr>
          <w:b/>
          <w:color w:val="0F6B78"/>
          <w:sz w:val="15"/>
        </w:rPr>
        <w:t xml:space="preserve">   [MUST]</w:t>
      </w:r>
    </w:p>
    <w:p>
      <w:pPr>
        <w:keepNext/>
        <w:keepLines/>
        <w:spacing w:before="20" w:after="20" w:line="245" w:lineRule="auto"/>
        <w:ind w:left="115" w:right="72"/>
      </w:pPr>
      <w:r>
        <w:rPr>
          <w:rFonts w:ascii="Aptos" w:hAnsi="Aptos"/>
          <w:color w:val="24313D"/>
          <w:sz w:val="16"/>
        </w:rPr>
        <w:t>Perishable shipments SHALL have latest-tender, maximum delay, weekend/holiday, customs-hold, re-icing/refrigeration and disposal/return decision plans acknowledged by the tenant/customer.</w:t>
      </w:r>
    </w:p>
    <w:p>
      <w:pPr>
        <w:keepLines/>
        <w:spacing w:before="0" w:after="60" w:line="240" w:lineRule="auto"/>
        <w:ind w:left="115" w:right="72"/>
      </w:pPr>
      <w:r>
        <w:rPr>
          <w:rFonts w:ascii="Aptos" w:hAnsi="Aptos"/>
          <w:color w:val="52616B"/>
          <w:sz w:val="14"/>
        </w:rPr>
        <w:t>Trigger: Quote and handover  |  Inputs: Shelf life, lane schedule, facility options  |  Output: Accepted contingency plan  |  Approval: Quality/operations  |  On failure: Do not tender  |  Evidence: Plan and acceptance  |  Sources: SRC-COM-001, SRC-COM-002, SRC-COM-003, SRC-COM-004, SRC-COM-005, SRC-COM-012, SRC-SAN-007, SRC-SAN-010, SRC-SAN-011, SRC-SAN-012, SRC-SAN-013  |  Test: T-SPC-021</w:t>
      </w:r>
    </w:p>
    <w:p>
      <w:pPr>
        <w:pStyle w:val="Heading2"/>
        <w:keepNext/>
      </w:pPr>
      <w:r>
        <w:t>20.10 Warehouse &amp; fulfilment operations (15 controls)</w:t>
      </w:r>
    </w:p>
    <w:p>
      <w:pPr>
        <w:pStyle w:val="ReqTitle"/>
        <w:keepNext/>
        <w:shd w:fill="DDF3F5"/>
      </w:pPr>
      <w:r>
        <w:rPr>
          <w:b/>
          <w:color w:val="16324F"/>
        </w:rPr>
        <w:t>WHS-001  •  Inbound identity</w:t>
      </w:r>
      <w:r>
        <w:rPr>
          <w:b/>
          <w:color w:val="0F6B78"/>
          <w:sz w:val="15"/>
        </w:rPr>
        <w:t xml:space="preserve">   [MUST]</w:t>
      </w:r>
    </w:p>
    <w:p>
      <w:pPr>
        <w:keepNext/>
        <w:keepLines/>
        <w:spacing w:before="20" w:after="20" w:line="245" w:lineRule="auto"/>
        <w:ind w:left="115" w:right="72"/>
      </w:pPr>
      <w:r>
        <w:rPr>
          <w:rFonts w:ascii="Aptos" w:hAnsi="Aptos"/>
          <w:color w:val="24313D"/>
          <w:sz w:val="16"/>
        </w:rPr>
        <w:t>Receiving SHALL reconcile purchase/order/customer reference, product version, lot/serial, declared condition, quantity and package identity before regulated stock is made available.</w:t>
      </w:r>
    </w:p>
    <w:p>
      <w:pPr>
        <w:keepLines/>
        <w:spacing w:before="0" w:after="60" w:line="240" w:lineRule="auto"/>
        <w:ind w:left="115" w:right="72"/>
      </w:pPr>
      <w:r>
        <w:rPr>
          <w:rFonts w:ascii="Aptos" w:hAnsi="Aptos"/>
          <w:color w:val="52616B"/>
          <w:sz w:val="14"/>
        </w:rPr>
        <w:t>Trigger: Receipt  |  Inputs: Expected and scanned stock  |  Output: Received/quarantined discrepancy  |  Approval: Warehouse operator  |  On failure: Quarantine  |  Evidence: Receipt and discrepancy  |  Sources: SRC-CUS-002, SRC-COM-003, SRC-COM-004, SRC-AIR-001  |  Test: T-WHS-001</w:t>
      </w:r>
    </w:p>
    <w:p>
      <w:pPr>
        <w:pStyle w:val="ReqTitle"/>
        <w:keepNext/>
        <w:shd w:fill="DDF3F5"/>
      </w:pPr>
      <w:r>
        <w:rPr>
          <w:b/>
          <w:color w:val="16324F"/>
        </w:rPr>
        <w:t>WHS-002  •  Regulated quarantine</w:t>
      </w:r>
      <w:r>
        <w:rPr>
          <w:b/>
          <w:color w:val="0F6B78"/>
          <w:sz w:val="15"/>
        </w:rPr>
        <w:t xml:space="preserve">   [MUST]</w:t>
      </w:r>
    </w:p>
    <w:p>
      <w:pPr>
        <w:keepNext/>
        <w:keepLines/>
        <w:spacing w:before="20" w:after="20" w:line="245" w:lineRule="auto"/>
        <w:ind w:left="115" w:right="72"/>
      </w:pPr>
      <w:r>
        <w:rPr>
          <w:rFonts w:ascii="Aptos" w:hAnsi="Aptos"/>
          <w:color w:val="24313D"/>
          <w:sz w:val="16"/>
        </w:rPr>
        <w:t>Unknown, damaged, leaking, recalled, temperature-exposed, undocumented, sanctions-linked or unapproved goods SHALL be placed in a system-controlled quarantine location that cannot allocate to orders.</w:t>
      </w:r>
    </w:p>
    <w:p>
      <w:pPr>
        <w:keepLines/>
        <w:spacing w:before="0" w:after="60" w:line="240" w:lineRule="auto"/>
        <w:ind w:left="115" w:right="72"/>
      </w:pPr>
      <w:r>
        <w:rPr>
          <w:rFonts w:ascii="Aptos" w:hAnsi="Aptos"/>
          <w:color w:val="52616B"/>
          <w:sz w:val="14"/>
        </w:rPr>
        <w:t>Trigger: Receipt/incident/rule change  |  Inputs: Stock condition and decisions  |  Output: Quarantined  |  Approval: Automated  |  On failure: No allocation/pick  |  Evidence: Location/status event  |  Sources: SRC-CUS-002, SRC-COM-003, SRC-COM-004, SRC-AIR-001  |  Test: T-WHS-002</w:t>
      </w:r>
    </w:p>
    <w:p>
      <w:pPr>
        <w:pStyle w:val="ReqTitle"/>
        <w:keepNext/>
        <w:shd w:fill="DDF3F5"/>
      </w:pPr>
      <w:r>
        <w:rPr>
          <w:b/>
          <w:color w:val="16324F"/>
        </w:rPr>
        <w:t>WHS-003  •  Storage zoning</w:t>
      </w:r>
      <w:r>
        <w:rPr>
          <w:b/>
          <w:color w:val="0F6B78"/>
          <w:sz w:val="15"/>
        </w:rPr>
        <w:t xml:space="preserve">   [MUST]</w:t>
      </w:r>
    </w:p>
    <w:p>
      <w:pPr>
        <w:keepNext/>
        <w:keepLines/>
        <w:spacing w:before="20" w:after="20" w:line="245" w:lineRule="auto"/>
        <w:ind w:left="115" w:right="72"/>
      </w:pPr>
      <w:r>
        <w:rPr>
          <w:rFonts w:ascii="Aptos" w:hAnsi="Aptos"/>
          <w:color w:val="24313D"/>
          <w:sz w:val="16"/>
        </w:rPr>
        <w:t>Putaway SHALL enforce temperature, security, DG segregation, food/pharma hygiene, excise, high-value and access constraints from the approved product/site profiles.</w:t>
      </w:r>
    </w:p>
    <w:p>
      <w:pPr>
        <w:keepLines/>
        <w:spacing w:before="0" w:after="60" w:line="240" w:lineRule="auto"/>
        <w:ind w:left="115" w:right="72"/>
      </w:pPr>
      <w:r>
        <w:rPr>
          <w:rFonts w:ascii="Aptos" w:hAnsi="Aptos"/>
          <w:color w:val="52616B"/>
          <w:sz w:val="14"/>
        </w:rPr>
        <w:t>Trigger: Putaway/move  |  Inputs: Product profile and location capability  |  Output: Allowed/blocked location  |  Approval: Automated  |  On failure: Reject move  |  Evidence: Scan and rule  |  Sources: SRC-CUS-002, SRC-COM-003, SRC-COM-004, SRC-AIR-001  |  Test: T-WHS-003</w:t>
      </w:r>
    </w:p>
    <w:p>
      <w:pPr>
        <w:pStyle w:val="ReqTitle"/>
        <w:keepNext/>
        <w:shd w:fill="DDF3F5"/>
      </w:pPr>
      <w:r>
        <w:rPr>
          <w:b/>
          <w:color w:val="16324F"/>
        </w:rPr>
        <w:t>WHS-004  •  FEFO/lot allocation</w:t>
      </w:r>
      <w:r>
        <w:rPr>
          <w:b/>
          <w:color w:val="0F6B78"/>
          <w:sz w:val="15"/>
        </w:rPr>
        <w:t xml:space="preserve">   [MUST]</w:t>
      </w:r>
    </w:p>
    <w:p>
      <w:pPr>
        <w:keepNext/>
        <w:keepLines/>
        <w:spacing w:before="20" w:after="20" w:line="245" w:lineRule="auto"/>
        <w:ind w:left="115" w:right="72"/>
      </w:pPr>
      <w:r>
        <w:rPr>
          <w:rFonts w:ascii="Aptos" w:hAnsi="Aptos"/>
          <w:color w:val="24313D"/>
          <w:sz w:val="16"/>
        </w:rPr>
        <w:t>Perishables, food and life-science goods SHALL use configured FEFO/lot/market authorization rules and prevent allocation of expired, recalled, quarantined or insufficient-shelf-life stock.</w:t>
      </w:r>
    </w:p>
    <w:p>
      <w:pPr>
        <w:keepLines/>
        <w:spacing w:before="0" w:after="60" w:line="240" w:lineRule="auto"/>
        <w:ind w:left="115" w:right="72"/>
      </w:pPr>
      <w:r>
        <w:rPr>
          <w:rFonts w:ascii="Aptos" w:hAnsi="Aptos"/>
          <w:color w:val="52616B"/>
          <w:sz w:val="14"/>
        </w:rPr>
        <w:t>Trigger: Allocation  |  Inputs: Lot status/expiry/market  |  Output: Eligible allocation  |  Approval: Automated  |  On failure: No allocation  |  Evidence: Allocation trace  |  Sources: SRC-CUS-002, SRC-COM-003, SRC-COM-004, SRC-AIR-001  |  Test: T-WHS-004</w:t>
      </w:r>
    </w:p>
    <w:p>
      <w:pPr>
        <w:pStyle w:val="ReqTitle"/>
        <w:keepNext/>
        <w:shd w:fill="DDF3F5"/>
      </w:pPr>
      <w:r>
        <w:rPr>
          <w:b/>
          <w:color w:val="16324F"/>
        </w:rPr>
        <w:t>WHS-005  •  Pack instruction lock</w:t>
      </w:r>
      <w:r>
        <w:rPr>
          <w:b/>
          <w:color w:val="0F6B78"/>
          <w:sz w:val="15"/>
        </w:rPr>
        <w:t xml:space="preserve">   [MUST]</w:t>
      </w:r>
    </w:p>
    <w:p>
      <w:pPr>
        <w:keepNext/>
        <w:keepLines/>
        <w:spacing w:before="20" w:after="20" w:line="245" w:lineRule="auto"/>
        <w:ind w:left="115" w:right="72"/>
      </w:pPr>
      <w:r>
        <w:rPr>
          <w:rFonts w:ascii="Aptos" w:hAnsi="Aptos"/>
          <w:color w:val="24313D"/>
          <w:sz w:val="16"/>
        </w:rPr>
        <w:t>High-risk pack instructions SHALL be versioned and locked after approval. Packer SHALL confirm materials, quantities, closures, marks, sensors and photographs/scans where policy requires.</w:t>
      </w:r>
    </w:p>
    <w:p>
      <w:pPr>
        <w:keepLines/>
        <w:spacing w:before="0" w:after="60" w:line="240" w:lineRule="auto"/>
        <w:ind w:left="115" w:right="72"/>
      </w:pPr>
      <w:r>
        <w:rPr>
          <w:rFonts w:ascii="Aptos" w:hAnsi="Aptos"/>
          <w:color w:val="52616B"/>
          <w:sz w:val="14"/>
        </w:rPr>
        <w:t>Trigger: Pack  |  Inputs: Approved instruction and actuals  |  Output: Completed/exception  |  Approval: Packer + checker  |  On failure: Hold package  |  Evidence: Checklist  |  Sources: SRC-CUS-002, SRC-COM-003, SRC-COM-004, SRC-AIR-001  |  Test: T-WHS-005</w:t>
      </w:r>
    </w:p>
    <w:p>
      <w:pPr>
        <w:pStyle w:val="ReqTitle"/>
        <w:keepNext/>
        <w:shd w:fill="DDF3F5"/>
      </w:pPr>
      <w:r>
        <w:rPr>
          <w:b/>
          <w:color w:val="16324F"/>
        </w:rPr>
        <w:t>WHS-006  •  Scale/device integrity</w:t>
      </w:r>
      <w:r>
        <w:rPr>
          <w:b/>
          <w:color w:val="0F6B78"/>
          <w:sz w:val="15"/>
        </w:rPr>
        <w:t xml:space="preserve">   [MUST]</w:t>
      </w:r>
    </w:p>
    <w:p>
      <w:pPr>
        <w:keepNext/>
        <w:keepLines/>
        <w:spacing w:before="20" w:after="20" w:line="245" w:lineRule="auto"/>
        <w:ind w:left="115" w:right="72"/>
      </w:pPr>
      <w:r>
        <w:rPr>
          <w:rFonts w:ascii="Aptos" w:hAnsi="Aptos"/>
          <w:color w:val="24313D"/>
          <w:sz w:val="16"/>
        </w:rPr>
        <w:t>Weights, dimensions and temperatures used for compliance SHALL capture device ID, calibration status, units, timestamp and operator; expired/out-of-range devices cannot supply compliance measurements.</w:t>
      </w:r>
    </w:p>
    <w:p>
      <w:pPr>
        <w:keepLines/>
        <w:spacing w:before="0" w:after="60" w:line="240" w:lineRule="auto"/>
        <w:ind w:left="115" w:right="72"/>
      </w:pPr>
      <w:r>
        <w:rPr>
          <w:rFonts w:ascii="Aptos" w:hAnsi="Aptos"/>
          <w:color w:val="52616B"/>
          <w:sz w:val="14"/>
        </w:rPr>
        <w:t>Trigger: Measurement  |  Inputs: Device calibration and reading  |  Output: Accepted/rejected reading  |  Approval: Automated  |  On failure: Hold  |  Evidence: Measurement record  |  Sources: SRC-CUS-002, SRC-COM-003, SRC-COM-004, SRC-AIR-001  |  Test: T-WHS-006</w:t>
      </w:r>
    </w:p>
    <w:p>
      <w:pPr>
        <w:pStyle w:val="ReqTitle"/>
        <w:keepNext/>
        <w:shd w:fill="DDF3F5"/>
      </w:pPr>
      <w:r>
        <w:rPr>
          <w:b/>
          <w:color w:val="16324F"/>
        </w:rPr>
        <w:t>WHS-007  •  Package content reconciliation</w:t>
      </w:r>
      <w:r>
        <w:rPr>
          <w:b/>
          <w:color w:val="0F6B78"/>
          <w:sz w:val="15"/>
        </w:rPr>
        <w:t xml:space="preserve">   [MUST]</w:t>
      </w:r>
    </w:p>
    <w:p>
      <w:pPr>
        <w:keepNext/>
        <w:keepLines/>
        <w:spacing w:before="20" w:after="20" w:line="245" w:lineRule="auto"/>
        <w:ind w:left="115" w:right="72"/>
      </w:pPr>
      <w:r>
        <w:rPr>
          <w:rFonts w:ascii="Aptos" w:hAnsi="Aptos"/>
          <w:color w:val="24313D"/>
          <w:sz w:val="16"/>
        </w:rPr>
        <w:t>Package close SHALL reconcile every serial/lot/line and actual quantity to customs, DG and carrier data; undocumented substitutions or short/over packs are prohibited.</w:t>
      </w:r>
    </w:p>
    <w:p>
      <w:pPr>
        <w:keepLines/>
        <w:spacing w:before="0" w:after="60" w:line="240" w:lineRule="auto"/>
        <w:ind w:left="115" w:right="72"/>
      </w:pPr>
      <w:r>
        <w:rPr>
          <w:rFonts w:ascii="Aptos" w:hAnsi="Aptos"/>
          <w:color w:val="52616B"/>
          <w:sz w:val="14"/>
        </w:rPr>
        <w:t>Trigger: Package close  |  Inputs: Picked contents and canonical lines  |  Output: Closed/exception  |  Approval: Automated  |  On failure: Hold  |  Evidence: Pack scans  |  Sources: SRC-CUS-002, SRC-COM-003, SRC-COM-004, SRC-AIR-001  |  Test: T-WHS-007</w:t>
      </w:r>
    </w:p>
    <w:p>
      <w:pPr>
        <w:pStyle w:val="ReqTitle"/>
        <w:keepNext/>
        <w:shd w:fill="DDF3F5"/>
      </w:pPr>
      <w:r>
        <w:rPr>
          <w:b/>
          <w:color w:val="16324F"/>
        </w:rPr>
        <w:t>WHS-008  •  Label governance</w:t>
      </w:r>
      <w:r>
        <w:rPr>
          <w:b/>
          <w:color w:val="0F6B78"/>
          <w:sz w:val="15"/>
        </w:rPr>
        <w:t xml:space="preserve">   [MUST]</w:t>
      </w:r>
    </w:p>
    <w:p>
      <w:pPr>
        <w:keepNext/>
        <w:keepLines/>
        <w:spacing w:before="20" w:after="20" w:line="245" w:lineRule="auto"/>
        <w:ind w:left="115" w:right="72"/>
      </w:pPr>
      <w:r>
        <w:rPr>
          <w:rFonts w:ascii="Aptos" w:hAnsi="Aptos"/>
          <w:color w:val="24313D"/>
          <w:sz w:val="16"/>
        </w:rPr>
        <w:t>Labels SHALL be generated only after required decisions; reprint reason/count and prior-label invalidation SHALL be controlled. Voided labels must not remain usable.</w:t>
      </w:r>
    </w:p>
    <w:p>
      <w:pPr>
        <w:keepLines/>
        <w:spacing w:before="0" w:after="60" w:line="240" w:lineRule="auto"/>
        <w:ind w:left="115" w:right="72"/>
      </w:pPr>
      <w:r>
        <w:rPr>
          <w:rFonts w:ascii="Aptos" w:hAnsi="Aptos"/>
          <w:color w:val="52616B"/>
          <w:sz w:val="14"/>
        </w:rPr>
        <w:t>Trigger: Label/reprint/void  |  Inputs: Shipment status and label version  |  Output: Issued/reprinted/voided label  |  Approval: Authorized operator  |  On failure: No label  |  Evidence: Label event  |  Sources: SRC-CUS-002, SRC-COM-003, SRC-COM-004, SRC-AIR-001  |  Test: T-WHS-008</w:t>
      </w:r>
    </w:p>
    <w:p>
      <w:pPr>
        <w:pStyle w:val="ReqTitle"/>
        <w:keepNext/>
        <w:shd w:fill="DDF3F5"/>
      </w:pPr>
      <w:r>
        <w:rPr>
          <w:b/>
          <w:color w:val="16324F"/>
        </w:rPr>
        <w:t>WHS-009  •  Document pouch control</w:t>
      </w:r>
      <w:r>
        <w:rPr>
          <w:b/>
          <w:color w:val="0F6B78"/>
          <w:sz w:val="15"/>
        </w:rPr>
        <w:t xml:space="preserve">   [MUST]</w:t>
      </w:r>
    </w:p>
    <w:p>
      <w:pPr>
        <w:keepNext/>
        <w:keepLines/>
        <w:spacing w:before="20" w:after="20" w:line="245" w:lineRule="auto"/>
        <w:ind w:left="115" w:right="72"/>
      </w:pPr>
      <w:r>
        <w:rPr>
          <w:rFonts w:ascii="Aptos" w:hAnsi="Aptos"/>
          <w:color w:val="24313D"/>
          <w:sz w:val="16"/>
        </w:rPr>
        <w:t>Required originals/copies and placement instructions SHALL be presented to packers and confirmed; sensitive documents SHALL not be exposed beyond carrier/legal need.</w:t>
      </w:r>
    </w:p>
    <w:p>
      <w:pPr>
        <w:keepLines/>
        <w:spacing w:before="0" w:after="60" w:line="240" w:lineRule="auto"/>
        <w:ind w:left="115" w:right="72"/>
      </w:pPr>
      <w:r>
        <w:rPr>
          <w:rFonts w:ascii="Aptos" w:hAnsi="Aptos"/>
          <w:color w:val="52616B"/>
          <w:sz w:val="14"/>
        </w:rPr>
        <w:t>Trigger: Pack close  |  Inputs: Document instructions  |  Output: Confirmed pouch/inside placement  |  Approval: Packer  |  On failure: Hold  |  Evidence: Checklist  |  Sources: SRC-CUS-002, SRC-COM-003, SRC-COM-004, SRC-AIR-001  |  Test: T-WHS-009</w:t>
      </w:r>
    </w:p>
    <w:p>
      <w:pPr>
        <w:pStyle w:val="ReqTitle"/>
        <w:keepNext/>
        <w:shd w:fill="DDF3F5"/>
      </w:pPr>
      <w:r>
        <w:rPr>
          <w:b/>
          <w:color w:val="16324F"/>
        </w:rPr>
        <w:t>WHS-010  •  Final release gate</w:t>
      </w:r>
      <w:r>
        <w:rPr>
          <w:b/>
          <w:color w:val="0F6B78"/>
          <w:sz w:val="15"/>
        </w:rPr>
        <w:t xml:space="preserve">   [MUST]</w:t>
      </w:r>
    </w:p>
    <w:p>
      <w:pPr>
        <w:keepNext/>
        <w:keepLines/>
        <w:spacing w:before="20" w:after="20" w:line="245" w:lineRule="auto"/>
        <w:ind w:left="115" w:right="72"/>
      </w:pPr>
      <w:r>
        <w:rPr>
          <w:rFonts w:ascii="Aptos" w:hAnsi="Aptos"/>
          <w:color w:val="24313D"/>
          <w:sz w:val="16"/>
        </w:rPr>
        <w:t>Handover release SHALL require current screening, country/service/commodity eligibility, document completeness, external approvals, carrier booking/label, physical reconciliation and no active holds.</w:t>
      </w:r>
    </w:p>
    <w:p>
      <w:pPr>
        <w:keepLines/>
        <w:spacing w:before="0" w:after="60" w:line="240" w:lineRule="auto"/>
        <w:ind w:left="115" w:right="72"/>
      </w:pPr>
      <w:r>
        <w:rPr>
          <w:rFonts w:ascii="Aptos" w:hAnsi="Aptos"/>
          <w:color w:val="52616B"/>
          <w:sz w:val="14"/>
        </w:rPr>
        <w:t>Trigger: Handover scan  |  Inputs: All decision states  |  Output: RELEASED/BLOCKED  |  Approval: Warehouse release supervisor for high risk  |  On failure: No handover  |  Evidence: Release bundle  |  Sources: SRC-CUS-002, SRC-COM-003, SRC-COM-004, SRC-AIR-001  |  Test: T-WHS-010</w:t>
      </w:r>
    </w:p>
    <w:p>
      <w:pPr>
        <w:pStyle w:val="ReqTitle"/>
        <w:keepNext/>
        <w:shd w:fill="DDF3F5"/>
      </w:pPr>
      <w:r>
        <w:rPr>
          <w:b/>
          <w:color w:val="16324F"/>
        </w:rPr>
        <w:t>WHS-011  •  Carrier handover proof</w:t>
      </w:r>
      <w:r>
        <w:rPr>
          <w:b/>
          <w:color w:val="0F6B78"/>
          <w:sz w:val="15"/>
        </w:rPr>
        <w:t xml:space="preserve">   [MUST]</w:t>
      </w:r>
    </w:p>
    <w:p>
      <w:pPr>
        <w:keepNext/>
        <w:keepLines/>
        <w:spacing w:before="20" w:after="20" w:line="245" w:lineRule="auto"/>
        <w:ind w:left="115" w:right="72"/>
      </w:pPr>
      <w:r>
        <w:rPr>
          <w:rFonts w:ascii="Aptos" w:hAnsi="Aptos"/>
          <w:color w:val="24313D"/>
          <w:sz w:val="16"/>
        </w:rPr>
        <w:t>Handover SHALL capture carrier/driver identity where available, pickup/manifest reference, packages, seals, timestamp, location and exceptions; a label creation is not proof of tender.</w:t>
      </w:r>
    </w:p>
    <w:p>
      <w:pPr>
        <w:keepLines/>
        <w:spacing w:before="0" w:after="60" w:line="240" w:lineRule="auto"/>
        <w:ind w:left="115" w:right="72"/>
      </w:pPr>
      <w:r>
        <w:rPr>
          <w:rFonts w:ascii="Aptos" w:hAnsi="Aptos"/>
          <w:color w:val="52616B"/>
          <w:sz w:val="14"/>
        </w:rPr>
        <w:t>Trigger: Pickup  |  Inputs: Manifest and scans  |  Output: Tendered custody event  |  Approval: Warehouse/carrier  |  On failure: Remain not tendered  |  Evidence: Handover receipt  |  Sources: SRC-CUS-002, SRC-COM-003, SRC-COM-004, SRC-AIR-001  |  Test: T-WHS-011</w:t>
      </w:r>
    </w:p>
    <w:p>
      <w:pPr>
        <w:pStyle w:val="ReqTitle"/>
        <w:keepNext/>
        <w:shd w:fill="DDF3F5"/>
      </w:pPr>
      <w:r>
        <w:rPr>
          <w:b/>
          <w:color w:val="16324F"/>
        </w:rPr>
        <w:t>WHS-012  •  Exception and intercept</w:t>
      </w:r>
      <w:r>
        <w:rPr>
          <w:b/>
          <w:color w:val="0F6B78"/>
          <w:sz w:val="15"/>
        </w:rPr>
        <w:t xml:space="preserve">   [MUST]</w:t>
      </w:r>
    </w:p>
    <w:p>
      <w:pPr>
        <w:keepNext/>
        <w:keepLines/>
        <w:spacing w:before="20" w:after="20" w:line="245" w:lineRule="auto"/>
        <w:ind w:left="115" w:right="72"/>
      </w:pPr>
      <w:r>
        <w:rPr>
          <w:rFonts w:ascii="Aptos" w:hAnsi="Aptos"/>
          <w:color w:val="24313D"/>
          <w:sz w:val="16"/>
        </w:rPr>
        <w:t>Post-release rule, screening, route, damage or data changes SHALL create intercept/return/notify actions based on custody stage; the platform SHALL not imply control once carrier custody prevents interception.</w:t>
      </w:r>
    </w:p>
    <w:p>
      <w:pPr>
        <w:keepLines/>
        <w:spacing w:before="0" w:after="60" w:line="240" w:lineRule="auto"/>
        <w:ind w:left="115" w:right="72"/>
      </w:pPr>
      <w:r>
        <w:rPr>
          <w:rFonts w:ascii="Aptos" w:hAnsi="Aptos"/>
          <w:color w:val="52616B"/>
          <w:sz w:val="14"/>
        </w:rPr>
        <w:t>Trigger: Risk event  |  Inputs: Custody and carrier capability  |  Output: Intercept state  |  Approval: Compliance/operations  |  On failure: Escalate  |  Evidence: Requests/responses  |  Sources: SRC-CUS-002, SRC-COM-003, SRC-COM-004, SRC-AIR-001  |  Test: T-WHS-012</w:t>
      </w:r>
    </w:p>
    <w:p>
      <w:pPr>
        <w:pStyle w:val="ReqTitle"/>
        <w:keepNext/>
        <w:shd w:fill="DDF3F5"/>
      </w:pPr>
      <w:r>
        <w:rPr>
          <w:b/>
          <w:color w:val="16324F"/>
        </w:rPr>
        <w:t>WHS-013  •  Returns quarantine</w:t>
      </w:r>
      <w:r>
        <w:rPr>
          <w:b/>
          <w:color w:val="0F6B78"/>
          <w:sz w:val="15"/>
        </w:rPr>
        <w:t xml:space="preserve">   [MUST]</w:t>
      </w:r>
    </w:p>
    <w:p>
      <w:pPr>
        <w:keepNext/>
        <w:keepLines/>
        <w:spacing w:before="20" w:after="20" w:line="245" w:lineRule="auto"/>
        <w:ind w:left="115" w:right="72"/>
      </w:pPr>
      <w:r>
        <w:rPr>
          <w:rFonts w:ascii="Aptos" w:hAnsi="Aptos"/>
          <w:color w:val="24313D"/>
          <w:sz w:val="16"/>
        </w:rPr>
        <w:t>Returned goods SHALL not re-enter saleable stock until identity, tamper, condition, temperature, recall, regulatory and customs status are evaluated.</w:t>
      </w:r>
    </w:p>
    <w:p>
      <w:pPr>
        <w:keepLines/>
        <w:spacing w:before="0" w:after="60" w:line="240" w:lineRule="auto"/>
        <w:ind w:left="115" w:right="72"/>
      </w:pPr>
      <w:r>
        <w:rPr>
          <w:rFonts w:ascii="Aptos" w:hAnsi="Aptos"/>
          <w:color w:val="52616B"/>
          <w:sz w:val="14"/>
        </w:rPr>
        <w:t>Trigger: Return receipt  |  Inputs: Original shipment and condition  |  Output: Restock/quarantine/dispose  |  Approval: Quality/compliance  |  On failure: Quarantine  |  Evidence: Return inspection  |  Sources: SRC-CUS-002, SRC-COM-003, SRC-COM-004, SRC-AIR-001  |  Test: T-WHS-013</w:t>
      </w:r>
    </w:p>
    <w:p>
      <w:pPr>
        <w:pStyle w:val="ReqTitle"/>
        <w:keepNext/>
        <w:shd w:fill="DDF3F5"/>
      </w:pPr>
      <w:r>
        <w:rPr>
          <w:b/>
          <w:color w:val="16324F"/>
        </w:rPr>
        <w:t>WHS-014  •  Destruction/disposal</w:t>
      </w:r>
      <w:r>
        <w:rPr>
          <w:b/>
          <w:color w:val="0F6B78"/>
          <w:sz w:val="15"/>
        </w:rPr>
        <w:t xml:space="preserve">   [MUST]</w:t>
      </w:r>
    </w:p>
    <w:p>
      <w:pPr>
        <w:keepNext/>
        <w:keepLines/>
        <w:spacing w:before="20" w:after="20" w:line="245" w:lineRule="auto"/>
        <w:ind w:left="115" w:right="72"/>
      </w:pPr>
      <w:r>
        <w:rPr>
          <w:rFonts w:ascii="Aptos" w:hAnsi="Aptos"/>
          <w:color w:val="24313D"/>
          <w:sz w:val="16"/>
        </w:rPr>
        <w:t>Regulated, excise, DG, pharma and high-value disposal SHALL require authorized method/vendor, approvals, witness where applicable and certificate, with stock/customs/licence reconciliation.</w:t>
      </w:r>
    </w:p>
    <w:p>
      <w:pPr>
        <w:keepLines/>
        <w:spacing w:before="0" w:after="60" w:line="240" w:lineRule="auto"/>
        <w:ind w:left="115" w:right="72"/>
      </w:pPr>
      <w:r>
        <w:rPr>
          <w:rFonts w:ascii="Aptos" w:hAnsi="Aptos"/>
          <w:color w:val="52616B"/>
          <w:sz w:val="14"/>
        </w:rPr>
        <w:t>Trigger: Disposal  |  Inputs: Stock and legal requirements  |  Output: Disposed/blocked  |  Approval: Authorized approver/vendor  |  On failure: Hold  |  Evidence: Certificate and inventory event  |  Sources: SRC-CUS-002, SRC-COM-003, SRC-COM-004, SRC-AIR-001  |  Test: T-WHS-014</w:t>
      </w:r>
    </w:p>
    <w:p>
      <w:pPr>
        <w:pStyle w:val="ReqTitle"/>
        <w:keepNext/>
        <w:shd w:fill="DDF3F5"/>
      </w:pPr>
      <w:r>
        <w:rPr>
          <w:b/>
          <w:color w:val="16324F"/>
        </w:rPr>
        <w:t>WHS-015  •  Inventory audit</w:t>
      </w:r>
      <w:r>
        <w:rPr>
          <w:b/>
          <w:color w:val="0F6B78"/>
          <w:sz w:val="15"/>
        </w:rPr>
        <w:t xml:space="preserve">   [MUST]</w:t>
      </w:r>
    </w:p>
    <w:p>
      <w:pPr>
        <w:keepNext/>
        <w:keepLines/>
        <w:spacing w:before="20" w:after="20" w:line="245" w:lineRule="auto"/>
        <w:ind w:left="115" w:right="72"/>
      </w:pPr>
      <w:r>
        <w:rPr>
          <w:rFonts w:ascii="Aptos" w:hAnsi="Aptos"/>
          <w:color w:val="24313D"/>
          <w:sz w:val="16"/>
        </w:rPr>
        <w:t>Regulated stock counts, licence balances, high-value custody and quarantines SHALL be cycle-counted at risk-based intervals; discrepancies trigger investigation and shipment holds.</w:t>
      </w:r>
    </w:p>
    <w:p>
      <w:pPr>
        <w:keepLines/>
        <w:spacing w:before="0" w:after="60" w:line="240" w:lineRule="auto"/>
        <w:ind w:left="115" w:right="72"/>
      </w:pPr>
      <w:r>
        <w:rPr>
          <w:rFonts w:ascii="Aptos" w:hAnsi="Aptos"/>
          <w:color w:val="52616B"/>
          <w:sz w:val="14"/>
        </w:rPr>
        <w:t>Trigger: Schedule/discrepancy  |  Inputs: System/physical inventory  |  Output: Reconciled/investigation  |  Approval: Independent auditor  |  On failure: Hold affected stock  |  Evidence: Count and investigation  |  Sources: SRC-CUS-002, SRC-COM-003, SRC-COM-004, SRC-AIR-001  |  Test: T-WHS-015</w:t>
      </w:r>
    </w:p>
    <w:p>
      <w:pPr>
        <w:pStyle w:val="Heading2"/>
        <w:keepNext/>
      </w:pPr>
      <w:r>
        <w:t>20.11 Partner adapters (22 controls)</w:t>
      </w:r>
    </w:p>
    <w:p>
      <w:pPr>
        <w:pStyle w:val="ReqTitle"/>
        <w:keepNext/>
        <w:shd w:fill="DDF3F5"/>
      </w:pPr>
      <w:r>
        <w:rPr>
          <w:b/>
          <w:color w:val="16324F"/>
        </w:rPr>
        <w:t>INT-001  •  Canonical adapter contract</w:t>
      </w:r>
      <w:r>
        <w:rPr>
          <w:b/>
          <w:color w:val="0F6B78"/>
          <w:sz w:val="15"/>
        </w:rPr>
        <w:t xml:space="preserve">   [MUST]</w:t>
      </w:r>
    </w:p>
    <w:p>
      <w:pPr>
        <w:keepNext/>
        <w:keepLines/>
        <w:spacing w:before="20" w:after="20" w:line="245" w:lineRule="auto"/>
        <w:ind w:left="115" w:right="72"/>
      </w:pPr>
      <w:r>
        <w:rPr>
          <w:rFonts w:ascii="Aptos" w:hAnsi="Aptos"/>
          <w:color w:val="24313D"/>
          <w:sz w:val="16"/>
        </w:rPr>
        <w:t>All carrier, postal and air partners SHALL implement a versioned canonical contract for capability, address validation, rate/transit, booking/ship, labels/docs, pickup, tracking/events, cancel/void, filing status, referrals, manifests and billing adjustments.</w:t>
      </w:r>
    </w:p>
    <w:p>
      <w:pPr>
        <w:keepLines/>
        <w:spacing w:before="0" w:after="60" w:line="240" w:lineRule="auto"/>
        <w:ind w:left="115" w:right="72"/>
      </w:pPr>
      <w:r>
        <w:rPr>
          <w:rFonts w:ascii="Aptos" w:hAnsi="Aptos"/>
          <w:color w:val="52616B"/>
          <w:sz w:val="14"/>
        </w:rPr>
        <w:t>Trigger: Adapter onboarding  |  Inputs: Partner schemas and capabilities  |  Output: Conformant adapter  |  Approval: Integration governance  |  On failure: Do not activate  |  Evidence: Contract test results  |  Sources: SRC-CAR-001, SRC-CAR-002, SRC-CAR-003, SRC-CAR-004, SRC-CAR-005, SRC-CAR-006, SRC-POST-003, SRC-AIR-009, SRC-AIR-010  |  Test: T-INT-001</w:t>
      </w:r>
    </w:p>
    <w:p>
      <w:pPr>
        <w:pStyle w:val="ReqTitle"/>
        <w:keepNext/>
        <w:shd w:fill="DDF3F5"/>
      </w:pPr>
      <w:r>
        <w:rPr>
          <w:b/>
          <w:color w:val="16324F"/>
        </w:rPr>
        <w:t>INT-002  •  Capability declaration</w:t>
      </w:r>
      <w:r>
        <w:rPr>
          <w:b/>
          <w:color w:val="0F6B78"/>
          <w:sz w:val="15"/>
        </w:rPr>
        <w:t xml:space="preserve">   [MUST]</w:t>
      </w:r>
    </w:p>
    <w:p>
      <w:pPr>
        <w:keepNext/>
        <w:keepLines/>
        <w:spacing w:before="20" w:after="20" w:line="245" w:lineRule="auto"/>
        <w:ind w:left="115" w:right="72"/>
      </w:pPr>
      <w:r>
        <w:rPr>
          <w:rFonts w:ascii="Aptos" w:hAnsi="Aptos"/>
          <w:color w:val="24313D"/>
          <w:sz w:val="16"/>
        </w:rPr>
        <w:t>Adapters SHALL declare supported countries, accounts, products, commodities, DG classes, incoterms, special services, documents, API versions, limits and cut-offs with effective dates.</w:t>
      </w:r>
    </w:p>
    <w:p>
      <w:pPr>
        <w:keepLines/>
        <w:spacing w:before="0" w:after="60" w:line="240" w:lineRule="auto"/>
        <w:ind w:left="115" w:right="72"/>
      </w:pPr>
      <w:r>
        <w:rPr>
          <w:rFonts w:ascii="Aptos" w:hAnsi="Aptos"/>
          <w:color w:val="52616B"/>
          <w:sz w:val="14"/>
        </w:rPr>
        <w:t>Trigger: Adapter startup/change  |  Inputs: Partner metadata  |  Output: Capability registry  |  Approval: Integration owner  |  On failure: Disable affected capability  |  Evidence: Signed capability snapshot  |  Sources: SRC-CAR-001, SRC-CAR-002, SRC-CAR-003, SRC-CAR-004, SRC-CAR-005, SRC-CAR-006, SRC-POST-003, SRC-AIR-009, SRC-AIR-010  |  Test: T-INT-002</w:t>
      </w:r>
    </w:p>
    <w:p>
      <w:pPr>
        <w:pStyle w:val="ReqTitle"/>
        <w:keepNext/>
        <w:shd w:fill="DDF3F5"/>
      </w:pPr>
      <w:r>
        <w:rPr>
          <w:b/>
          <w:color w:val="16324F"/>
        </w:rPr>
        <w:t>INT-003  •  Live plus cached policy</w:t>
      </w:r>
      <w:r>
        <w:rPr>
          <w:b/>
          <w:color w:val="0F6B78"/>
          <w:sz w:val="15"/>
        </w:rPr>
        <w:t xml:space="preserve">   [MUST]</w:t>
      </w:r>
    </w:p>
    <w:p>
      <w:pPr>
        <w:keepNext/>
        <w:keepLines/>
        <w:spacing w:before="20" w:after="20" w:line="245" w:lineRule="auto"/>
        <w:ind w:left="115" w:right="72"/>
      </w:pPr>
      <w:r>
        <w:rPr>
          <w:rFonts w:ascii="Aptos" w:hAnsi="Aptos"/>
          <w:color w:val="24313D"/>
          <w:sz w:val="16"/>
        </w:rPr>
        <w:t>Live provider responses are preferred. Cached capability/rate/address results SHALL have type-specific TTLs and may not outlive carrier rule or country-pack changes.</w:t>
      </w:r>
    </w:p>
    <w:p>
      <w:pPr>
        <w:keepLines/>
        <w:spacing w:before="0" w:after="60" w:line="240" w:lineRule="auto"/>
        <w:ind w:left="115" w:right="72"/>
      </w:pPr>
      <w:r>
        <w:rPr>
          <w:rFonts w:ascii="Aptos" w:hAnsi="Aptos"/>
          <w:color w:val="52616B"/>
          <w:sz w:val="14"/>
        </w:rPr>
        <w:t>Trigger: Quote/ship  |  Inputs: Cache timestamp/version and change events  |  Output: Fresh/stale  |  Approval: Automated  |  On failure: Refresh or block  |  Evidence: Cache decision  |  Sources: SRC-CAR-001, SRC-CAR-002, SRC-CAR-003, SRC-CAR-004, SRC-CAR-005, SRC-CAR-006, SRC-POST-003, SRC-AIR-009, SRC-AIR-010  |  Test: T-INT-003</w:t>
      </w:r>
    </w:p>
    <w:p>
      <w:pPr>
        <w:pStyle w:val="ReqTitle"/>
        <w:keepNext/>
        <w:shd w:fill="DDF3F5"/>
      </w:pPr>
      <w:r>
        <w:rPr>
          <w:b/>
          <w:color w:val="16324F"/>
        </w:rPr>
        <w:t>INT-004  •  Authentication isolation</w:t>
      </w:r>
      <w:r>
        <w:rPr>
          <w:b/>
          <w:color w:val="0F6B78"/>
          <w:sz w:val="15"/>
        </w:rPr>
        <w:t xml:space="preserve">   [MUST]</w:t>
      </w:r>
    </w:p>
    <w:p>
      <w:pPr>
        <w:keepNext/>
        <w:keepLines/>
        <w:spacing w:before="20" w:after="20" w:line="245" w:lineRule="auto"/>
        <w:ind w:left="115" w:right="72"/>
      </w:pPr>
      <w:r>
        <w:rPr>
          <w:rFonts w:ascii="Aptos" w:hAnsi="Aptos"/>
          <w:color w:val="24313D"/>
          <w:sz w:val="16"/>
        </w:rPr>
        <w:t>OAuth keys, API keys, certificates and account numbers SHALL be tenant/account/environment scoped, encrypted, rotated, access-controlled and never logged; sandbox and production credentials cannot mix.</w:t>
      </w:r>
    </w:p>
    <w:p>
      <w:pPr>
        <w:keepLines/>
        <w:spacing w:before="0" w:after="60" w:line="240" w:lineRule="auto"/>
        <w:ind w:left="115" w:right="72"/>
      </w:pPr>
      <w:r>
        <w:rPr>
          <w:rFonts w:ascii="Aptos" w:hAnsi="Aptos"/>
          <w:color w:val="52616B"/>
          <w:sz w:val="14"/>
        </w:rPr>
        <w:t>Trigger: Every call/credential change  |  Inputs: Tenant account and environment  |  Output: Authorized credential  |  Approval: Secrets platform  |  On failure: Deny  |  Evidence: Credential audit metadata  |  Sources: SRC-CAR-001, SRC-CAR-002, SRC-CAR-003, SRC-CAR-004, SRC-CAR-005, SRC-CAR-006, SRC-POST-003, SRC-AIR-009, SRC-AIR-010  |  Test: T-INT-004</w:t>
      </w:r>
    </w:p>
    <w:p>
      <w:pPr>
        <w:pStyle w:val="ReqTitle"/>
        <w:keepNext/>
        <w:shd w:fill="DDF3F5"/>
      </w:pPr>
      <w:r>
        <w:rPr>
          <w:b/>
          <w:color w:val="16324F"/>
        </w:rPr>
        <w:t>INT-005  •  Request signing and transport</w:t>
      </w:r>
      <w:r>
        <w:rPr>
          <w:b/>
          <w:color w:val="0F6B78"/>
          <w:sz w:val="15"/>
        </w:rPr>
        <w:t xml:space="preserve">   [MUST]</w:t>
      </w:r>
    </w:p>
    <w:p>
      <w:pPr>
        <w:keepNext/>
        <w:keepLines/>
        <w:spacing w:before="20" w:after="20" w:line="245" w:lineRule="auto"/>
        <w:ind w:left="115" w:right="72"/>
      </w:pPr>
      <w:r>
        <w:rPr>
          <w:rFonts w:ascii="Aptos" w:hAnsi="Aptos"/>
          <w:color w:val="24313D"/>
          <w:sz w:val="16"/>
        </w:rPr>
        <w:t>Adapters SHALL enforce current TLS, certificate validation, provider-required signing, replay protection and outbound allowlists; webhook signatures and timestamps SHALL be verified.</w:t>
      </w:r>
    </w:p>
    <w:p>
      <w:pPr>
        <w:keepLines/>
        <w:spacing w:before="0" w:after="60" w:line="240" w:lineRule="auto"/>
        <w:ind w:left="115" w:right="72"/>
      </w:pPr>
      <w:r>
        <w:rPr>
          <w:rFonts w:ascii="Aptos" w:hAnsi="Aptos"/>
          <w:color w:val="52616B"/>
          <w:sz w:val="14"/>
        </w:rPr>
        <w:t>Trigger: API/webhook  |  Inputs: Endpoint and security material  |  Output: Accepted/rejected communication  |  Approval: Automated  |  On failure: Reject  |  Evidence: Security event  |  Sources: SRC-CAR-001, SRC-CAR-002, SRC-CAR-003, SRC-CAR-004, SRC-CAR-005, SRC-CAR-006, SRC-POST-003, SRC-AIR-009, SRC-AIR-010  |  Test: T-INT-005</w:t>
      </w:r>
    </w:p>
    <w:p>
      <w:pPr>
        <w:pStyle w:val="ReqTitle"/>
        <w:keepNext/>
        <w:shd w:fill="DDF3F5"/>
      </w:pPr>
      <w:r>
        <w:rPr>
          <w:b/>
          <w:color w:val="16324F"/>
        </w:rPr>
        <w:t>INT-006  •  Schema validation</w:t>
      </w:r>
      <w:r>
        <w:rPr>
          <w:b/>
          <w:color w:val="0F6B78"/>
          <w:sz w:val="15"/>
        </w:rPr>
        <w:t xml:space="preserve">   [MUST]</w:t>
      </w:r>
    </w:p>
    <w:p>
      <w:pPr>
        <w:keepNext/>
        <w:keepLines/>
        <w:spacing w:before="20" w:after="20" w:line="245" w:lineRule="auto"/>
        <w:ind w:left="115" w:right="72"/>
      </w:pPr>
      <w:r>
        <w:rPr>
          <w:rFonts w:ascii="Aptos" w:hAnsi="Aptos"/>
          <w:color w:val="24313D"/>
          <w:sz w:val="16"/>
        </w:rPr>
        <w:t>Outbound and inbound payloads SHALL be validated against the configured provider schema/version, required enumerations and size constraints before business processing.</w:t>
      </w:r>
    </w:p>
    <w:p>
      <w:pPr>
        <w:keepLines/>
        <w:spacing w:before="0" w:after="60" w:line="240" w:lineRule="auto"/>
        <w:ind w:left="115" w:right="72"/>
      </w:pPr>
      <w:r>
        <w:rPr>
          <w:rFonts w:ascii="Aptos" w:hAnsi="Aptos"/>
          <w:color w:val="52616B"/>
          <w:sz w:val="14"/>
        </w:rPr>
        <w:t>Trigger: Every message  |  Inputs: Payload and schema  |  Output: Valid/invalid  |  Approval: Automated  |  On failure: Reject/hold  |  Evidence: Validation errors  |  Sources: SRC-CAR-001, SRC-CAR-002, SRC-CAR-003, SRC-CAR-004, SRC-CAR-005, SRC-CAR-006, SRC-POST-003, SRC-AIR-009, SRC-AIR-010  |  Test: T-INT-006</w:t>
      </w:r>
    </w:p>
    <w:p>
      <w:pPr>
        <w:pStyle w:val="ReqTitle"/>
        <w:keepNext/>
        <w:shd w:fill="DDF3F5"/>
      </w:pPr>
      <w:r>
        <w:rPr>
          <w:b/>
          <w:color w:val="16324F"/>
        </w:rPr>
        <w:t>INT-007  •  Raw and canonical persistence</w:t>
      </w:r>
      <w:r>
        <w:rPr>
          <w:b/>
          <w:color w:val="0F6B78"/>
          <w:sz w:val="15"/>
        </w:rPr>
        <w:t xml:space="preserve">   [MUST]</w:t>
      </w:r>
    </w:p>
    <w:p>
      <w:pPr>
        <w:keepNext/>
        <w:keepLines/>
        <w:spacing w:before="20" w:after="20" w:line="245" w:lineRule="auto"/>
        <w:ind w:left="115" w:right="72"/>
      </w:pPr>
      <w:r>
        <w:rPr>
          <w:rFonts w:ascii="Aptos" w:hAnsi="Aptos"/>
          <w:color w:val="24313D"/>
          <w:sz w:val="16"/>
        </w:rPr>
        <w:t>Legally/contractually permitted raw requests/responses SHALL be encrypted and retained with redaction, while normalized records preserve all business-significant codes and unknown fields for reconciliation.</w:t>
      </w:r>
    </w:p>
    <w:p>
      <w:pPr>
        <w:keepLines/>
        <w:spacing w:before="0" w:after="60" w:line="240" w:lineRule="auto"/>
        <w:ind w:left="115" w:right="72"/>
      </w:pPr>
      <w:r>
        <w:rPr>
          <w:rFonts w:ascii="Aptos" w:hAnsi="Aptos"/>
          <w:color w:val="52616B"/>
          <w:sz w:val="14"/>
        </w:rPr>
        <w:t>Trigger: Every exchange  |  Inputs: Raw message and mappings  |  Output: Stored evidence  |  Approval: Automated  |  On failure: Hold if mandatory audit record fails  |  Evidence: Hashes and storage refs  |  Sources: SRC-CAR-001, SRC-CAR-002, SRC-CAR-003, SRC-CAR-004, SRC-CAR-005, SRC-CAR-006, SRC-POST-003, SRC-AIR-009, SRC-AIR-010  |  Test: T-INT-007</w:t>
      </w:r>
    </w:p>
    <w:p>
      <w:pPr>
        <w:pStyle w:val="ReqTitle"/>
        <w:keepNext/>
        <w:shd w:fill="DDF3F5"/>
      </w:pPr>
      <w:r>
        <w:rPr>
          <w:b/>
          <w:color w:val="16324F"/>
        </w:rPr>
        <w:t>INT-008  •  Error taxonomy</w:t>
      </w:r>
      <w:r>
        <w:rPr>
          <w:b/>
          <w:color w:val="0F6B78"/>
          <w:sz w:val="15"/>
        </w:rPr>
        <w:t xml:space="preserve">   [MUST]</w:t>
      </w:r>
    </w:p>
    <w:p>
      <w:pPr>
        <w:keepNext/>
        <w:keepLines/>
        <w:spacing w:before="20" w:after="20" w:line="245" w:lineRule="auto"/>
        <w:ind w:left="115" w:right="72"/>
      </w:pPr>
      <w:r>
        <w:rPr>
          <w:rFonts w:ascii="Aptos" w:hAnsi="Aptos"/>
          <w:color w:val="24313D"/>
          <w:sz w:val="16"/>
        </w:rPr>
        <w:t>Provider errors SHALL normalize to validation, authorization, rate limit, transient, duplicate/ambiguous, business rejection, referral, DNL, cancellation and provider outage without losing raw codes.</w:t>
      </w:r>
    </w:p>
    <w:p>
      <w:pPr>
        <w:keepLines/>
        <w:spacing w:before="0" w:after="60" w:line="240" w:lineRule="auto"/>
        <w:ind w:left="115" w:right="72"/>
      </w:pPr>
      <w:r>
        <w:rPr>
          <w:rFonts w:ascii="Aptos" w:hAnsi="Aptos"/>
          <w:color w:val="52616B"/>
          <w:sz w:val="14"/>
        </w:rPr>
        <w:t>Trigger: Response  |  Inputs: Raw error  |  Output: Normalized action  |  Approval: Automated  |  On failure: Safe retry/hold  |  Evidence: Mapping version  |  Sources: SRC-CAR-001, SRC-CAR-002, SRC-CAR-003, SRC-CAR-004, SRC-CAR-005, SRC-CAR-006, SRC-POST-003, SRC-AIR-009, SRC-AIR-010  |  Test: T-INT-008</w:t>
      </w:r>
    </w:p>
    <w:p>
      <w:pPr>
        <w:pStyle w:val="ReqTitle"/>
        <w:keepNext/>
        <w:shd w:fill="DDF3F5"/>
      </w:pPr>
      <w:r>
        <w:rPr>
          <w:b/>
          <w:color w:val="16324F"/>
        </w:rPr>
        <w:t>INT-009  •  Retry discipline</w:t>
      </w:r>
      <w:r>
        <w:rPr>
          <w:b/>
          <w:color w:val="0F6B78"/>
          <w:sz w:val="15"/>
        </w:rPr>
        <w:t xml:space="preserve">   [MUST]</w:t>
      </w:r>
    </w:p>
    <w:p>
      <w:pPr>
        <w:keepNext/>
        <w:keepLines/>
        <w:spacing w:before="20" w:after="20" w:line="245" w:lineRule="auto"/>
        <w:ind w:left="115" w:right="72"/>
      </w:pPr>
      <w:r>
        <w:rPr>
          <w:rFonts w:ascii="Aptos" w:hAnsi="Aptos"/>
          <w:color w:val="24313D"/>
          <w:sz w:val="16"/>
        </w:rPr>
        <w:t>Only demonstrably idempotent operations SHALL auto-retry with exponential backoff/jitter and rate-limit respect; shipment/filing creation with ambiguous outcome requires status query.</w:t>
      </w:r>
    </w:p>
    <w:p>
      <w:pPr>
        <w:keepLines/>
        <w:spacing w:before="0" w:after="60" w:line="240" w:lineRule="auto"/>
        <w:ind w:left="115" w:right="72"/>
      </w:pPr>
      <w:r>
        <w:rPr>
          <w:rFonts w:ascii="Aptos" w:hAnsi="Aptos"/>
          <w:color w:val="52616B"/>
          <w:sz w:val="14"/>
        </w:rPr>
        <w:t>Trigger: Technical failure  |  Inputs: Operation semantics and prior response  |  Output: Retry/query/manual reconcile  |  Approval: Automated  |  On failure: Hold  |  Evidence: Attempt ledger  |  Sources: SRC-CAR-001, SRC-CAR-002, SRC-CAR-003, SRC-CAR-004, SRC-CAR-005, SRC-CAR-006, SRC-POST-003, SRC-AIR-009, SRC-AIR-010  |  Test: T-INT-009</w:t>
      </w:r>
    </w:p>
    <w:p>
      <w:pPr>
        <w:pStyle w:val="ReqTitle"/>
        <w:keepNext/>
        <w:shd w:fill="DDF3F5"/>
      </w:pPr>
      <w:r>
        <w:rPr>
          <w:b/>
          <w:color w:val="16324F"/>
        </w:rPr>
        <w:t>INT-010  •  Webhook ordering</w:t>
      </w:r>
      <w:r>
        <w:rPr>
          <w:b/>
          <w:color w:val="0F6B78"/>
          <w:sz w:val="15"/>
        </w:rPr>
        <w:t xml:space="preserve">   [MUST]</w:t>
      </w:r>
    </w:p>
    <w:p>
      <w:pPr>
        <w:keepNext/>
        <w:keepLines/>
        <w:spacing w:before="20" w:after="20" w:line="245" w:lineRule="auto"/>
        <w:ind w:left="115" w:right="72"/>
      </w:pPr>
      <w:r>
        <w:rPr>
          <w:rFonts w:ascii="Aptos" w:hAnsi="Aptos"/>
          <w:color w:val="24313D"/>
          <w:sz w:val="16"/>
        </w:rPr>
        <w:t>Events SHALL be authenticated, deduplicated and ordered by provider event time/version where possible; late/out-of-order events SHALL not regress terminal state without reconciliation.</w:t>
      </w:r>
    </w:p>
    <w:p>
      <w:pPr>
        <w:keepLines/>
        <w:spacing w:before="0" w:after="60" w:line="240" w:lineRule="auto"/>
        <w:ind w:left="115" w:right="72"/>
      </w:pPr>
      <w:r>
        <w:rPr>
          <w:rFonts w:ascii="Aptos" w:hAnsi="Aptos"/>
          <w:color w:val="52616B"/>
          <w:sz w:val="14"/>
        </w:rPr>
        <w:t>Trigger: Webhook  |  Inputs: Event ID/time/status  |  Output: Monotonic canonical state  |  Approval: Automated  |  On failure: Quarantine event  |  Evidence: Raw event and transition  |  Sources: SRC-CAR-001, SRC-CAR-002, SRC-CAR-003, SRC-CAR-004, SRC-CAR-005, SRC-CAR-006, SRC-POST-003, SRC-AIR-009, SRC-AIR-010  |  Test: T-INT-010</w:t>
      </w:r>
    </w:p>
    <w:p>
      <w:pPr>
        <w:pStyle w:val="ReqTitle"/>
        <w:keepNext/>
        <w:shd w:fill="DDF3F5"/>
      </w:pPr>
      <w:r>
        <w:rPr>
          <w:b/>
          <w:color w:val="16324F"/>
        </w:rPr>
        <w:t>INT-011  •  Provider certification</w:t>
      </w:r>
      <w:r>
        <w:rPr>
          <w:b/>
          <w:color w:val="0F6B78"/>
          <w:sz w:val="15"/>
        </w:rPr>
        <w:t xml:space="preserve">   [MUST]</w:t>
      </w:r>
    </w:p>
    <w:p>
      <w:pPr>
        <w:keepNext/>
        <w:keepLines/>
        <w:spacing w:before="20" w:after="20" w:line="245" w:lineRule="auto"/>
        <w:ind w:left="115" w:right="72"/>
      </w:pPr>
      <w:r>
        <w:rPr>
          <w:rFonts w:ascii="Aptos" w:hAnsi="Aptos"/>
          <w:color w:val="24313D"/>
          <w:sz w:val="16"/>
        </w:rPr>
        <w:t>Adapters SHALL complete provider-required certification, resale/integrator enrollment, test cases, label review and account approval before production; tenant credentials alone do not prove software authorization.</w:t>
      </w:r>
    </w:p>
    <w:p>
      <w:pPr>
        <w:keepLines/>
        <w:spacing w:before="0" w:after="60" w:line="240" w:lineRule="auto"/>
        <w:ind w:left="115" w:right="72"/>
      </w:pPr>
      <w:r>
        <w:rPr>
          <w:rFonts w:ascii="Aptos" w:hAnsi="Aptos"/>
          <w:color w:val="52616B"/>
          <w:sz w:val="14"/>
        </w:rPr>
        <w:t>Trigger: Adapter release  |  Inputs: Provider program requirements  |  Output: Certified/rejected  |  Approval: Integration legal/product  |  On failure: No production activation  |  Evidence: Certificate/approval  |  Sources: SRC-CAR-001, SRC-CAR-002, SRC-CAR-003, SRC-CAR-004, SRC-CAR-005, SRC-CAR-006, SRC-POST-003, SRC-AIR-009, SRC-AIR-010  |  Test: T-INT-011</w:t>
      </w:r>
    </w:p>
    <w:p>
      <w:pPr>
        <w:pStyle w:val="ReqTitle"/>
        <w:keepNext/>
        <w:shd w:fill="DDF3F5"/>
      </w:pPr>
      <w:r>
        <w:rPr>
          <w:b/>
          <w:color w:val="16324F"/>
        </w:rPr>
        <w:t>INT-012  •  Terms and branding</w:t>
      </w:r>
      <w:r>
        <w:rPr>
          <w:b/>
          <w:color w:val="0F6B78"/>
          <w:sz w:val="15"/>
        </w:rPr>
        <w:t xml:space="preserve">   [MUST]</w:t>
      </w:r>
    </w:p>
    <w:p>
      <w:pPr>
        <w:keepNext/>
        <w:keepLines/>
        <w:spacing w:before="20" w:after="20" w:line="245" w:lineRule="auto"/>
        <w:ind w:left="115" w:right="72"/>
      </w:pPr>
      <w:r>
        <w:rPr>
          <w:rFonts w:ascii="Aptos" w:hAnsi="Aptos"/>
          <w:color w:val="24313D"/>
          <w:sz w:val="16"/>
        </w:rPr>
        <w:t>Carrier API terms, label/document rendering, marks, rate display, data use, caching and branding obligations SHALL be configuration/release gates reviewed by legal.</w:t>
      </w:r>
    </w:p>
    <w:p>
      <w:pPr>
        <w:keepLines/>
        <w:spacing w:before="0" w:after="60" w:line="240" w:lineRule="auto"/>
        <w:ind w:left="115" w:right="72"/>
      </w:pPr>
      <w:r>
        <w:rPr>
          <w:rFonts w:ascii="Aptos" w:hAnsi="Aptos"/>
          <w:color w:val="52616B"/>
          <w:sz w:val="14"/>
        </w:rPr>
        <w:t>Trigger: Adapter release/change  |  Inputs: Provider agreement  |  Output: Approved implementation  |  Approval: Legal  |  On failure: Disable  |  Evidence: Review record  |  Sources: SRC-CAR-001, SRC-CAR-002, SRC-CAR-003, SRC-CAR-004, SRC-CAR-005, SRC-CAR-006, SRC-POST-003, SRC-AIR-009, SRC-AIR-010  |  Test: T-INT-012</w:t>
      </w:r>
    </w:p>
    <w:p>
      <w:pPr>
        <w:pStyle w:val="ReqTitle"/>
        <w:keepNext/>
        <w:shd w:fill="DDF3F5"/>
      </w:pPr>
      <w:r>
        <w:rPr>
          <w:b/>
          <w:color w:val="16324F"/>
        </w:rPr>
        <w:t>INT-013  •  DHL MyDHL scope</w:t>
      </w:r>
      <w:r>
        <w:rPr>
          <w:b/>
          <w:color w:val="0F6B78"/>
          <w:sz w:val="15"/>
        </w:rPr>
        <w:t xml:space="preserve">   [MUST]</w:t>
      </w:r>
    </w:p>
    <w:p>
      <w:pPr>
        <w:keepNext/>
        <w:keepLines/>
        <w:spacing w:before="20" w:after="20" w:line="245" w:lineRule="auto"/>
        <w:ind w:left="115" w:right="72"/>
      </w:pPr>
      <w:r>
        <w:rPr>
          <w:rFonts w:ascii="Aptos" w:hAnsi="Aptos"/>
          <w:color w:val="24313D"/>
          <w:sz w:val="16"/>
        </w:rPr>
        <w:t>The DHL Express adapter SHALL map account access, capabilities/rates, shipment validation/creation, customs content, labels/documents, pickup, tracking and cancellation per the active MyDHL API and reference-data versions.</w:t>
      </w:r>
    </w:p>
    <w:p>
      <w:pPr>
        <w:keepLines/>
        <w:spacing w:before="0" w:after="60" w:line="240" w:lineRule="auto"/>
        <w:ind w:left="115" w:right="72"/>
      </w:pPr>
      <w:r>
        <w:rPr>
          <w:rFonts w:ascii="Aptos" w:hAnsi="Aptos"/>
          <w:color w:val="52616B"/>
          <w:sz w:val="14"/>
        </w:rPr>
        <w:t>Trigger: DHL flow  |  Inputs: DHL account/lane/shipment  |  Output: DHL response mapped  |  Approval: DHL integration owner  |  On failure: Hold  |  Evidence: DHL request/response  |  Sources: SRC-CAR-001, SRC-CAR-002, SRC-CAR-003, SRC-CAR-004, SRC-CAR-005, SRC-CAR-006, SRC-POST-003, SRC-AIR-009, SRC-AIR-010  |  Test: T-INT-013</w:t>
      </w:r>
    </w:p>
    <w:p>
      <w:pPr>
        <w:pStyle w:val="ReqTitle"/>
        <w:keepNext/>
        <w:shd w:fill="DDF3F5"/>
      </w:pPr>
      <w:r>
        <w:rPr>
          <w:b/>
          <w:color w:val="16324F"/>
        </w:rPr>
        <w:t>INT-014  •  UPS scope</w:t>
      </w:r>
      <w:r>
        <w:rPr>
          <w:b/>
          <w:color w:val="0F6B78"/>
          <w:sz w:val="15"/>
        </w:rPr>
        <w:t xml:space="preserve">   [MUST]</w:t>
      </w:r>
    </w:p>
    <w:p>
      <w:pPr>
        <w:keepNext/>
        <w:keepLines/>
        <w:spacing w:before="20" w:after="20" w:line="245" w:lineRule="auto"/>
        <w:ind w:left="115" w:right="72"/>
      </w:pPr>
      <w:r>
        <w:rPr>
          <w:rFonts w:ascii="Aptos" w:hAnsi="Aptos"/>
          <w:color w:val="24313D"/>
          <w:sz w:val="16"/>
        </w:rPr>
        <w:t>The UPS adapter SHALL map OAuth, address validation, rating/time in transit, shipping/labels, pickups, tracking, paperless/trade data and voids using only account-enabled products.</w:t>
      </w:r>
    </w:p>
    <w:p>
      <w:pPr>
        <w:keepLines/>
        <w:spacing w:before="0" w:after="60" w:line="240" w:lineRule="auto"/>
        <w:ind w:left="115" w:right="72"/>
      </w:pPr>
      <w:r>
        <w:rPr>
          <w:rFonts w:ascii="Aptos" w:hAnsi="Aptos"/>
          <w:color w:val="52616B"/>
          <w:sz w:val="14"/>
        </w:rPr>
        <w:t>Trigger: UPS flow  |  Inputs: UPS account/lane/shipment  |  Output: UPS response mapped  |  Approval: UPS integration owner  |  On failure: Hold  |  Evidence: UPS request/response  |  Sources: SRC-CAR-001, SRC-CAR-002, SRC-CAR-003, SRC-CAR-004, SRC-CAR-005, SRC-CAR-006, SRC-POST-003, SRC-AIR-009, SRC-AIR-010  |  Test: T-INT-014</w:t>
      </w:r>
    </w:p>
    <w:p>
      <w:pPr>
        <w:pStyle w:val="ReqTitle"/>
        <w:keepNext/>
        <w:shd w:fill="DDF3F5"/>
      </w:pPr>
      <w:r>
        <w:rPr>
          <w:b/>
          <w:color w:val="16324F"/>
        </w:rPr>
        <w:t>INT-015  •  UPS dangerous goods</w:t>
      </w:r>
      <w:r>
        <w:rPr>
          <w:b/>
          <w:color w:val="0F6B78"/>
          <w:sz w:val="15"/>
        </w:rPr>
        <w:t xml:space="preserve">   [MUST]</w:t>
      </w:r>
    </w:p>
    <w:p>
      <w:pPr>
        <w:keepNext/>
        <w:keepLines/>
        <w:spacing w:before="20" w:after="20" w:line="245" w:lineRule="auto"/>
        <w:ind w:left="115" w:right="72"/>
      </w:pPr>
      <w:r>
        <w:rPr>
          <w:rFonts w:ascii="Aptos" w:hAnsi="Aptos"/>
          <w:color w:val="24313D"/>
          <w:sz w:val="16"/>
        </w:rPr>
        <w:t>UPS DG acceptance SHALL require UPS contract/service capability and its provider-specific data/documents in addition to legal DG approval; absence of UPS DG capability blocks UPS selection.</w:t>
      </w:r>
    </w:p>
    <w:p>
      <w:pPr>
        <w:keepLines/>
        <w:spacing w:before="0" w:after="60" w:line="240" w:lineRule="auto"/>
        <w:ind w:left="115" w:right="72"/>
      </w:pPr>
      <w:r>
        <w:rPr>
          <w:rFonts w:ascii="Aptos" w:hAnsi="Aptos"/>
          <w:color w:val="52616B"/>
          <w:sz w:val="14"/>
        </w:rPr>
        <w:t>Trigger: UPS DG shipment  |  Inputs: DG profile, account, service  |  Output: UPS DG accepted/blocked  |  Approval: UPS/external + DG reviewer  |  On failure: Hold  |  Evidence: UPS capability/response  |  Sources: SRC-CAR-001, SRC-CAR-002, SRC-CAR-003, SRC-CAR-004, SRC-CAR-005, SRC-CAR-006, SRC-POST-003, SRC-AIR-009, SRC-AIR-010  |  Test: T-INT-015</w:t>
      </w:r>
    </w:p>
    <w:p>
      <w:pPr>
        <w:pStyle w:val="ReqTitle"/>
        <w:keepNext/>
        <w:shd w:fill="DDF3F5"/>
      </w:pPr>
      <w:r>
        <w:rPr>
          <w:b/>
          <w:color w:val="16324F"/>
        </w:rPr>
        <w:t>INT-016  •  FedEx scope</w:t>
      </w:r>
      <w:r>
        <w:rPr>
          <w:b/>
          <w:color w:val="0F6B78"/>
          <w:sz w:val="15"/>
        </w:rPr>
        <w:t xml:space="preserve">   [MUST]</w:t>
      </w:r>
    </w:p>
    <w:p>
      <w:pPr>
        <w:keepNext/>
        <w:keepLines/>
        <w:spacing w:before="20" w:after="20" w:line="245" w:lineRule="auto"/>
        <w:ind w:left="115" w:right="72"/>
      </w:pPr>
      <w:r>
        <w:rPr>
          <w:rFonts w:ascii="Aptos" w:hAnsi="Aptos"/>
          <w:color w:val="24313D"/>
          <w:sz w:val="16"/>
        </w:rPr>
        <w:t>The FedEx adapter SHALL map OAuth, address validation, rates/transit, ship/labels, returns, pickups, tracking/visibility, trade documents, special services and cancellation per account/country availability.</w:t>
      </w:r>
    </w:p>
    <w:p>
      <w:pPr>
        <w:keepLines/>
        <w:spacing w:before="0" w:after="60" w:line="240" w:lineRule="auto"/>
        <w:ind w:left="115" w:right="72"/>
      </w:pPr>
      <w:r>
        <w:rPr>
          <w:rFonts w:ascii="Aptos" w:hAnsi="Aptos"/>
          <w:color w:val="52616B"/>
          <w:sz w:val="14"/>
        </w:rPr>
        <w:t>Trigger: FedEx flow  |  Inputs: FedEx account/lane/shipment  |  Output: FedEx response mapped  |  Approval: FedEx integration owner  |  On failure: Hold  |  Evidence: FedEx request/response  |  Sources: SRC-CAR-001, SRC-CAR-002, SRC-CAR-003, SRC-CAR-004, SRC-CAR-005, SRC-CAR-006, SRC-POST-003, SRC-AIR-009, SRC-AIR-010  |  Test: T-INT-016</w:t>
      </w:r>
    </w:p>
    <w:p>
      <w:pPr>
        <w:pStyle w:val="ReqTitle"/>
        <w:keepNext/>
        <w:shd w:fill="DDF3F5"/>
      </w:pPr>
      <w:r>
        <w:rPr>
          <w:b/>
          <w:color w:val="16324F"/>
        </w:rPr>
        <w:t>INT-017  •  FedEx integrator program</w:t>
      </w:r>
      <w:r>
        <w:rPr>
          <w:b/>
          <w:color w:val="0F6B78"/>
          <w:sz w:val="15"/>
        </w:rPr>
        <w:t xml:space="preserve">   [MUST]</w:t>
      </w:r>
    </w:p>
    <w:p>
      <w:pPr>
        <w:keepNext/>
        <w:keepLines/>
        <w:spacing w:before="20" w:after="20" w:line="245" w:lineRule="auto"/>
        <w:ind w:left="115" w:right="72"/>
      </w:pPr>
      <w:r>
        <w:rPr>
          <w:rFonts w:ascii="Aptos" w:hAnsi="Aptos"/>
          <w:color w:val="24313D"/>
          <w:sz w:val="16"/>
        </w:rPr>
        <w:t>A SaaS resale integration SHALL meet current FedEx integrator/compatible program requirements and SHALL treat webhook/account-country limitations as capabilities, not universal features.</w:t>
      </w:r>
    </w:p>
    <w:p>
      <w:pPr>
        <w:keepLines/>
        <w:spacing w:before="0" w:after="60" w:line="240" w:lineRule="auto"/>
        <w:ind w:left="115" w:right="72"/>
      </w:pPr>
      <w:r>
        <w:rPr>
          <w:rFonts w:ascii="Aptos" w:hAnsi="Aptos"/>
          <w:color w:val="52616B"/>
          <w:sz w:val="14"/>
        </w:rPr>
        <w:t>Trigger: FedEx adapter release  |  Inputs: Program/account data  |  Output: Approved capability  |  Approval: Integration legal/product  |  On failure: Disable  |  Evidence: Program approval  |  Sources: SRC-CAR-001, SRC-CAR-002, SRC-CAR-003, SRC-CAR-004, SRC-CAR-005, SRC-CAR-006, SRC-POST-003, SRC-AIR-009, SRC-AIR-010  |  Test: T-INT-017</w:t>
      </w:r>
    </w:p>
    <w:p>
      <w:pPr>
        <w:pStyle w:val="ReqTitle"/>
        <w:keepNext/>
        <w:shd w:fill="DDF3F5"/>
      </w:pPr>
      <w:r>
        <w:rPr>
          <w:b/>
          <w:color w:val="16324F"/>
        </w:rPr>
        <w:t>INT-018  •  Postal operator adapter</w:t>
      </w:r>
      <w:r>
        <w:rPr>
          <w:b/>
          <w:color w:val="0F6B78"/>
          <w:sz w:val="15"/>
        </w:rPr>
        <w:t xml:space="preserve">   [MUST]</w:t>
      </w:r>
    </w:p>
    <w:p>
      <w:pPr>
        <w:keepNext/>
        <w:keepLines/>
        <w:spacing w:before="20" w:after="20" w:line="245" w:lineRule="auto"/>
        <w:ind w:left="115" w:right="72"/>
      </w:pPr>
      <w:r>
        <w:rPr>
          <w:rFonts w:ascii="Aptos" w:hAnsi="Aptos"/>
          <w:color w:val="24313D"/>
          <w:sz w:val="16"/>
        </w:rPr>
        <w:t>UPU-compatible adapters SHALL map bilateral/operator-specific deviations, S10 allocation, ITMATT, PREDES/RESDES, CARDIT/RESDIT and referrals only for messages actually supported by the contracted operator.</w:t>
      </w:r>
    </w:p>
    <w:p>
      <w:pPr>
        <w:keepLines/>
        <w:spacing w:before="0" w:after="60" w:line="240" w:lineRule="auto"/>
        <w:ind w:left="115" w:right="72"/>
      </w:pPr>
      <w:r>
        <w:rPr>
          <w:rFonts w:ascii="Aptos" w:hAnsi="Aptos"/>
          <w:color w:val="52616B"/>
          <w:sz w:val="14"/>
        </w:rPr>
        <w:t>Trigger: Postal flow  |  Inputs: Operator contract/message versions  |  Output: Supported message flow  |  Approval: Postal integration owner  |  On failure: Hold  |  Evidence: Conformance suite  |  Sources: SRC-CAR-001, SRC-CAR-002, SRC-CAR-003, SRC-CAR-004, SRC-CAR-005, SRC-CAR-006, SRC-POST-003, SRC-AIR-009, SRC-AIR-010  |  Test: T-INT-018</w:t>
      </w:r>
    </w:p>
    <w:p>
      <w:pPr>
        <w:pStyle w:val="ReqTitle"/>
        <w:keepNext/>
        <w:shd w:fill="DDF3F5"/>
      </w:pPr>
      <w:r>
        <w:rPr>
          <w:b/>
          <w:color w:val="16324F"/>
        </w:rPr>
        <w:t>INT-019  •  Air partner adapter</w:t>
      </w:r>
      <w:r>
        <w:rPr>
          <w:b/>
          <w:color w:val="0F6B78"/>
          <w:sz w:val="15"/>
        </w:rPr>
        <w:t xml:space="preserve">   [MUST]</w:t>
      </w:r>
    </w:p>
    <w:p>
      <w:pPr>
        <w:keepNext/>
        <w:keepLines/>
        <w:spacing w:before="20" w:after="20" w:line="245" w:lineRule="auto"/>
        <w:ind w:left="115" w:right="72"/>
      </w:pPr>
      <w:r>
        <w:rPr>
          <w:rFonts w:ascii="Aptos" w:hAnsi="Aptos"/>
          <w:color w:val="24313D"/>
          <w:sz w:val="16"/>
        </w:rPr>
        <w:t>Forwarder/airline/platform adapters SHALL map booking, routing, MAWB/HAWB, Cargo-XML/ONE Record, security filings/referrals, e-AWB, e-DGD, status, manifest and cancellation based on partner role.</w:t>
      </w:r>
    </w:p>
    <w:p>
      <w:pPr>
        <w:keepLines/>
        <w:spacing w:before="0" w:after="60" w:line="240" w:lineRule="auto"/>
        <w:ind w:left="115" w:right="72"/>
      </w:pPr>
      <w:r>
        <w:rPr>
          <w:rFonts w:ascii="Aptos" w:hAnsi="Aptos"/>
          <w:color w:val="52616B"/>
          <w:sz w:val="14"/>
        </w:rPr>
        <w:t>Trigger: Air flow  |  Inputs: Partner capability and cargo data  |  Output: Supported exchange  |  Approval: Air integration owner  |  On failure: Hold  |  Evidence: Conformance suite  |  Sources: SRC-CAR-001, SRC-CAR-002, SRC-CAR-003, SRC-CAR-004, SRC-CAR-005, SRC-CAR-006, SRC-POST-003, SRC-AIR-009, SRC-AIR-010  |  Test: T-INT-019</w:t>
      </w:r>
    </w:p>
    <w:p>
      <w:pPr>
        <w:pStyle w:val="ReqTitle"/>
        <w:keepNext/>
        <w:shd w:fill="DDF3F5"/>
      </w:pPr>
      <w:r>
        <w:rPr>
          <w:b/>
          <w:color w:val="16324F"/>
        </w:rPr>
        <w:t>INT-020  •  Regional carrier onboarding</w:t>
      </w:r>
      <w:r>
        <w:rPr>
          <w:b/>
          <w:color w:val="0F6B78"/>
          <w:sz w:val="15"/>
        </w:rPr>
        <w:t xml:space="preserve">   [MUST]</w:t>
      </w:r>
    </w:p>
    <w:p>
      <w:pPr>
        <w:keepNext/>
        <w:keepLines/>
        <w:spacing w:before="20" w:after="20" w:line="245" w:lineRule="auto"/>
        <w:ind w:left="115" w:right="72"/>
      </w:pPr>
      <w:r>
        <w:rPr>
          <w:rFonts w:ascii="Aptos" w:hAnsi="Aptos"/>
          <w:color w:val="24313D"/>
          <w:sz w:val="16"/>
        </w:rPr>
        <w:t>Regional carriers and aggregators SHALL meet the same security, idempotency, capability, compliance-evidence and certification gates; aggregator acceptance SHALL identify the actual carrier/service where required for rules.</w:t>
      </w:r>
    </w:p>
    <w:p>
      <w:pPr>
        <w:keepLines/>
        <w:spacing w:before="0" w:after="60" w:line="240" w:lineRule="auto"/>
        <w:ind w:left="115" w:right="72"/>
      </w:pPr>
      <w:r>
        <w:rPr>
          <w:rFonts w:ascii="Aptos" w:hAnsi="Aptos"/>
          <w:color w:val="52616B"/>
          <w:sz w:val="14"/>
        </w:rPr>
        <w:t>Trigger: New partner  |  Inputs: Partner/actual carrier data  |  Output: Approved/blocked adapter  |  Approval: Integration governance  |  On failure: Disable  |  Evidence: Due diligence and tests  |  Sources: SRC-CAR-001, SRC-CAR-002, SRC-CAR-003, SRC-CAR-004, SRC-CAR-005, SRC-CAR-006, SRC-POST-003, SRC-AIR-009, SRC-AIR-010  |  Test: T-INT-020</w:t>
      </w:r>
    </w:p>
    <w:p>
      <w:pPr>
        <w:pStyle w:val="ReqTitle"/>
        <w:keepNext/>
        <w:shd w:fill="DDF3F5"/>
      </w:pPr>
      <w:r>
        <w:rPr>
          <w:b/>
          <w:color w:val="16324F"/>
        </w:rPr>
        <w:t>INT-021  •  Reconciliation</w:t>
      </w:r>
      <w:r>
        <w:rPr>
          <w:b/>
          <w:color w:val="0F6B78"/>
          <w:sz w:val="15"/>
        </w:rPr>
        <w:t xml:space="preserve">   [MUST]</w:t>
      </w:r>
    </w:p>
    <w:p>
      <w:pPr>
        <w:keepNext/>
        <w:keepLines/>
        <w:spacing w:before="20" w:after="20" w:line="245" w:lineRule="auto"/>
        <w:ind w:left="115" w:right="72"/>
      </w:pPr>
      <w:r>
        <w:rPr>
          <w:rFonts w:ascii="Aptos" w:hAnsi="Aptos"/>
          <w:color w:val="24313D"/>
          <w:sz w:val="16"/>
        </w:rPr>
        <w:t>Daily reconciliation SHALL compare labels, shipments, declarations, pickups, tracking numbers, voids, surcharges and invoices against provider records and route anomalies to operations/finance/compliance.</w:t>
      </w:r>
    </w:p>
    <w:p>
      <w:pPr>
        <w:keepLines/>
        <w:spacing w:before="0" w:after="60" w:line="240" w:lineRule="auto"/>
        <w:ind w:left="115" w:right="72"/>
      </w:pPr>
      <w:r>
        <w:rPr>
          <w:rFonts w:ascii="Aptos" w:hAnsi="Aptos"/>
          <w:color w:val="52616B"/>
          <w:sz w:val="14"/>
        </w:rPr>
        <w:t>Trigger: Schedule  |  Inputs: Internal/provider transactions  |  Output: Matched/exceptions  |  Approval: Operations/finance  |  On failure: Investigate/hold accounts if systemic  |  Evidence: Reconciliation report  |  Sources: SRC-CAR-001, SRC-CAR-002, SRC-CAR-003, SRC-CAR-004, SRC-CAR-005, SRC-CAR-006, SRC-POST-003, SRC-AIR-009, SRC-AIR-010  |  Test: T-INT-021</w:t>
      </w:r>
    </w:p>
    <w:p>
      <w:pPr>
        <w:pStyle w:val="ReqTitle"/>
        <w:keepNext/>
        <w:shd w:fill="DDF3F5"/>
      </w:pPr>
      <w:r>
        <w:rPr>
          <w:b/>
          <w:color w:val="16324F"/>
        </w:rPr>
        <w:t>INT-022  •  Provider outage</w:t>
      </w:r>
      <w:r>
        <w:rPr>
          <w:b/>
          <w:color w:val="0F6B78"/>
          <w:sz w:val="15"/>
        </w:rPr>
        <w:t xml:space="preserve">   [MUST]</w:t>
      </w:r>
    </w:p>
    <w:p>
      <w:pPr>
        <w:keepNext/>
        <w:keepLines/>
        <w:spacing w:before="20" w:after="20" w:line="245" w:lineRule="auto"/>
        <w:ind w:left="115" w:right="72"/>
      </w:pPr>
      <w:r>
        <w:rPr>
          <w:rFonts w:ascii="Aptos" w:hAnsi="Aptos"/>
          <w:color w:val="24313D"/>
          <w:sz w:val="16"/>
        </w:rPr>
        <w:t>Outage mode SHALL show affected capabilities, prohibit fabricated success, allow only policy-approved cached quoting, queue safe operations, and require reconciliation before release.</w:t>
      </w:r>
    </w:p>
    <w:p>
      <w:pPr>
        <w:keepLines/>
        <w:spacing w:before="0" w:after="60" w:line="240" w:lineRule="auto"/>
        <w:ind w:left="115" w:right="72"/>
      </w:pPr>
      <w:r>
        <w:rPr>
          <w:rFonts w:ascii="Aptos" w:hAnsi="Aptos"/>
          <w:color w:val="52616B"/>
          <w:sz w:val="14"/>
        </w:rPr>
        <w:t>Trigger: Health failure  |  Inputs: Provider status and operation type  |  Output: Degraded/blocked  |  Approval: Automated  |  On failure: Hold  |  Evidence: Outage timeline  |  Sources: SRC-CAR-001, SRC-CAR-002, SRC-CAR-003, SRC-CAR-004, SRC-CAR-005, SRC-CAR-006, SRC-POST-003, SRC-AIR-009, SRC-AIR-010  |  Test: T-INT-022</w:t>
      </w:r>
    </w:p>
    <w:p>
      <w:pPr>
        <w:pStyle w:val="Heading2"/>
        <w:keepNext/>
      </w:pPr>
      <w:r>
        <w:t>20.12 Privacy, residency &amp; security (18 controls)</w:t>
      </w:r>
    </w:p>
    <w:p>
      <w:pPr>
        <w:pStyle w:val="ReqTitle"/>
        <w:keepNext/>
        <w:shd w:fill="DDF3F5"/>
      </w:pPr>
      <w:r>
        <w:rPr>
          <w:b/>
          <w:color w:val="16324F"/>
        </w:rPr>
        <w:t>SEC-001  •  Tenant-selected hosting region</w:t>
      </w:r>
      <w:r>
        <w:rPr>
          <w:b/>
          <w:color w:val="0F6B78"/>
          <w:sz w:val="15"/>
        </w:rPr>
        <w:t xml:space="preserve">   [MUST]</w:t>
      </w:r>
    </w:p>
    <w:p>
      <w:pPr>
        <w:keepNext/>
        <w:keepLines/>
        <w:spacing w:before="20" w:after="20" w:line="245" w:lineRule="auto"/>
        <w:ind w:left="115" w:right="72"/>
      </w:pPr>
      <w:r>
        <w:rPr>
          <w:rFonts w:ascii="Aptos" w:hAnsi="Aptos"/>
          <w:color w:val="24313D"/>
          <w:sz w:val="16"/>
        </w:rPr>
        <w:t>Each tenant SHALL select an approved primary hosting region before production. Tenant transactional data, documents, search indexes, backups, logs and keys SHALL follow the selected residency policy except documented legal/operational transfers.</w:t>
      </w:r>
    </w:p>
    <w:p>
      <w:pPr>
        <w:keepLines/>
        <w:spacing w:before="0" w:after="60" w:line="240" w:lineRule="auto"/>
        <w:ind w:left="115" w:right="72"/>
      </w:pPr>
      <w:r>
        <w:rPr>
          <w:rFonts w:ascii="Aptos" w:hAnsi="Aptos"/>
          <w:color w:val="52616B"/>
          <w:sz w:val="14"/>
        </w:rPr>
        <w:t>Trigger: Tenant onboarding/change  |  Inputs: Region, data categories, legal nexuses  |  Output: Approved deployment policy  |  Approval: Privacy/security  |  On failure: No production use  |  Evidence: Residency configuration  |  Sources: SRC-PRV-001, SRC-PRV-002, SRC-PRV-003, SRC-PRV-004  |  Test: T-SEC-001</w:t>
      </w:r>
    </w:p>
    <w:p>
      <w:pPr>
        <w:pStyle w:val="ReqTitle"/>
        <w:keepNext/>
        <w:shd w:fill="DDF3F5"/>
      </w:pPr>
      <w:r>
        <w:rPr>
          <w:b/>
          <w:color w:val="16324F"/>
        </w:rPr>
        <w:t>SEC-002  •  No absolute residency promise</w:t>
      </w:r>
      <w:r>
        <w:rPr>
          <w:b/>
          <w:color w:val="0F6B78"/>
          <w:sz w:val="15"/>
        </w:rPr>
        <w:t xml:space="preserve">   [MUST]</w:t>
      </w:r>
    </w:p>
    <w:p>
      <w:pPr>
        <w:keepNext/>
        <w:keepLines/>
        <w:spacing w:before="20" w:after="20" w:line="245" w:lineRule="auto"/>
        <w:ind w:left="115" w:right="72"/>
      </w:pPr>
      <w:r>
        <w:rPr>
          <w:rFonts w:ascii="Aptos" w:hAnsi="Aptos"/>
          <w:color w:val="24313D"/>
          <w:sz w:val="16"/>
        </w:rPr>
        <w:t>Contracts/UI SHALL describe exact data categories and unavoidable cross-border disclosures to carriers, postal operators, air partners, authorities, subprocessors and support; selecting a region SHALL not be represented as zero data transfer.</w:t>
      </w:r>
    </w:p>
    <w:p>
      <w:pPr>
        <w:keepLines/>
        <w:spacing w:before="0" w:after="60" w:line="240" w:lineRule="auto"/>
        <w:ind w:left="115" w:right="72"/>
      </w:pPr>
      <w:r>
        <w:rPr>
          <w:rFonts w:ascii="Aptos" w:hAnsi="Aptos"/>
          <w:color w:val="52616B"/>
          <w:sz w:val="14"/>
        </w:rPr>
        <w:t>Trigger: Contract/onboarding  |  Inputs: Data flow map  |  Output: Transparent notice/terms  |  Approval: Privacy/legal  |  On failure: Do not activate  |  Evidence: Accepted notice  |  Sources: SRC-PRV-001, SRC-PRV-002, SRC-PRV-003, SRC-PRV-004  |  Test: T-SEC-002</w:t>
      </w:r>
    </w:p>
    <w:p>
      <w:pPr>
        <w:pStyle w:val="ReqTitle"/>
        <w:keepNext/>
        <w:shd w:fill="DDF3F5"/>
      </w:pPr>
      <w:r>
        <w:rPr>
          <w:b/>
          <w:color w:val="16324F"/>
        </w:rPr>
        <w:t>SEC-003  •  Regional control plane</w:t>
      </w:r>
      <w:r>
        <w:rPr>
          <w:b/>
          <w:color w:val="0F6B78"/>
          <w:sz w:val="15"/>
        </w:rPr>
        <w:t xml:space="preserve">   [MUST]</w:t>
      </w:r>
    </w:p>
    <w:p>
      <w:pPr>
        <w:keepNext/>
        <w:keepLines/>
        <w:spacing w:before="20" w:after="20" w:line="245" w:lineRule="auto"/>
        <w:ind w:left="115" w:right="72"/>
      </w:pPr>
      <w:r>
        <w:rPr>
          <w:rFonts w:ascii="Aptos" w:hAnsi="Aptos"/>
          <w:color w:val="24313D"/>
          <w:sz w:val="16"/>
        </w:rPr>
        <w:t>Global tenant directory and operational control-plane data SHALL be minimized, pseudonymized where feasible and documented separately from regional shipment data.</w:t>
      </w:r>
    </w:p>
    <w:p>
      <w:pPr>
        <w:keepLines/>
        <w:spacing w:before="0" w:after="60" w:line="240" w:lineRule="auto"/>
        <w:ind w:left="115" w:right="72"/>
      </w:pPr>
      <w:r>
        <w:rPr>
          <w:rFonts w:ascii="Aptos" w:hAnsi="Aptos"/>
          <w:color w:val="52616B"/>
          <w:sz w:val="14"/>
        </w:rPr>
        <w:t>Trigger: Architecture/change  |  Inputs: Data inventory and purpose  |  Output: Allowed control-plane fields  |  Approval: Privacy architecture  |  On failure: Reject excess  |  Evidence: Data-flow record  |  Sources: SRC-PRV-001, SRC-PRV-002, SRC-PRV-003, SRC-PRV-004  |  Test: T-SEC-003</w:t>
      </w:r>
    </w:p>
    <w:p>
      <w:pPr>
        <w:pStyle w:val="ReqTitle"/>
        <w:keepNext/>
        <w:shd w:fill="DDF3F5"/>
      </w:pPr>
      <w:r>
        <w:rPr>
          <w:b/>
          <w:color w:val="16324F"/>
        </w:rPr>
        <w:t>SEC-004  •  Transfer mechanism</w:t>
      </w:r>
      <w:r>
        <w:rPr>
          <w:b/>
          <w:color w:val="0F6B78"/>
          <w:sz w:val="15"/>
        </w:rPr>
        <w:t xml:space="preserve">   [MUST]</w:t>
      </w:r>
    </w:p>
    <w:p>
      <w:pPr>
        <w:keepNext/>
        <w:keepLines/>
        <w:spacing w:before="20" w:after="20" w:line="245" w:lineRule="auto"/>
        <w:ind w:left="115" w:right="72"/>
      </w:pPr>
      <w:r>
        <w:rPr>
          <w:rFonts w:ascii="Aptos" w:hAnsi="Aptos"/>
          <w:color w:val="24313D"/>
          <w:sz w:val="16"/>
        </w:rPr>
        <w:t>Cross-border transfers SHALL resolve a lawful mechanism or permitted exception per exporter/importer jurisdictions, including adequacy, contractual clauses, certification, assessment and supplementary measures where applicable.</w:t>
      </w:r>
    </w:p>
    <w:p>
      <w:pPr>
        <w:keepLines/>
        <w:spacing w:before="0" w:after="60" w:line="240" w:lineRule="auto"/>
        <w:ind w:left="115" w:right="72"/>
      </w:pPr>
      <w:r>
        <w:rPr>
          <w:rFonts w:ascii="Aptos" w:hAnsi="Aptos"/>
          <w:color w:val="52616B"/>
          <w:sz w:val="14"/>
        </w:rPr>
        <w:t>Trigger: Data-flow onboarding/change  |  Inputs: Countries, parties, data, mechanism  |  Output: Approved/blocked transfer  |  Approval: Privacy/legal  |  On failure: Block integration/flow  |  Evidence: Transfer assessment  |  Sources: SRC-PRV-001, SRC-PRV-002, SRC-PRV-003, SRC-PRV-004  |  Test: T-SEC-004</w:t>
      </w:r>
    </w:p>
    <w:p>
      <w:pPr>
        <w:pStyle w:val="ReqTitle"/>
        <w:keepNext/>
        <w:shd w:fill="DDF3F5"/>
      </w:pPr>
      <w:r>
        <w:rPr>
          <w:b/>
          <w:color w:val="16324F"/>
        </w:rPr>
        <w:t>SEC-005  •  Data processing roles</w:t>
      </w:r>
      <w:r>
        <w:rPr>
          <w:b/>
          <w:color w:val="0F6B78"/>
          <w:sz w:val="15"/>
        </w:rPr>
        <w:t xml:space="preserve">   [MUST]</w:t>
      </w:r>
    </w:p>
    <w:p>
      <w:pPr>
        <w:keepNext/>
        <w:keepLines/>
        <w:spacing w:before="20" w:after="20" w:line="245" w:lineRule="auto"/>
        <w:ind w:left="115" w:right="72"/>
      </w:pPr>
      <w:r>
        <w:rPr>
          <w:rFonts w:ascii="Aptos" w:hAnsi="Aptos"/>
          <w:color w:val="24313D"/>
          <w:sz w:val="16"/>
        </w:rPr>
        <w:t>For every processing purpose and integration, controller, joint controller, processor, subprocessor or independent-controller roles SHALL be documented; tenant instructions cannot authorize unlawful processing.</w:t>
      </w:r>
    </w:p>
    <w:p>
      <w:pPr>
        <w:keepLines/>
        <w:spacing w:before="0" w:after="60" w:line="240" w:lineRule="auto"/>
        <w:ind w:left="115" w:right="72"/>
      </w:pPr>
      <w:r>
        <w:rPr>
          <w:rFonts w:ascii="Aptos" w:hAnsi="Aptos"/>
          <w:color w:val="52616B"/>
          <w:sz w:val="14"/>
        </w:rPr>
        <w:t>Trigger: Contract/data-flow change  |  Inputs: Purpose, parties, law  |  Output: Role matrix  |  Approval: Privacy/legal  |  On failure: Block  |  Evidence: Record of processing  |  Sources: SRC-PRV-001, SRC-PRV-002, SRC-PRV-003, SRC-PRV-004  |  Test: T-SEC-005</w:t>
      </w:r>
    </w:p>
    <w:p>
      <w:pPr>
        <w:pStyle w:val="ReqTitle"/>
        <w:keepNext/>
        <w:shd w:fill="DDF3F5"/>
      </w:pPr>
      <w:r>
        <w:rPr>
          <w:b/>
          <w:color w:val="16324F"/>
        </w:rPr>
        <w:t>SEC-006  •  Purpose limitation</w:t>
      </w:r>
      <w:r>
        <w:rPr>
          <w:b/>
          <w:color w:val="0F6B78"/>
          <w:sz w:val="15"/>
        </w:rPr>
        <w:t xml:space="preserve">   [MUST]</w:t>
      </w:r>
    </w:p>
    <w:p>
      <w:pPr>
        <w:keepNext/>
        <w:keepLines/>
        <w:spacing w:before="20" w:after="20" w:line="245" w:lineRule="auto"/>
        <w:ind w:left="115" w:right="72"/>
      </w:pPr>
      <w:r>
        <w:rPr>
          <w:rFonts w:ascii="Aptos" w:hAnsi="Aptos"/>
          <w:color w:val="24313D"/>
          <w:sz w:val="16"/>
        </w:rPr>
        <w:t>Personal data SHALL be collected and used only for documented order, delivery, customs, security, compliance, support, billing and legal purposes; secondary analytics/AI use requires a compatible basis and tenant controls.</w:t>
      </w:r>
    </w:p>
    <w:p>
      <w:pPr>
        <w:keepLines/>
        <w:spacing w:before="0" w:after="60" w:line="240" w:lineRule="auto"/>
        <w:ind w:left="115" w:right="72"/>
      </w:pPr>
      <w:r>
        <w:rPr>
          <w:rFonts w:ascii="Aptos" w:hAnsi="Aptos"/>
          <w:color w:val="52616B"/>
          <w:sz w:val="14"/>
        </w:rPr>
        <w:t>Trigger: Collection/use  |  Inputs: Field and purpose  |  Output: Allowed/denied use  |  Approval: Privacy  |  On failure: Deny  |  Evidence: Purpose trace  |  Sources: SRC-PRV-001, SRC-PRV-002, SRC-PRV-003, SRC-PRV-004  |  Test: T-SEC-006</w:t>
      </w:r>
    </w:p>
    <w:p>
      <w:pPr>
        <w:pStyle w:val="ReqTitle"/>
        <w:keepNext/>
        <w:shd w:fill="DDF3F5"/>
      </w:pPr>
      <w:r>
        <w:rPr>
          <w:b/>
          <w:color w:val="16324F"/>
        </w:rPr>
        <w:t>SEC-007  •  Rights workflow</w:t>
      </w:r>
      <w:r>
        <w:rPr>
          <w:b/>
          <w:color w:val="0F6B78"/>
          <w:sz w:val="15"/>
        </w:rPr>
        <w:t xml:space="preserve">   [MUST]</w:t>
      </w:r>
    </w:p>
    <w:p>
      <w:pPr>
        <w:keepNext/>
        <w:keepLines/>
        <w:spacing w:before="20" w:after="20" w:line="245" w:lineRule="auto"/>
        <w:ind w:left="115" w:right="72"/>
      </w:pPr>
      <w:r>
        <w:rPr>
          <w:rFonts w:ascii="Aptos" w:hAnsi="Aptos"/>
          <w:color w:val="24313D"/>
          <w:sz w:val="16"/>
        </w:rPr>
        <w:t>The platform SHALL support access, correction, deletion, restriction, objection, portability and consent withdrawal as applicable while preserving legal holds and regulatory records; identity verification is required.</w:t>
      </w:r>
    </w:p>
    <w:p>
      <w:pPr>
        <w:keepLines/>
        <w:spacing w:before="0" w:after="60" w:line="240" w:lineRule="auto"/>
        <w:ind w:left="115" w:right="72"/>
      </w:pPr>
      <w:r>
        <w:rPr>
          <w:rFonts w:ascii="Aptos" w:hAnsi="Aptos"/>
          <w:color w:val="52616B"/>
          <w:sz w:val="14"/>
        </w:rPr>
        <w:t>Trigger: Rights request  |  Inputs: Requester, jurisdictions, data locations  |  Output: Completed/limited response  |  Approval: Privacy operations  |  On failure: Escalate overdue  |  Evidence: Case log  |  Sources: SRC-PRV-001, SRC-PRV-002, SRC-PRV-003, SRC-PRV-004  |  Test: T-SEC-007</w:t>
      </w:r>
    </w:p>
    <w:p>
      <w:pPr>
        <w:pStyle w:val="ReqTitle"/>
        <w:keepNext/>
        <w:shd w:fill="DDF3F5"/>
      </w:pPr>
      <w:r>
        <w:rPr>
          <w:b/>
          <w:color w:val="16324F"/>
        </w:rPr>
        <w:t>SEC-008  •  Retention by record class</w:t>
      </w:r>
      <w:r>
        <w:rPr>
          <w:b/>
          <w:color w:val="0F6B78"/>
          <w:sz w:val="15"/>
        </w:rPr>
        <w:t xml:space="preserve">   [MUST]</w:t>
      </w:r>
    </w:p>
    <w:p>
      <w:pPr>
        <w:keepNext/>
        <w:keepLines/>
        <w:spacing w:before="20" w:after="20" w:line="245" w:lineRule="auto"/>
        <w:ind w:left="115" w:right="72"/>
      </w:pPr>
      <w:r>
        <w:rPr>
          <w:rFonts w:ascii="Aptos" w:hAnsi="Aptos"/>
          <w:color w:val="24313D"/>
          <w:sz w:val="16"/>
        </w:rPr>
        <w:t>Retention SHALL be computed from customs, tax, DG, aviation, sanctions, contract, claims and privacy rules per country pack and tenant policy; legal holds override deletion with scope and expiry review.</w:t>
      </w:r>
    </w:p>
    <w:p>
      <w:pPr>
        <w:keepLines/>
        <w:spacing w:before="0" w:after="60" w:line="240" w:lineRule="auto"/>
        <w:ind w:left="115" w:right="72"/>
      </w:pPr>
      <w:r>
        <w:rPr>
          <w:rFonts w:ascii="Aptos" w:hAnsi="Aptos"/>
          <w:color w:val="52616B"/>
          <w:sz w:val="14"/>
        </w:rPr>
        <w:t>Trigger: Record creation/change  |  Inputs: Record class, jurisdictions, holds  |  Output: Retention/destruction date  |  Approval: Records governance  |  On failure: No deletion if unknown/held  |  Evidence: Schedule/version  |  Sources: SRC-PRV-001, SRC-PRV-002, SRC-PRV-003, SRC-PRV-004  |  Test: T-SEC-008</w:t>
      </w:r>
    </w:p>
    <w:p>
      <w:pPr>
        <w:pStyle w:val="ReqTitle"/>
        <w:keepNext/>
        <w:shd w:fill="DDF3F5"/>
      </w:pPr>
      <w:r>
        <w:rPr>
          <w:b/>
          <w:color w:val="16324F"/>
        </w:rPr>
        <w:t>SEC-009  •  Secure deletion</w:t>
      </w:r>
      <w:r>
        <w:rPr>
          <w:b/>
          <w:color w:val="0F6B78"/>
          <w:sz w:val="15"/>
        </w:rPr>
        <w:t xml:space="preserve">   [MUST]</w:t>
      </w:r>
    </w:p>
    <w:p>
      <w:pPr>
        <w:keepNext/>
        <w:keepLines/>
        <w:spacing w:before="20" w:after="20" w:line="245" w:lineRule="auto"/>
        <w:ind w:left="115" w:right="72"/>
      </w:pPr>
      <w:r>
        <w:rPr>
          <w:rFonts w:ascii="Aptos" w:hAnsi="Aptos"/>
          <w:color w:val="24313D"/>
          <w:sz w:val="16"/>
        </w:rPr>
        <w:t>At retention expiry, active copies, search indexes and derived stores SHALL be deleted or irreversibly anonymized; backup expiry shall be documented and deletion evidence retained.</w:t>
      </w:r>
    </w:p>
    <w:p>
      <w:pPr>
        <w:keepLines/>
        <w:spacing w:before="0" w:after="60" w:line="240" w:lineRule="auto"/>
        <w:ind w:left="115" w:right="72"/>
      </w:pPr>
      <w:r>
        <w:rPr>
          <w:rFonts w:ascii="Aptos" w:hAnsi="Aptos"/>
          <w:color w:val="52616B"/>
          <w:sz w:val="14"/>
        </w:rPr>
        <w:t>Trigger: Scheduled deletion  |  Inputs: Record and backup policies  |  Output: Deleted/anonymized  |  Approval: Automated  |  On failure: Retry/escalate  |  Evidence: Deletion certificate  |  Sources: SRC-PRV-001, SRC-PRV-002, SRC-PRV-003, SRC-PRV-004  |  Test: T-SEC-009</w:t>
      </w:r>
    </w:p>
    <w:p>
      <w:pPr>
        <w:pStyle w:val="ReqTitle"/>
        <w:keepNext/>
        <w:shd w:fill="DDF3F5"/>
      </w:pPr>
      <w:r>
        <w:rPr>
          <w:b/>
          <w:color w:val="16324F"/>
        </w:rPr>
        <w:t>SEC-010  •  Encryption and key locality</w:t>
      </w:r>
      <w:r>
        <w:rPr>
          <w:b/>
          <w:color w:val="0F6B78"/>
          <w:sz w:val="15"/>
        </w:rPr>
        <w:t xml:space="preserve">   [MUST]</w:t>
      </w:r>
    </w:p>
    <w:p>
      <w:pPr>
        <w:keepNext/>
        <w:keepLines/>
        <w:spacing w:before="20" w:after="20" w:line="245" w:lineRule="auto"/>
        <w:ind w:left="115" w:right="72"/>
      </w:pPr>
      <w:r>
        <w:rPr>
          <w:rFonts w:ascii="Aptos" w:hAnsi="Aptos"/>
          <w:color w:val="24313D"/>
          <w:sz w:val="16"/>
        </w:rPr>
        <w:t>Sensitive data SHALL use encryption in transit and at rest with managed keys, separation of duties, rotation, revocation and regional key placement where required.</w:t>
      </w:r>
    </w:p>
    <w:p>
      <w:pPr>
        <w:keepLines/>
        <w:spacing w:before="0" w:after="60" w:line="240" w:lineRule="auto"/>
        <w:ind w:left="115" w:right="72"/>
      </w:pPr>
      <w:r>
        <w:rPr>
          <w:rFonts w:ascii="Aptos" w:hAnsi="Aptos"/>
          <w:color w:val="52616B"/>
          <w:sz w:val="14"/>
        </w:rPr>
        <w:t>Trigger: Storage/transfer  |  Inputs: Data class and region  |  Output: Encrypted/blocked  |  Approval: Security  |  On failure: Block sensitive operation  |  Evidence: Key/access audit  |  Sources: SRC-PRV-001, SRC-PRV-002, SRC-PRV-003, SRC-PRV-004  |  Test: T-SEC-010</w:t>
      </w:r>
    </w:p>
    <w:p>
      <w:pPr>
        <w:pStyle w:val="ReqTitle"/>
        <w:keepNext/>
        <w:shd w:fill="DDF3F5"/>
      </w:pPr>
      <w:r>
        <w:rPr>
          <w:b/>
          <w:color w:val="16324F"/>
        </w:rPr>
        <w:t>SEC-011  •  Sensitive identifiers</w:t>
      </w:r>
      <w:r>
        <w:rPr>
          <w:b/>
          <w:color w:val="0F6B78"/>
          <w:sz w:val="15"/>
        </w:rPr>
        <w:t xml:space="preserve">   [MUST]</w:t>
      </w:r>
    </w:p>
    <w:p>
      <w:pPr>
        <w:keepNext/>
        <w:keepLines/>
        <w:spacing w:before="20" w:after="20" w:line="245" w:lineRule="auto"/>
        <w:ind w:left="115" w:right="72"/>
      </w:pPr>
      <w:r>
        <w:rPr>
          <w:rFonts w:ascii="Aptos" w:hAnsi="Aptos"/>
          <w:color w:val="24313D"/>
          <w:sz w:val="16"/>
        </w:rPr>
        <w:t>Passport, national ID, tax ID, date of birth, signatures and screening evidence SHALL have field-level masking/tokenization, restricted roles, controlled exports and enhanced audit.</w:t>
      </w:r>
    </w:p>
    <w:p>
      <w:pPr>
        <w:keepLines/>
        <w:spacing w:before="0" w:after="60" w:line="240" w:lineRule="auto"/>
        <w:ind w:left="115" w:right="72"/>
      </w:pPr>
      <w:r>
        <w:rPr>
          <w:rFonts w:ascii="Aptos" w:hAnsi="Aptos"/>
          <w:color w:val="52616B"/>
          <w:sz w:val="14"/>
        </w:rPr>
        <w:t>Trigger: Data use  |  Inputs: Field class and purpose  |  Output: Redacted/full access  |  Approval: Automated  |  On failure: Deny  |  Evidence: Access event  |  Sources: SRC-PRV-001, SRC-PRV-002, SRC-PRV-003, SRC-PRV-004  |  Test: T-SEC-011</w:t>
      </w:r>
    </w:p>
    <w:p>
      <w:pPr>
        <w:pStyle w:val="ReqTitle"/>
        <w:keepNext/>
        <w:shd w:fill="DDF3F5"/>
      </w:pPr>
      <w:r>
        <w:rPr>
          <w:b/>
          <w:color w:val="16324F"/>
        </w:rPr>
        <w:t>SEC-012  •  Secure upload/content processing</w:t>
      </w:r>
      <w:r>
        <w:rPr>
          <w:b/>
          <w:color w:val="0F6B78"/>
          <w:sz w:val="15"/>
        </w:rPr>
        <w:t xml:space="preserve">   [MUST]</w:t>
      </w:r>
    </w:p>
    <w:p>
      <w:pPr>
        <w:keepNext/>
        <w:keepLines/>
        <w:spacing w:before="20" w:after="20" w:line="245" w:lineRule="auto"/>
        <w:ind w:left="115" w:right="72"/>
      </w:pPr>
      <w:r>
        <w:rPr>
          <w:rFonts w:ascii="Aptos" w:hAnsi="Aptos"/>
          <w:color w:val="24313D"/>
          <w:sz w:val="16"/>
        </w:rPr>
        <w:t>Uploaded invoices, permits, SDS and IDs SHALL be malware scanned, type/size checked, encrypted, tenant-scoped and protected against prompt/document injection before extraction or human display.</w:t>
      </w:r>
    </w:p>
    <w:p>
      <w:pPr>
        <w:keepLines/>
        <w:spacing w:before="0" w:after="60" w:line="240" w:lineRule="auto"/>
        <w:ind w:left="115" w:right="72"/>
      </w:pPr>
      <w:r>
        <w:rPr>
          <w:rFonts w:ascii="Aptos" w:hAnsi="Aptos"/>
          <w:color w:val="52616B"/>
          <w:sz w:val="14"/>
        </w:rPr>
        <w:t>Trigger: File upload  |  Inputs: File and tenant  |  Output: Accepted/quarantined  |  Approval: Automated  |  On failure: Quarantine  |  Evidence: Scan/extraction log  |  Sources: SRC-PRV-001, SRC-PRV-002, SRC-PRV-003, SRC-PRV-004  |  Test: T-SEC-012</w:t>
      </w:r>
    </w:p>
    <w:p>
      <w:pPr>
        <w:pStyle w:val="ReqTitle"/>
        <w:keepNext/>
        <w:shd w:fill="DDF3F5"/>
      </w:pPr>
      <w:r>
        <w:rPr>
          <w:b/>
          <w:color w:val="16324F"/>
        </w:rPr>
        <w:t>SEC-013  •  Breach response</w:t>
      </w:r>
      <w:r>
        <w:rPr>
          <w:b/>
          <w:color w:val="0F6B78"/>
          <w:sz w:val="15"/>
        </w:rPr>
        <w:t xml:space="preserve">   [MUST]</w:t>
      </w:r>
    </w:p>
    <w:p>
      <w:pPr>
        <w:keepNext/>
        <w:keepLines/>
        <w:spacing w:before="20" w:after="20" w:line="245" w:lineRule="auto"/>
        <w:ind w:left="115" w:right="72"/>
      </w:pPr>
      <w:r>
        <w:rPr>
          <w:rFonts w:ascii="Aptos" w:hAnsi="Aptos"/>
          <w:color w:val="24313D"/>
          <w:sz w:val="16"/>
        </w:rPr>
        <w:t>Security incidents SHALL support detection, containment, tenant/subprocessor assessment, affected-person/data mapping, jurisdiction-specific notification deadlines, evidence and post-incident actions.</w:t>
      </w:r>
    </w:p>
    <w:p>
      <w:pPr>
        <w:keepLines/>
        <w:spacing w:before="0" w:after="60" w:line="240" w:lineRule="auto"/>
        <w:ind w:left="115" w:right="72"/>
      </w:pPr>
      <w:r>
        <w:rPr>
          <w:rFonts w:ascii="Aptos" w:hAnsi="Aptos"/>
          <w:color w:val="52616B"/>
          <w:sz w:val="14"/>
        </w:rPr>
        <w:t>Trigger: Incident  |  Inputs: Systems/data/jurisdictions  |  Output: Incident workflow  |  Approval: Security/privacy/legal  |  On failure: Escalate immediately  |  Evidence: Incident dossier  |  Sources: SRC-PRV-001, SRC-PRV-002, SRC-PRV-003, SRC-PRV-004  |  Test: T-SEC-013</w:t>
      </w:r>
    </w:p>
    <w:p>
      <w:pPr>
        <w:pStyle w:val="ReqTitle"/>
        <w:keepNext/>
        <w:shd w:fill="DDF3F5"/>
      </w:pPr>
      <w:r>
        <w:rPr>
          <w:b/>
          <w:color w:val="16324F"/>
        </w:rPr>
        <w:t>SEC-014  •  Audit-log protection</w:t>
      </w:r>
      <w:r>
        <w:rPr>
          <w:b/>
          <w:color w:val="0F6B78"/>
          <w:sz w:val="15"/>
        </w:rPr>
        <w:t xml:space="preserve">   [MUST]</w:t>
      </w:r>
    </w:p>
    <w:p>
      <w:pPr>
        <w:keepNext/>
        <w:keepLines/>
        <w:spacing w:before="20" w:after="20" w:line="245" w:lineRule="auto"/>
        <w:ind w:left="115" w:right="72"/>
      </w:pPr>
      <w:r>
        <w:rPr>
          <w:rFonts w:ascii="Aptos" w:hAnsi="Aptos"/>
          <w:color w:val="24313D"/>
          <w:sz w:val="16"/>
        </w:rPr>
        <w:t>Security and compliance audit logs SHALL be append-only/tamper-evident, time-synchronized, access-restricted, regionally handled and monitored for gaps or alteration.</w:t>
      </w:r>
    </w:p>
    <w:p>
      <w:pPr>
        <w:keepLines/>
        <w:spacing w:before="0" w:after="60" w:line="240" w:lineRule="auto"/>
        <w:ind w:left="115" w:right="72"/>
      </w:pPr>
      <w:r>
        <w:rPr>
          <w:rFonts w:ascii="Aptos" w:hAnsi="Aptos"/>
          <w:color w:val="52616B"/>
          <w:sz w:val="14"/>
        </w:rPr>
        <w:t>Trigger: Every auditable event  |  Inputs: Actor/resource/result/time  |  Output: Durable audit entry  |  Approval: Automated  |  On failure: Block high-risk transaction if audit unavailable  |  Evidence: Hash chain/monitor  |  Sources: SRC-PRV-001, SRC-PRV-002, SRC-PRV-003, SRC-PRV-004  |  Test: T-SEC-014</w:t>
      </w:r>
    </w:p>
    <w:p>
      <w:pPr>
        <w:pStyle w:val="ReqTitle"/>
        <w:keepNext/>
        <w:shd w:fill="DDF3F5"/>
      </w:pPr>
      <w:r>
        <w:rPr>
          <w:b/>
          <w:color w:val="16324F"/>
        </w:rPr>
        <w:t>SEC-015  •  Support access</w:t>
      </w:r>
      <w:r>
        <w:rPr>
          <w:b/>
          <w:color w:val="0F6B78"/>
          <w:sz w:val="15"/>
        </w:rPr>
        <w:t xml:space="preserve">   [MUST]</w:t>
      </w:r>
    </w:p>
    <w:p>
      <w:pPr>
        <w:keepNext/>
        <w:keepLines/>
        <w:spacing w:before="20" w:after="20" w:line="245" w:lineRule="auto"/>
        <w:ind w:left="115" w:right="72"/>
      </w:pPr>
      <w:r>
        <w:rPr>
          <w:rFonts w:ascii="Aptos" w:hAnsi="Aptos"/>
          <w:color w:val="24313D"/>
          <w:sz w:val="16"/>
        </w:rPr>
        <w:t>Production support access SHALL require just-in-time approval, strong authentication, tenant/scope/reason, session recording where lawful, regional restrictions and automatic expiry.</w:t>
      </w:r>
    </w:p>
    <w:p>
      <w:pPr>
        <w:keepLines/>
        <w:spacing w:before="0" w:after="60" w:line="240" w:lineRule="auto"/>
        <w:ind w:left="115" w:right="72"/>
      </w:pPr>
      <w:r>
        <w:rPr>
          <w:rFonts w:ascii="Aptos" w:hAnsi="Aptos"/>
          <w:color w:val="52616B"/>
          <w:sz w:val="14"/>
        </w:rPr>
        <w:t>Trigger: Support request  |  Inputs: Ticket, approver, target  |  Output: Time-bound session  |  Approval: Authorized approver  |  On failure: Deny  |  Evidence: Session audit  |  Sources: SRC-PRV-001, SRC-PRV-002, SRC-PRV-003, SRC-PRV-004  |  Test: T-SEC-015</w:t>
      </w:r>
    </w:p>
    <w:p>
      <w:pPr>
        <w:pStyle w:val="ReqTitle"/>
        <w:keepNext/>
        <w:shd w:fill="DDF3F5"/>
      </w:pPr>
      <w:r>
        <w:rPr>
          <w:b/>
          <w:color w:val="16324F"/>
        </w:rPr>
        <w:t>SEC-016  •  Secure development</w:t>
      </w:r>
      <w:r>
        <w:rPr>
          <w:b/>
          <w:color w:val="0F6B78"/>
          <w:sz w:val="15"/>
        </w:rPr>
        <w:t xml:space="preserve">   [MUST]</w:t>
      </w:r>
    </w:p>
    <w:p>
      <w:pPr>
        <w:keepNext/>
        <w:keepLines/>
        <w:spacing w:before="20" w:after="20" w:line="245" w:lineRule="auto"/>
        <w:ind w:left="115" w:right="72"/>
      </w:pPr>
      <w:r>
        <w:rPr>
          <w:rFonts w:ascii="Aptos" w:hAnsi="Aptos"/>
          <w:color w:val="24313D"/>
          <w:sz w:val="16"/>
        </w:rPr>
        <w:t>Threat modeling, code review, dependency/SBOM management, SAST/DAST, secret scanning, penetration tests and remediation SLAs SHALL be release gates for compliance-critical services and adapters.</w:t>
      </w:r>
    </w:p>
    <w:p>
      <w:pPr>
        <w:keepLines/>
        <w:spacing w:before="0" w:after="60" w:line="240" w:lineRule="auto"/>
        <w:ind w:left="115" w:right="72"/>
      </w:pPr>
      <w:r>
        <w:rPr>
          <w:rFonts w:ascii="Aptos" w:hAnsi="Aptos"/>
          <w:color w:val="52616B"/>
          <w:sz w:val="14"/>
        </w:rPr>
        <w:t>Trigger: Build/release  |  Inputs: Code/artifacts/test results  |  Output: Release allowed/blocked  |  Approval: Security engineering  |  On failure: Block release  |  Evidence: CI/security evidence  |  Sources: SRC-PRV-001, SRC-PRV-002, SRC-PRV-003, SRC-PRV-004  |  Test: T-SEC-016</w:t>
      </w:r>
    </w:p>
    <w:p>
      <w:pPr>
        <w:pStyle w:val="ReqTitle"/>
        <w:keepNext/>
        <w:shd w:fill="DDF3F5"/>
      </w:pPr>
      <w:r>
        <w:rPr>
          <w:b/>
          <w:color w:val="16324F"/>
        </w:rPr>
        <w:t>SEC-017  •  Availability and recovery</w:t>
      </w:r>
      <w:r>
        <w:rPr>
          <w:b/>
          <w:color w:val="0F6B78"/>
          <w:sz w:val="15"/>
        </w:rPr>
        <w:t xml:space="preserve">   [MUST]</w:t>
      </w:r>
    </w:p>
    <w:p>
      <w:pPr>
        <w:keepNext/>
        <w:keepLines/>
        <w:spacing w:before="20" w:after="20" w:line="245" w:lineRule="auto"/>
        <w:ind w:left="115" w:right="72"/>
      </w:pPr>
      <w:r>
        <w:rPr>
          <w:rFonts w:ascii="Aptos" w:hAnsi="Aptos"/>
          <w:color w:val="24313D"/>
          <w:sz w:val="16"/>
        </w:rPr>
        <w:t>Each region SHALL have documented RTO/RPO, backup/restore tests and legal review of disaster-recovery replication; failover may not silently violate residency or use stale rules.</w:t>
      </w:r>
    </w:p>
    <w:p>
      <w:pPr>
        <w:keepLines/>
        <w:spacing w:before="0" w:after="60" w:line="240" w:lineRule="auto"/>
        <w:ind w:left="115" w:right="72"/>
      </w:pPr>
      <w:r>
        <w:rPr>
          <w:rFonts w:ascii="Aptos" w:hAnsi="Aptos"/>
          <w:color w:val="52616B"/>
          <w:sz w:val="14"/>
        </w:rPr>
        <w:t>Trigger: DR design/test/event  |  Inputs: Tenant region, replicas, data/rules  |  Output: Approved failover  |  Approval: Security/privacy/operations  |  On failure: Degraded/blocked  |  Evidence: DR test  |  Sources: SRC-PRV-001, SRC-PRV-002, SRC-PRV-003, SRC-PRV-004  |  Test: T-SEC-017</w:t>
      </w:r>
    </w:p>
    <w:p>
      <w:pPr>
        <w:pStyle w:val="ReqTitle"/>
        <w:keepNext/>
        <w:shd w:fill="DDF3F5"/>
      </w:pPr>
      <w:r>
        <w:rPr>
          <w:b/>
          <w:color w:val="16324F"/>
        </w:rPr>
        <w:t>SEC-018  •  Regional subprocessor inventory</w:t>
      </w:r>
      <w:r>
        <w:rPr>
          <w:b/>
          <w:color w:val="0F6B78"/>
          <w:sz w:val="15"/>
        </w:rPr>
        <w:t xml:space="preserve">   [MUST]</w:t>
      </w:r>
    </w:p>
    <w:p>
      <w:pPr>
        <w:keepNext/>
        <w:keepLines/>
        <w:spacing w:before="20" w:after="20" w:line="245" w:lineRule="auto"/>
        <w:ind w:left="115" w:right="72"/>
      </w:pPr>
      <w:r>
        <w:rPr>
          <w:rFonts w:ascii="Aptos" w:hAnsi="Aptos"/>
          <w:color w:val="24313D"/>
          <w:sz w:val="16"/>
        </w:rPr>
        <w:t>Subprocessors, service locations, data categories, purposes, transfer mechanisms and change notices SHALL be maintained per tenant region and contract.</w:t>
      </w:r>
    </w:p>
    <w:p>
      <w:pPr>
        <w:keepLines/>
        <w:spacing w:before="0" w:after="60" w:line="240" w:lineRule="auto"/>
        <w:ind w:left="115" w:right="72"/>
      </w:pPr>
      <w:r>
        <w:rPr>
          <w:rFonts w:ascii="Aptos" w:hAnsi="Aptos"/>
          <w:color w:val="52616B"/>
          <w:sz w:val="14"/>
        </w:rPr>
        <w:t>Trigger: Vendor/change  |  Inputs: Vendor data flow  |  Output: Approved inventory  |  Approval: Vendor/privacy  |  On failure: Block vendor use  |  Evidence: Assessment/contracts  |  Sources: SRC-PRV-001, SRC-PRV-002, SRC-PRV-003, SRC-PRV-004  |  Test: T-SEC-018</w:t>
      </w:r>
    </w:p>
    <w:p>
      <w:pPr>
        <w:pStyle w:val="Heading2"/>
        <w:keepNext/>
      </w:pPr>
      <w:r>
        <w:t>20.13 Platform, audit &amp; assurance (24 controls)</w:t>
      </w:r>
    </w:p>
    <w:p>
      <w:pPr>
        <w:pStyle w:val="ReqTitle"/>
        <w:keepNext/>
        <w:shd w:fill="DDF3F5"/>
      </w:pPr>
      <w:r>
        <w:rPr>
          <w:b/>
          <w:color w:val="16324F"/>
        </w:rPr>
        <w:t>PLT-001  •  Canonical shipment version</w:t>
      </w:r>
      <w:r>
        <w:rPr>
          <w:b/>
          <w:color w:val="0F6B78"/>
          <w:sz w:val="15"/>
        </w:rPr>
        <w:t xml:space="preserve">   [MUST]</w:t>
      </w:r>
    </w:p>
    <w:p>
      <w:pPr>
        <w:keepNext/>
        <w:keepLines/>
        <w:spacing w:before="20" w:after="20" w:line="245" w:lineRule="auto"/>
        <w:ind w:left="115" w:right="72"/>
      </w:pPr>
      <w:r>
        <w:rPr>
          <w:rFonts w:ascii="Aptos" w:hAnsi="Aptos"/>
          <w:color w:val="24313D"/>
          <w:sz w:val="16"/>
        </w:rPr>
        <w:t>Every mutation SHALL create a version or immutable event sufficient to establish the exact data used for quote, approval, label, document, filing, manifest and handover.</w:t>
      </w:r>
    </w:p>
    <w:p>
      <w:pPr>
        <w:keepLines/>
        <w:spacing w:before="0" w:after="60" w:line="240" w:lineRule="auto"/>
        <w:ind w:left="115" w:right="72"/>
      </w:pPr>
      <w:r>
        <w:rPr>
          <w:rFonts w:ascii="Aptos" w:hAnsi="Aptos"/>
          <w:color w:val="52616B"/>
          <w:sz w:val="14"/>
        </w:rPr>
        <w:t>Trigger: Shipment update  |  Inputs: Prior/new payload  |  Output: Versioned shipment  |  Approval: Automated  |  On failure: Reject mutation if versioning fails  |  Evidence: Version/event  |  Sources: SRC-CUS-001, SRC-DAT-004, SRC-PRV-002  |  Test: T-PLT-001</w:t>
      </w:r>
    </w:p>
    <w:p>
      <w:pPr>
        <w:pStyle w:val="ReqTitle"/>
        <w:keepNext/>
        <w:shd w:fill="DDF3F5"/>
      </w:pPr>
      <w:r>
        <w:rPr>
          <w:b/>
          <w:color w:val="16324F"/>
        </w:rPr>
        <w:t>PLT-002  •  State machine</w:t>
      </w:r>
      <w:r>
        <w:rPr>
          <w:b/>
          <w:color w:val="0F6B78"/>
          <w:sz w:val="15"/>
        </w:rPr>
        <w:t xml:space="preserve">   [MUST]</w:t>
      </w:r>
    </w:p>
    <w:p>
      <w:pPr>
        <w:keepNext/>
        <w:keepLines/>
        <w:spacing w:before="20" w:after="20" w:line="245" w:lineRule="auto"/>
        <w:ind w:left="115" w:right="72"/>
      </w:pPr>
      <w:r>
        <w:rPr>
          <w:rFonts w:ascii="Aptos" w:hAnsi="Aptos"/>
          <w:color w:val="24313D"/>
          <w:sz w:val="16"/>
        </w:rPr>
        <w:t>Shipment, package, declaration, screening, approval, booking, manifest and custody states SHALL have permitted transitions, guards and compensating actions; free-form status edits are prohibited.</w:t>
      </w:r>
    </w:p>
    <w:p>
      <w:pPr>
        <w:keepLines/>
        <w:spacing w:before="0" w:after="60" w:line="240" w:lineRule="auto"/>
        <w:ind w:left="115" w:right="72"/>
      </w:pPr>
      <w:r>
        <w:rPr>
          <w:rFonts w:ascii="Aptos" w:hAnsi="Aptos"/>
          <w:color w:val="52616B"/>
          <w:sz w:val="14"/>
        </w:rPr>
        <w:t>Trigger: State change  |  Inputs: Current state, event, actor  |  Output: Permitted new state  |  Approval: Automated  |  On failure: Reject/alert  |  Evidence: Transition event  |  Sources: SRC-CUS-001, SRC-DAT-004, SRC-PRV-002  |  Test: T-PLT-002</w:t>
      </w:r>
    </w:p>
    <w:p>
      <w:pPr>
        <w:pStyle w:val="ReqTitle"/>
        <w:keepNext/>
        <w:shd w:fill="DDF3F5"/>
      </w:pPr>
      <w:r>
        <w:rPr>
          <w:b/>
          <w:color w:val="16324F"/>
        </w:rPr>
        <w:t>PLT-003  •  Event integrity</w:t>
      </w:r>
      <w:r>
        <w:rPr>
          <w:b/>
          <w:color w:val="0F6B78"/>
          <w:sz w:val="15"/>
        </w:rPr>
        <w:t xml:space="preserve">   [MUST]</w:t>
      </w:r>
    </w:p>
    <w:p>
      <w:pPr>
        <w:keepNext/>
        <w:keepLines/>
        <w:spacing w:before="20" w:after="20" w:line="245" w:lineRule="auto"/>
        <w:ind w:left="115" w:right="72"/>
      </w:pPr>
      <w:r>
        <w:rPr>
          <w:rFonts w:ascii="Aptos" w:hAnsi="Aptos"/>
          <w:color w:val="24313D"/>
          <w:sz w:val="16"/>
        </w:rPr>
        <w:t>Events SHALL have globally unique IDs, tenant, aggregate/version, occurrence/receipt time, actor/source, correlation/causation IDs, schema version and integrity hash.</w:t>
      </w:r>
    </w:p>
    <w:p>
      <w:pPr>
        <w:keepLines/>
        <w:spacing w:before="0" w:after="60" w:line="240" w:lineRule="auto"/>
        <w:ind w:left="115" w:right="72"/>
      </w:pPr>
      <w:r>
        <w:rPr>
          <w:rFonts w:ascii="Aptos" w:hAnsi="Aptos"/>
          <w:color w:val="52616B"/>
          <w:sz w:val="14"/>
        </w:rPr>
        <w:t>Trigger: Event emission  |  Inputs: Context  |  Output: Valid event  |  Approval: Automated  |  On failure: Fail transaction or durable outbox  |  Evidence: Event record  |  Sources: SRC-CUS-001, SRC-DAT-004, SRC-PRV-002  |  Test: T-PLT-003</w:t>
      </w:r>
    </w:p>
    <w:p>
      <w:pPr>
        <w:pStyle w:val="ReqTitle"/>
        <w:keepNext/>
        <w:shd w:fill="DDF3F5"/>
      </w:pPr>
      <w:r>
        <w:rPr>
          <w:b/>
          <w:color w:val="16324F"/>
        </w:rPr>
        <w:t>PLT-004  •  Transactional outbox</w:t>
      </w:r>
      <w:r>
        <w:rPr>
          <w:b/>
          <w:color w:val="0F6B78"/>
          <w:sz w:val="15"/>
        </w:rPr>
        <w:t xml:space="preserve">   [MUST]</w:t>
      </w:r>
    </w:p>
    <w:p>
      <w:pPr>
        <w:keepNext/>
        <w:keepLines/>
        <w:spacing w:before="20" w:after="20" w:line="245" w:lineRule="auto"/>
        <w:ind w:left="115" w:right="72"/>
      </w:pPr>
      <w:r>
        <w:rPr>
          <w:rFonts w:ascii="Aptos" w:hAnsi="Aptos"/>
          <w:color w:val="24313D"/>
          <w:sz w:val="16"/>
        </w:rPr>
        <w:t>Compliance decisions and externally visible operations SHALL use transactional outbox/inbox or equivalent guarantees so database commit and message publication cannot diverge silently.</w:t>
      </w:r>
    </w:p>
    <w:p>
      <w:pPr>
        <w:keepLines/>
        <w:spacing w:before="0" w:after="60" w:line="240" w:lineRule="auto"/>
        <w:ind w:left="115" w:right="72"/>
      </w:pPr>
      <w:r>
        <w:rPr>
          <w:rFonts w:ascii="Aptos" w:hAnsi="Aptos"/>
          <w:color w:val="52616B"/>
          <w:sz w:val="14"/>
        </w:rPr>
        <w:t>Trigger: Command/event  |  Inputs: Transaction and message  |  Output: Durable eventual delivery  |  Approval: Automated  |  On failure: Retry/hold  |  Evidence: Outbox/inbox records  |  Sources: SRC-CUS-001, SRC-DAT-004, SRC-PRV-002  |  Test: T-PLT-004</w:t>
      </w:r>
    </w:p>
    <w:p>
      <w:pPr>
        <w:pStyle w:val="ReqTitle"/>
        <w:keepNext/>
        <w:shd w:fill="DDF3F5"/>
      </w:pPr>
      <w:r>
        <w:rPr>
          <w:b/>
          <w:color w:val="16324F"/>
        </w:rPr>
        <w:t>PLT-005  •  Concurrency control</w:t>
      </w:r>
      <w:r>
        <w:rPr>
          <w:b/>
          <w:color w:val="0F6B78"/>
          <w:sz w:val="15"/>
        </w:rPr>
        <w:t xml:space="preserve">   [MUST]</w:t>
      </w:r>
    </w:p>
    <w:p>
      <w:pPr>
        <w:keepNext/>
        <w:keepLines/>
        <w:spacing w:before="20" w:after="20" w:line="245" w:lineRule="auto"/>
        <w:ind w:left="115" w:right="72"/>
      </w:pPr>
      <w:r>
        <w:rPr>
          <w:rFonts w:ascii="Aptos" w:hAnsi="Aptos"/>
          <w:color w:val="24313D"/>
          <w:sz w:val="16"/>
        </w:rPr>
        <w:t>Optimistic locking/idempotency SHALL prevent stale users/jobs from overwriting newer approvals, documents, inventory, licence balances or carrier states.</w:t>
      </w:r>
    </w:p>
    <w:p>
      <w:pPr>
        <w:keepLines/>
        <w:spacing w:before="0" w:after="60" w:line="240" w:lineRule="auto"/>
        <w:ind w:left="115" w:right="72"/>
      </w:pPr>
      <w:r>
        <w:rPr>
          <w:rFonts w:ascii="Aptos" w:hAnsi="Aptos"/>
          <w:color w:val="52616B"/>
          <w:sz w:val="14"/>
        </w:rPr>
        <w:t>Trigger: Concurrent update  |  Inputs: Expected version  |  Output: Accepted/conflict  |  Approval: Automated  |  On failure: Reject conflict  |  Evidence: Conflict event  |  Sources: SRC-CUS-001, SRC-DAT-004, SRC-PRV-002  |  Test: T-PLT-005</w:t>
      </w:r>
    </w:p>
    <w:p>
      <w:pPr>
        <w:pStyle w:val="ReqTitle"/>
        <w:keepNext/>
        <w:shd w:fill="DDF3F5"/>
      </w:pPr>
      <w:r>
        <w:rPr>
          <w:b/>
          <w:color w:val="16324F"/>
        </w:rPr>
        <w:t>PLT-006  •  API authorization</w:t>
      </w:r>
      <w:r>
        <w:rPr>
          <w:b/>
          <w:color w:val="0F6B78"/>
          <w:sz w:val="15"/>
        </w:rPr>
        <w:t xml:space="preserve">   [MUST]</w:t>
      </w:r>
    </w:p>
    <w:p>
      <w:pPr>
        <w:keepNext/>
        <w:keepLines/>
        <w:spacing w:before="20" w:after="20" w:line="245" w:lineRule="auto"/>
        <w:ind w:left="115" w:right="72"/>
      </w:pPr>
      <w:r>
        <w:rPr>
          <w:rFonts w:ascii="Aptos" w:hAnsi="Aptos"/>
          <w:color w:val="24313D"/>
          <w:sz w:val="16"/>
        </w:rPr>
        <w:t>Every API SHALL enforce tenant, actor/service identity, purpose/role, object ownership, field-level policy and rate limits; IDs alone never authorize access.</w:t>
      </w:r>
    </w:p>
    <w:p>
      <w:pPr>
        <w:keepLines/>
        <w:spacing w:before="0" w:after="60" w:line="240" w:lineRule="auto"/>
        <w:ind w:left="115" w:right="72"/>
      </w:pPr>
      <w:r>
        <w:rPr>
          <w:rFonts w:ascii="Aptos" w:hAnsi="Aptos"/>
          <w:color w:val="52616B"/>
          <w:sz w:val="14"/>
        </w:rPr>
        <w:t>Trigger: API call  |  Inputs: Token/context/resource  |  Output: Permit/deny  |  Approval: Automated  |  On failure: Deny  |  Evidence: Access log  |  Sources: SRC-CUS-001, SRC-DAT-004, SRC-PRV-002  |  Test: T-PLT-006</w:t>
      </w:r>
    </w:p>
    <w:p>
      <w:pPr>
        <w:pStyle w:val="ReqTitle"/>
        <w:keepNext/>
        <w:shd w:fill="DDF3F5"/>
      </w:pPr>
      <w:r>
        <w:rPr>
          <w:b/>
          <w:color w:val="16324F"/>
        </w:rPr>
        <w:t>PLT-007  •  API schema compatibility</w:t>
      </w:r>
      <w:r>
        <w:rPr>
          <w:b/>
          <w:color w:val="0F6B78"/>
          <w:sz w:val="15"/>
        </w:rPr>
        <w:t xml:space="preserve">   [MUST]</w:t>
      </w:r>
    </w:p>
    <w:p>
      <w:pPr>
        <w:keepNext/>
        <w:keepLines/>
        <w:spacing w:before="20" w:after="20" w:line="245" w:lineRule="auto"/>
        <w:ind w:left="115" w:right="72"/>
      </w:pPr>
      <w:r>
        <w:rPr>
          <w:rFonts w:ascii="Aptos" w:hAnsi="Aptos"/>
          <w:color w:val="24313D"/>
          <w:sz w:val="16"/>
        </w:rPr>
        <w:t>Schemas SHALL be versioned with backward-compatibility policy, deprecation notice, consumer inventory and contract tests; compliance fields may not be silently dropped.</w:t>
      </w:r>
    </w:p>
    <w:p>
      <w:pPr>
        <w:keepLines/>
        <w:spacing w:before="0" w:after="60" w:line="240" w:lineRule="auto"/>
        <w:ind w:left="115" w:right="72"/>
      </w:pPr>
      <w:r>
        <w:rPr>
          <w:rFonts w:ascii="Aptos" w:hAnsi="Aptos"/>
          <w:color w:val="52616B"/>
          <w:sz w:val="14"/>
        </w:rPr>
        <w:t>Trigger: Release  |  Inputs: Schema diff and consumers  |  Output: Compatible/migration required  |  Approval: Architecture  |  On failure: Block breaking release  |  Evidence: Compatibility report  |  Sources: SRC-CUS-001, SRC-DAT-004, SRC-PRV-002  |  Test: T-PLT-007</w:t>
      </w:r>
    </w:p>
    <w:p>
      <w:pPr>
        <w:pStyle w:val="ReqTitle"/>
        <w:keepNext/>
        <w:shd w:fill="DDF3F5"/>
      </w:pPr>
      <w:r>
        <w:rPr>
          <w:b/>
          <w:color w:val="16324F"/>
        </w:rPr>
        <w:t>PLT-008  •  Data quality rules</w:t>
      </w:r>
      <w:r>
        <w:rPr>
          <w:b/>
          <w:color w:val="0F6B78"/>
          <w:sz w:val="15"/>
        </w:rPr>
        <w:t xml:space="preserve">   [MUST]</w:t>
      </w:r>
    </w:p>
    <w:p>
      <w:pPr>
        <w:keepNext/>
        <w:keepLines/>
        <w:spacing w:before="20" w:after="20" w:line="245" w:lineRule="auto"/>
        <w:ind w:left="115" w:right="72"/>
      </w:pPr>
      <w:r>
        <w:rPr>
          <w:rFonts w:ascii="Aptos" w:hAnsi="Aptos"/>
          <w:color w:val="24313D"/>
          <w:sz w:val="16"/>
        </w:rPr>
        <w:t>Mandatory fields, formats, code lists, totals, cross-field rules and plausibility checks SHALL run at entry, import, pre-quote, pre-approval, pre-file, pre-label and pre-handover.</w:t>
      </w:r>
    </w:p>
    <w:p>
      <w:pPr>
        <w:keepLines/>
        <w:spacing w:before="0" w:after="60" w:line="240" w:lineRule="auto"/>
        <w:ind w:left="115" w:right="72"/>
      </w:pPr>
      <w:r>
        <w:rPr>
          <w:rFonts w:ascii="Aptos" w:hAnsi="Aptos"/>
          <w:color w:val="52616B"/>
          <w:sz w:val="14"/>
        </w:rPr>
        <w:t>Trigger: Lifecycle gates  |  Inputs: Canonical data  |  Output: Errors/warnings  |  Approval: Automated  |  On failure: Hold on errors  |  Evidence: Validation report  |  Sources: SRC-CUS-001, SRC-DAT-004, SRC-PRV-002  |  Test: T-PLT-008</w:t>
      </w:r>
    </w:p>
    <w:p>
      <w:pPr>
        <w:pStyle w:val="ReqTitle"/>
        <w:keepNext/>
        <w:shd w:fill="DDF3F5"/>
      </w:pPr>
      <w:r>
        <w:rPr>
          <w:b/>
          <w:color w:val="16324F"/>
        </w:rPr>
        <w:t>PLT-009  •  Bulk import safety</w:t>
      </w:r>
      <w:r>
        <w:rPr>
          <w:b/>
          <w:color w:val="0F6B78"/>
          <w:sz w:val="15"/>
        </w:rPr>
        <w:t xml:space="preserve">   [MUST]</w:t>
      </w:r>
    </w:p>
    <w:p>
      <w:pPr>
        <w:keepNext/>
        <w:keepLines/>
        <w:spacing w:before="20" w:after="20" w:line="245" w:lineRule="auto"/>
        <w:ind w:left="115" w:right="72"/>
      </w:pPr>
      <w:r>
        <w:rPr>
          <w:rFonts w:ascii="Aptos" w:hAnsi="Aptos"/>
          <w:color w:val="24313D"/>
          <w:sz w:val="16"/>
        </w:rPr>
        <w:t>CSV/API/EDI imports SHALL stage, validate, preview and report row-level errors before commit; partial commits require explicit policy and idempotent correlation.</w:t>
      </w:r>
    </w:p>
    <w:p>
      <w:pPr>
        <w:keepLines/>
        <w:spacing w:before="0" w:after="60" w:line="240" w:lineRule="auto"/>
        <w:ind w:left="115" w:right="72"/>
      </w:pPr>
      <w:r>
        <w:rPr>
          <w:rFonts w:ascii="Aptos" w:hAnsi="Aptos"/>
          <w:color w:val="52616B"/>
          <w:sz w:val="14"/>
        </w:rPr>
        <w:t>Trigger: Import  |  Inputs: File/payload and tenant mapping  |  Output: Committed/rejected rows  |  Approval: Authorized user  |  On failure: No shipment release  |  Evidence: Import manifest  |  Sources: SRC-CUS-001, SRC-DAT-004, SRC-PRV-002  |  Test: T-PLT-009</w:t>
      </w:r>
    </w:p>
    <w:p>
      <w:pPr>
        <w:pStyle w:val="ReqTitle"/>
        <w:keepNext/>
        <w:shd w:fill="DDF3F5"/>
      </w:pPr>
      <w:r>
        <w:rPr>
          <w:b/>
          <w:color w:val="16324F"/>
        </w:rPr>
        <w:t>PLT-010  •  Observability</w:t>
      </w:r>
      <w:r>
        <w:rPr>
          <w:b/>
          <w:color w:val="0F6B78"/>
          <w:sz w:val="15"/>
        </w:rPr>
        <w:t xml:space="preserve">   [MUST]</w:t>
      </w:r>
    </w:p>
    <w:p>
      <w:pPr>
        <w:keepNext/>
        <w:keepLines/>
        <w:spacing w:before="20" w:after="20" w:line="245" w:lineRule="auto"/>
        <w:ind w:left="115" w:right="72"/>
      </w:pPr>
      <w:r>
        <w:rPr>
          <w:rFonts w:ascii="Aptos" w:hAnsi="Aptos"/>
          <w:color w:val="24313D"/>
          <w:sz w:val="16"/>
        </w:rPr>
        <w:t>Metrics, logs and traces SHALL expose rule/feed health, adapter latency/errors, queue age, stuck states, approval SLA, filing/referral status and release-hold causes without leaking sensitive payloads.</w:t>
      </w:r>
    </w:p>
    <w:p>
      <w:pPr>
        <w:keepLines/>
        <w:spacing w:before="0" w:after="60" w:line="240" w:lineRule="auto"/>
        <w:ind w:left="115" w:right="72"/>
      </w:pPr>
      <w:r>
        <w:rPr>
          <w:rFonts w:ascii="Aptos" w:hAnsi="Aptos"/>
          <w:color w:val="52616B"/>
          <w:sz w:val="14"/>
        </w:rPr>
        <w:t>Trigger: Runtime  |  Inputs: Service events  |  Output: Dashboards/alerts  |  Approval: Operations  |  On failure: Escalate  |  Evidence: Telemetry  |  Sources: SRC-CUS-001, SRC-DAT-004, SRC-PRV-002  |  Test: T-PLT-010</w:t>
      </w:r>
    </w:p>
    <w:p>
      <w:pPr>
        <w:pStyle w:val="ReqTitle"/>
        <w:keepNext/>
        <w:shd w:fill="DDF3F5"/>
      </w:pPr>
      <w:r>
        <w:rPr>
          <w:b/>
          <w:color w:val="16324F"/>
        </w:rPr>
        <w:t>PLT-011  •  Clock/time zone</w:t>
      </w:r>
      <w:r>
        <w:rPr>
          <w:b/>
          <w:color w:val="0F6B78"/>
          <w:sz w:val="15"/>
        </w:rPr>
        <w:t xml:space="preserve">   [MUST]</w:t>
      </w:r>
    </w:p>
    <w:p>
      <w:pPr>
        <w:keepNext/>
        <w:keepLines/>
        <w:spacing w:before="20" w:after="20" w:line="245" w:lineRule="auto"/>
        <w:ind w:left="115" w:right="72"/>
      </w:pPr>
      <w:r>
        <w:rPr>
          <w:rFonts w:ascii="Aptos" w:hAnsi="Aptos"/>
          <w:color w:val="24313D"/>
          <w:sz w:val="16"/>
        </w:rPr>
        <w:t>All events SHALL store UTC plus source local time/zone where material; legal cut-offs and effective dates SHALL use jurisdiction/provider time zones and daylight-saving rules.</w:t>
      </w:r>
    </w:p>
    <w:p>
      <w:pPr>
        <w:keepLines/>
        <w:spacing w:before="0" w:after="60" w:line="240" w:lineRule="auto"/>
        <w:ind w:left="115" w:right="72"/>
      </w:pPr>
      <w:r>
        <w:rPr>
          <w:rFonts w:ascii="Aptos" w:hAnsi="Aptos"/>
          <w:color w:val="52616B"/>
          <w:sz w:val="14"/>
        </w:rPr>
        <w:t>Trigger: Time computation  |  Inputs: Zone and local rule  |  Output: Unambiguous time  |  Approval: Automated  |  On failure: Hold if ambiguous near cutoff  |  Evidence: Time computation  |  Sources: SRC-CUS-001, SRC-DAT-004, SRC-PRV-002  |  Test: T-PLT-011</w:t>
      </w:r>
    </w:p>
    <w:p>
      <w:pPr>
        <w:pStyle w:val="ReqTitle"/>
        <w:keepNext/>
        <w:shd w:fill="DDF3F5"/>
      </w:pPr>
      <w:r>
        <w:rPr>
          <w:b/>
          <w:color w:val="16324F"/>
        </w:rPr>
        <w:t>PLT-012  •  High availability</w:t>
      </w:r>
      <w:r>
        <w:rPr>
          <w:b/>
          <w:color w:val="0F6B78"/>
          <w:sz w:val="15"/>
        </w:rPr>
        <w:t xml:space="preserve">   [MUST]</w:t>
      </w:r>
    </w:p>
    <w:p>
      <w:pPr>
        <w:keepNext/>
        <w:keepLines/>
        <w:spacing w:before="20" w:after="20" w:line="245" w:lineRule="auto"/>
        <w:ind w:left="115" w:right="72"/>
      </w:pPr>
      <w:r>
        <w:rPr>
          <w:rFonts w:ascii="Aptos" w:hAnsi="Aptos"/>
          <w:color w:val="24313D"/>
          <w:sz w:val="16"/>
        </w:rPr>
        <w:t>Compliance decision, release gate and custody services SHALL meet defined regional SLOs; degraded modes must remain fail-closed and visible.</w:t>
      </w:r>
    </w:p>
    <w:p>
      <w:pPr>
        <w:keepLines/>
        <w:spacing w:before="0" w:after="60" w:line="240" w:lineRule="auto"/>
        <w:ind w:left="115" w:right="72"/>
      </w:pPr>
      <w:r>
        <w:rPr>
          <w:rFonts w:ascii="Aptos" w:hAnsi="Aptos"/>
          <w:color w:val="52616B"/>
          <w:sz w:val="14"/>
        </w:rPr>
        <w:t>Trigger: Runtime  |  Inputs: Health/SLO  |  Output: Available/degraded  |  Approval: Operations  |  On failure: Block high-risk actions  |  Evidence: SLO report  |  Sources: SRC-CUS-001, SRC-DAT-004, SRC-PRV-002  |  Test: T-PLT-012</w:t>
      </w:r>
    </w:p>
    <w:p>
      <w:pPr>
        <w:pStyle w:val="ReqTitle"/>
        <w:keepNext/>
        <w:shd w:fill="DDF3F5"/>
      </w:pPr>
      <w:r>
        <w:rPr>
          <w:b/>
          <w:color w:val="16324F"/>
        </w:rPr>
        <w:t>PLT-013  •  Performance</w:t>
      </w:r>
      <w:r>
        <w:rPr>
          <w:b/>
          <w:color w:val="0F6B78"/>
          <w:sz w:val="15"/>
        </w:rPr>
        <w:t xml:space="preserve">   [MUST]</w:t>
      </w:r>
    </w:p>
    <w:p>
      <w:pPr>
        <w:keepNext/>
        <w:keepLines/>
        <w:spacing w:before="20" w:after="20" w:line="245" w:lineRule="auto"/>
        <w:ind w:left="115" w:right="72"/>
      </w:pPr>
      <w:r>
        <w:rPr>
          <w:rFonts w:ascii="Aptos" w:hAnsi="Aptos"/>
          <w:color w:val="24313D"/>
          <w:sz w:val="16"/>
        </w:rPr>
        <w:t>Interactive screening/eligibility targets and batch throughput SHALL be set by volume tier without bypassing checks; queues SHALL preserve priority and tenant fairness.</w:t>
      </w:r>
    </w:p>
    <w:p>
      <w:pPr>
        <w:keepLines/>
        <w:spacing w:before="0" w:after="60" w:line="240" w:lineRule="auto"/>
        <w:ind w:left="115" w:right="72"/>
      </w:pPr>
      <w:r>
        <w:rPr>
          <w:rFonts w:ascii="Aptos" w:hAnsi="Aptos"/>
          <w:color w:val="52616B"/>
          <w:sz w:val="14"/>
        </w:rPr>
        <w:t>Trigger: Load  |  Inputs: Tenant volume and task risk  |  Output: SLO result  |  Approval: Operations  |  On failure: Scale/throttle safely  |  Evidence: Performance report  |  Sources: SRC-CUS-001, SRC-DAT-004, SRC-PRV-002  |  Test: T-PLT-013</w:t>
      </w:r>
    </w:p>
    <w:p>
      <w:pPr>
        <w:pStyle w:val="ReqTitle"/>
        <w:keepNext/>
        <w:shd w:fill="DDF3F5"/>
      </w:pPr>
      <w:r>
        <w:rPr>
          <w:b/>
          <w:color w:val="16324F"/>
        </w:rPr>
        <w:t>PLT-014  •  Test taxonomy</w:t>
      </w:r>
      <w:r>
        <w:rPr>
          <w:b/>
          <w:color w:val="0F6B78"/>
          <w:sz w:val="15"/>
        </w:rPr>
        <w:t xml:space="preserve">   [MUST]</w:t>
      </w:r>
    </w:p>
    <w:p>
      <w:pPr>
        <w:keepNext/>
        <w:keepLines/>
        <w:spacing w:before="20" w:after="20" w:line="245" w:lineRule="auto"/>
        <w:ind w:left="115" w:right="72"/>
      </w:pPr>
      <w:r>
        <w:rPr>
          <w:rFonts w:ascii="Aptos" w:hAnsi="Aptos"/>
          <w:color w:val="24313D"/>
          <w:sz w:val="16"/>
        </w:rPr>
        <w:t>Every normative requirement SHALL map to unit, schema/contract, rule, integration sandbox, negative, temporal, security and user-acceptance tests as applicable.</w:t>
      </w:r>
    </w:p>
    <w:p>
      <w:pPr>
        <w:keepLines/>
        <w:spacing w:before="0" w:after="60" w:line="240" w:lineRule="auto"/>
        <w:ind w:left="115" w:right="72"/>
      </w:pPr>
      <w:r>
        <w:rPr>
          <w:rFonts w:ascii="Aptos" w:hAnsi="Aptos"/>
          <w:color w:val="52616B"/>
          <w:sz w:val="14"/>
        </w:rPr>
        <w:t>Trigger: Design/release  |  Inputs: Requirement and implementation  |  Output: Coverage status  |  Approval: QA/compliance  |  On failure: Block release for MUST gaps  |  Evidence: Traceability matrix  |  Sources: SRC-CUS-001, SRC-DAT-004, SRC-PRV-002  |  Test: T-PLT-014</w:t>
      </w:r>
    </w:p>
    <w:p>
      <w:pPr>
        <w:pStyle w:val="ReqTitle"/>
        <w:keepNext/>
        <w:shd w:fill="DDF3F5"/>
      </w:pPr>
      <w:r>
        <w:rPr>
          <w:b/>
          <w:color w:val="16324F"/>
        </w:rPr>
        <w:t>PLT-015  •  Golden lane tests</w:t>
      </w:r>
      <w:r>
        <w:rPr>
          <w:b/>
          <w:color w:val="0F6B78"/>
          <w:sz w:val="15"/>
        </w:rPr>
        <w:t xml:space="preserve">   [MUST]</w:t>
      </w:r>
    </w:p>
    <w:p>
      <w:pPr>
        <w:keepNext/>
        <w:keepLines/>
        <w:spacing w:before="20" w:after="20" w:line="245" w:lineRule="auto"/>
        <w:ind w:left="115" w:right="72"/>
      </w:pPr>
      <w:r>
        <w:rPr>
          <w:rFonts w:ascii="Aptos" w:hAnsi="Aptos"/>
          <w:color w:val="24313D"/>
          <w:sz w:val="16"/>
        </w:rPr>
        <w:t>Country packs SHALL include approved positive and negative scenarios by mode, carrier, flow, commodity and effective date, including boundary values and prohibited combinations.</w:t>
      </w:r>
    </w:p>
    <w:p>
      <w:pPr>
        <w:keepLines/>
        <w:spacing w:before="0" w:after="60" w:line="240" w:lineRule="auto"/>
        <w:ind w:left="115" w:right="72"/>
      </w:pPr>
      <w:r>
        <w:rPr>
          <w:rFonts w:ascii="Aptos" w:hAnsi="Aptos"/>
          <w:color w:val="52616B"/>
          <w:sz w:val="14"/>
        </w:rPr>
        <w:t>Trigger: Pack release/change  |  Inputs: Rule pack  |  Output: Regression result  |  Approval: Country-pack owner  |  On failure: Do not publish  |  Evidence: Test pack  |  Sources: SRC-CUS-001, SRC-DAT-004, SRC-PRV-002  |  Test: T-PLT-015</w:t>
      </w:r>
    </w:p>
    <w:p>
      <w:pPr>
        <w:pStyle w:val="ReqTitle"/>
        <w:keepNext/>
        <w:shd w:fill="DDF3F5"/>
      </w:pPr>
      <w:r>
        <w:rPr>
          <w:b/>
          <w:color w:val="16324F"/>
        </w:rPr>
        <w:t>PLT-016  •  Temporal regression</w:t>
      </w:r>
      <w:r>
        <w:rPr>
          <w:b/>
          <w:color w:val="0F6B78"/>
          <w:sz w:val="15"/>
        </w:rPr>
        <w:t xml:space="preserve">   [MUST]</w:t>
      </w:r>
    </w:p>
    <w:p>
      <w:pPr>
        <w:keepNext/>
        <w:keepLines/>
        <w:spacing w:before="20" w:after="20" w:line="245" w:lineRule="auto"/>
        <w:ind w:left="115" w:right="72"/>
      </w:pPr>
      <w:r>
        <w:rPr>
          <w:rFonts w:ascii="Aptos" w:hAnsi="Aptos"/>
          <w:color w:val="24313D"/>
          <w:sz w:val="16"/>
        </w:rPr>
        <w:t>Tests SHALL prove current, future and historical rule selection across commencement, transition and repeal times and source time zones.</w:t>
      </w:r>
    </w:p>
    <w:p>
      <w:pPr>
        <w:keepLines/>
        <w:spacing w:before="0" w:after="60" w:line="240" w:lineRule="auto"/>
        <w:ind w:left="115" w:right="72"/>
      </w:pPr>
      <w:r>
        <w:rPr>
          <w:rFonts w:ascii="Aptos" w:hAnsi="Aptos"/>
          <w:color w:val="52616B"/>
          <w:sz w:val="14"/>
        </w:rPr>
        <w:t>Trigger: Rule change  |  Inputs: Temporal cases  |  Output: Pass/fail  |  Approval: QA  |  On failure: Do not publish  |  Evidence: Test results  |  Sources: SRC-CUS-001, SRC-DAT-004, SRC-PRV-002  |  Test: T-PLT-016</w:t>
      </w:r>
    </w:p>
    <w:p>
      <w:pPr>
        <w:pStyle w:val="ReqTitle"/>
        <w:keepNext/>
        <w:shd w:fill="DDF3F5"/>
      </w:pPr>
      <w:r>
        <w:rPr>
          <w:b/>
          <w:color w:val="16324F"/>
        </w:rPr>
        <w:t>PLT-017  •  Adapter contract tests</w:t>
      </w:r>
      <w:r>
        <w:rPr>
          <w:b/>
          <w:color w:val="0F6B78"/>
          <w:sz w:val="15"/>
        </w:rPr>
        <w:t xml:space="preserve">   [MUST]</w:t>
      </w:r>
    </w:p>
    <w:p>
      <w:pPr>
        <w:keepNext/>
        <w:keepLines/>
        <w:spacing w:before="20" w:after="20" w:line="245" w:lineRule="auto"/>
        <w:ind w:left="115" w:right="72"/>
      </w:pPr>
      <w:r>
        <w:rPr>
          <w:rFonts w:ascii="Aptos" w:hAnsi="Aptos"/>
          <w:color w:val="24313D"/>
          <w:sz w:val="16"/>
        </w:rPr>
        <w:t>Every provider version SHALL be tested for success, validation errors, auth/rate limits, timeout/ambiguity, duplicates, referrals, cancellation, schema additions and webhook replay/order.</w:t>
      </w:r>
    </w:p>
    <w:p>
      <w:pPr>
        <w:keepLines/>
        <w:spacing w:before="0" w:after="60" w:line="240" w:lineRule="auto"/>
        <w:ind w:left="115" w:right="72"/>
      </w:pPr>
      <w:r>
        <w:rPr>
          <w:rFonts w:ascii="Aptos" w:hAnsi="Aptos"/>
          <w:color w:val="52616B"/>
          <w:sz w:val="14"/>
        </w:rPr>
        <w:t>Trigger: Adapter release  |  Inputs: Sandbox/mock fixtures  |  Output: Certified version  |  Approval: Integration QA  |  On failure: Do not activate  |  Evidence: Contract suite  |  Sources: SRC-CUS-001, SRC-DAT-004, SRC-PRV-002  |  Test: T-PLT-017</w:t>
      </w:r>
    </w:p>
    <w:p>
      <w:pPr>
        <w:pStyle w:val="ReqTitle"/>
        <w:keepNext/>
        <w:shd w:fill="DDF3F5"/>
      </w:pPr>
      <w:r>
        <w:rPr>
          <w:b/>
          <w:color w:val="16324F"/>
        </w:rPr>
        <w:t>PLT-018  •  Production canary</w:t>
      </w:r>
      <w:r>
        <w:rPr>
          <w:b/>
          <w:color w:val="0F6B78"/>
          <w:sz w:val="15"/>
        </w:rPr>
        <w:t xml:space="preserve">   [MUST]</w:t>
      </w:r>
    </w:p>
    <w:p>
      <w:pPr>
        <w:keepNext/>
        <w:keepLines/>
        <w:spacing w:before="20" w:after="20" w:line="245" w:lineRule="auto"/>
        <w:ind w:left="115" w:right="72"/>
      </w:pPr>
      <w:r>
        <w:rPr>
          <w:rFonts w:ascii="Aptos" w:hAnsi="Aptos"/>
          <w:color w:val="24313D"/>
          <w:sz w:val="16"/>
        </w:rPr>
        <w:t>Rule and adapter releases SHALL support scoped canary by tenant/country/service with automated rollback/suspension and no reinterpretation of already released shipments without an explicit incident process.</w:t>
      </w:r>
    </w:p>
    <w:p>
      <w:pPr>
        <w:keepLines/>
        <w:spacing w:before="0" w:after="60" w:line="240" w:lineRule="auto"/>
        <w:ind w:left="115" w:right="72"/>
      </w:pPr>
      <w:r>
        <w:rPr>
          <w:rFonts w:ascii="Aptos" w:hAnsi="Aptos"/>
          <w:color w:val="52616B"/>
          <w:sz w:val="14"/>
        </w:rPr>
        <w:t>Trigger: Release  |  Inputs: Scope and monitors  |  Output: Promoted/rolled back  |  Approval: Release manager/compliance  |  On failure: Rollback/hold  |  Evidence: Canary evidence  |  Sources: SRC-CUS-001, SRC-DAT-004, SRC-PRV-002  |  Test: T-PLT-018</w:t>
      </w:r>
    </w:p>
    <w:p>
      <w:pPr>
        <w:pStyle w:val="ReqTitle"/>
        <w:keepNext/>
        <w:shd w:fill="DDF3F5"/>
      </w:pPr>
      <w:r>
        <w:rPr>
          <w:b/>
          <w:color w:val="16324F"/>
        </w:rPr>
        <w:t>PLT-019  •  Change impact report</w:t>
      </w:r>
      <w:r>
        <w:rPr>
          <w:b/>
          <w:color w:val="0F6B78"/>
          <w:sz w:val="15"/>
        </w:rPr>
        <w:t xml:space="preserve">   [MUST]</w:t>
      </w:r>
    </w:p>
    <w:p>
      <w:pPr>
        <w:keepNext/>
        <w:keepLines/>
        <w:spacing w:before="20" w:after="20" w:line="245" w:lineRule="auto"/>
        <w:ind w:left="115" w:right="72"/>
      </w:pPr>
      <w:r>
        <w:rPr>
          <w:rFonts w:ascii="Aptos" w:hAnsi="Aptos"/>
          <w:color w:val="24313D"/>
          <w:sz w:val="16"/>
        </w:rPr>
        <w:t>Any source/rule/schema change SHALL identify affected countries, lanes, products, open shipments, documents, customers, tenants, tests and training/SOPs before approval.</w:t>
      </w:r>
    </w:p>
    <w:p>
      <w:pPr>
        <w:keepLines/>
        <w:spacing w:before="0" w:after="60" w:line="240" w:lineRule="auto"/>
        <w:ind w:left="115" w:right="72"/>
      </w:pPr>
      <w:r>
        <w:rPr>
          <w:rFonts w:ascii="Aptos" w:hAnsi="Aptos"/>
          <w:color w:val="52616B"/>
          <w:sz w:val="14"/>
        </w:rPr>
        <w:t>Trigger: Change  |  Inputs: Dependency graph  |  Output: Impact report  |  Approval: Change owner  |  On failure: Do not publish  |  Evidence: Report  |  Sources: SRC-CUS-001, SRC-DAT-004, SRC-PRV-002  |  Test: T-PLT-019</w:t>
      </w:r>
    </w:p>
    <w:p>
      <w:pPr>
        <w:pStyle w:val="ReqTitle"/>
        <w:keepNext/>
        <w:shd w:fill="DDF3F5"/>
      </w:pPr>
      <w:r>
        <w:rPr>
          <w:b/>
          <w:color w:val="16324F"/>
        </w:rPr>
        <w:t>PLT-020  •  Open shipment reevaluation</w:t>
      </w:r>
      <w:r>
        <w:rPr>
          <w:b/>
          <w:color w:val="0F6B78"/>
          <w:sz w:val="15"/>
        </w:rPr>
        <w:t xml:space="preserve">   [MUST]</w:t>
      </w:r>
    </w:p>
    <w:p>
      <w:pPr>
        <w:keepNext/>
        <w:keepLines/>
        <w:spacing w:before="20" w:after="20" w:line="245" w:lineRule="auto"/>
        <w:ind w:left="115" w:right="72"/>
      </w:pPr>
      <w:r>
        <w:rPr>
          <w:rFonts w:ascii="Aptos" w:hAnsi="Aptos"/>
          <w:color w:val="24313D"/>
          <w:sz w:val="16"/>
        </w:rPr>
        <w:t>Material rule/list/carrier changes SHALL reevaluate open, unhanded shipments and create holds/actions; handed-over shipments enter incident/intercept assessment.</w:t>
      </w:r>
    </w:p>
    <w:p>
      <w:pPr>
        <w:keepLines/>
        <w:spacing w:before="0" w:after="60" w:line="240" w:lineRule="auto"/>
        <w:ind w:left="115" w:right="72"/>
      </w:pPr>
      <w:r>
        <w:rPr>
          <w:rFonts w:ascii="Aptos" w:hAnsi="Aptos"/>
          <w:color w:val="52616B"/>
          <w:sz w:val="14"/>
        </w:rPr>
        <w:t>Trigger: Change publication  |  Inputs: Affected scope and custody  |  Output: Updated actions  |  Approval: Automated/compliance  |  On failure: Hold/escalate  |  Evidence: Reevaluation events  |  Sources: SRC-CUS-001, SRC-DAT-004, SRC-PRV-002  |  Test: T-PLT-020</w:t>
      </w:r>
    </w:p>
    <w:p>
      <w:pPr>
        <w:pStyle w:val="ReqTitle"/>
        <w:keepNext/>
        <w:shd w:fill="DDF3F5"/>
      </w:pPr>
      <w:r>
        <w:rPr>
          <w:b/>
          <w:color w:val="16324F"/>
        </w:rPr>
        <w:t>PLT-021  •  Evidence export</w:t>
      </w:r>
      <w:r>
        <w:rPr>
          <w:b/>
          <w:color w:val="0F6B78"/>
          <w:sz w:val="15"/>
        </w:rPr>
        <w:t xml:space="preserve">   [MUST]</w:t>
      </w:r>
    </w:p>
    <w:p>
      <w:pPr>
        <w:keepNext/>
        <w:keepLines/>
        <w:spacing w:before="20" w:after="20" w:line="245" w:lineRule="auto"/>
        <w:ind w:left="115" w:right="72"/>
      </w:pPr>
      <w:r>
        <w:rPr>
          <w:rFonts w:ascii="Aptos" w:hAnsi="Aptos"/>
          <w:color w:val="24313D"/>
          <w:sz w:val="16"/>
        </w:rPr>
        <w:t>Authorized users SHALL be able to export a human-readable and machine-readable decision dossier with inputs, rules, sources, approvals, documents, partner responses and custody timeline, with redaction.</w:t>
      </w:r>
    </w:p>
    <w:p>
      <w:pPr>
        <w:keepLines/>
        <w:spacing w:before="0" w:after="60" w:line="240" w:lineRule="auto"/>
        <w:ind w:left="115" w:right="72"/>
      </w:pPr>
      <w:r>
        <w:rPr>
          <w:rFonts w:ascii="Aptos" w:hAnsi="Aptos"/>
          <w:color w:val="52616B"/>
          <w:sz w:val="14"/>
        </w:rPr>
        <w:t>Trigger: Audit/dispute  |  Inputs: Shipment/version and requester  |  Output: Evidence bundle  |  Approval: Authorized auditor  |  On failure: Deny unauthorized  |  Evidence: Export event/hash  |  Sources: SRC-CUS-001, SRC-DAT-004, SRC-PRV-002  |  Test: T-PLT-021</w:t>
      </w:r>
    </w:p>
    <w:p>
      <w:pPr>
        <w:pStyle w:val="ReqTitle"/>
        <w:keepNext/>
        <w:shd w:fill="DDF3F5"/>
      </w:pPr>
      <w:r>
        <w:rPr>
          <w:b/>
          <w:color w:val="16324F"/>
        </w:rPr>
        <w:t>PLT-022  •  Legal hold</w:t>
      </w:r>
      <w:r>
        <w:rPr>
          <w:b/>
          <w:color w:val="0F6B78"/>
          <w:sz w:val="15"/>
        </w:rPr>
        <w:t xml:space="preserve">   [MUST]</w:t>
      </w:r>
    </w:p>
    <w:p>
      <w:pPr>
        <w:keepNext/>
        <w:keepLines/>
        <w:spacing w:before="20" w:after="20" w:line="245" w:lineRule="auto"/>
        <w:ind w:left="115" w:right="72"/>
      </w:pPr>
      <w:r>
        <w:rPr>
          <w:rFonts w:ascii="Aptos" w:hAnsi="Aptos"/>
          <w:color w:val="24313D"/>
          <w:sz w:val="16"/>
        </w:rPr>
        <w:t>Legal/compliance holds SHALL prevent alteration or deletion of scoped records, preserve chain of custody and be reviewable without exposing unrelated tenant data.</w:t>
      </w:r>
    </w:p>
    <w:p>
      <w:pPr>
        <w:keepLines/>
        <w:spacing w:before="0" w:after="60" w:line="240" w:lineRule="auto"/>
        <w:ind w:left="115" w:right="72"/>
      </w:pPr>
      <w:r>
        <w:rPr>
          <w:rFonts w:ascii="Aptos" w:hAnsi="Aptos"/>
          <w:color w:val="52616B"/>
          <w:sz w:val="14"/>
        </w:rPr>
        <w:t>Trigger: Hold creation/release  |  Inputs: Scope, authority, dates  |  Output: Hold applied/released  |  Approval: Legal  |  On failure: Prevent deletion  |  Evidence: Hold log  |  Sources: SRC-CUS-001, SRC-DAT-004, SRC-PRV-002  |  Test: T-PLT-022</w:t>
      </w:r>
    </w:p>
    <w:p>
      <w:pPr>
        <w:pStyle w:val="ReqTitle"/>
        <w:keepNext/>
        <w:shd w:fill="DDF3F5"/>
      </w:pPr>
      <w:r>
        <w:rPr>
          <w:b/>
          <w:color w:val="16324F"/>
        </w:rPr>
        <w:t>PLT-023  •  Business continuity manual boundary</w:t>
      </w:r>
      <w:r>
        <w:rPr>
          <w:b/>
          <w:color w:val="0F6B78"/>
          <w:sz w:val="15"/>
        </w:rPr>
        <w:t xml:space="preserve">   [MUST]</w:t>
      </w:r>
    </w:p>
    <w:p>
      <w:pPr>
        <w:keepNext/>
        <w:keepLines/>
        <w:spacing w:before="20" w:after="20" w:line="245" w:lineRule="auto"/>
        <w:ind w:left="115" w:right="72"/>
      </w:pPr>
      <w:r>
        <w:rPr>
          <w:rFonts w:ascii="Aptos" w:hAnsi="Aptos"/>
          <w:color w:val="24313D"/>
          <w:sz w:val="16"/>
        </w:rPr>
        <w:t>Manual continuity procedures MAY capture physical custody and later reconcile, but SHALL not permit regulated release when screening, DG, filing or country-pack decisions are unavailable.</w:t>
      </w:r>
    </w:p>
    <w:p>
      <w:pPr>
        <w:keepLines/>
        <w:spacing w:before="0" w:after="60" w:line="240" w:lineRule="auto"/>
        <w:ind w:left="115" w:right="72"/>
      </w:pPr>
      <w:r>
        <w:rPr>
          <w:rFonts w:ascii="Aptos" w:hAnsi="Aptos"/>
          <w:color w:val="52616B"/>
          <w:sz w:val="14"/>
        </w:rPr>
        <w:t>Trigger: Outage  |  Inputs: Operation and risk  |  Output: Allowed capture/blocked release  |  Approval: BCP owner  |  On failure: Hold  |  Evidence: Continuity log  |  Sources: SRC-CUS-001, SRC-DAT-004, SRC-PRV-002  |  Test: T-PLT-023</w:t>
      </w:r>
    </w:p>
    <w:p>
      <w:pPr>
        <w:pStyle w:val="ReqTitle"/>
        <w:keepNext/>
        <w:shd w:fill="DDF3F5"/>
      </w:pPr>
      <w:r>
        <w:rPr>
          <w:b/>
          <w:color w:val="16324F"/>
        </w:rPr>
        <w:t>PLT-024  •  Release acceptance</w:t>
      </w:r>
      <w:r>
        <w:rPr>
          <w:b/>
          <w:color w:val="0F6B78"/>
          <w:sz w:val="15"/>
        </w:rPr>
        <w:t xml:space="preserve">   [MUST]</w:t>
      </w:r>
    </w:p>
    <w:p>
      <w:pPr>
        <w:keepNext/>
        <w:keepLines/>
        <w:spacing w:before="20" w:after="20" w:line="245" w:lineRule="auto"/>
        <w:ind w:left="115" w:right="72"/>
      </w:pPr>
      <w:r>
        <w:rPr>
          <w:rFonts w:ascii="Aptos" w:hAnsi="Aptos"/>
          <w:color w:val="24313D"/>
          <w:sz w:val="16"/>
        </w:rPr>
        <w:t>Production launch requires signed product, security, privacy, legal/compliance, operations, carrier integration and tenant-readiness gates plus zero unresolved critical defects.</w:t>
      </w:r>
    </w:p>
    <w:p>
      <w:pPr>
        <w:keepLines/>
        <w:spacing w:before="0" w:after="60" w:line="240" w:lineRule="auto"/>
        <w:ind w:left="115" w:right="72"/>
      </w:pPr>
      <w:r>
        <w:rPr>
          <w:rFonts w:ascii="Aptos" w:hAnsi="Aptos"/>
          <w:color w:val="52616B"/>
          <w:sz w:val="14"/>
        </w:rPr>
        <w:t>Trigger: Release  |  Inputs: Gate evidence  |  Output: Go/no-go  |  Approval: Named accountable owners  |  On failure: No-go  |  Evidence: Release dossier  |  Sources: SRC-CUS-001, SRC-DAT-004, SRC-PRV-002  |  Test: T-PLT-024</w:t>
      </w:r>
    </w:p>
    <w:p>
      <w:r>
        <w:br w:type="page"/>
      </w:r>
    </w:p>
    <w:p>
      <w:pPr>
        <w:pStyle w:val="Heading1"/>
        <w:keepNext/>
      </w:pPr>
      <w:r>
        <w:t>Appendix A. Canonical decision and error codes</w:t>
      </w:r>
    </w:p>
    <w:p>
      <w:pPr>
        <w:pStyle w:val="Heading2"/>
        <w:keepNext/>
      </w:pPr>
      <w:r>
        <w:t>A.1 Decision states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027"/>
        <w:gridCol w:w="2864"/>
        <w:gridCol w:w="2167"/>
        <w:gridCol w:w="1328"/>
        <w:gridCol w:w="1118"/>
      </w:tblGrid>
      <w:tr>
        <w:trPr>
          <w:tblHeader w:val="true"/>
        </w:trPr>
        <w:tc>
          <w:tcPr>
            <w:tcW w:type="dxa" w:w="2027"/>
            <w:shd w:fill="0F6B78"/>
            <w:tcMar>
              <w:top w:w="70" w:type="dxa"/>
              <w:start w:w="90" w:type="dxa"/>
              <w:bottom w:w="70" w:type="dxa"/>
              <w:end w:w="90" w:type="dxa"/>
            </w:tcMar>
            <w:vAlign w:val="center"/>
          </w:tcPr>
          <w:p>
            <w:pPr>
              <w:spacing w:before="0" w:after="0" w:line="240" w:lineRule="auto"/>
            </w:pPr>
            <w:r>
              <w:rPr>
                <w:rFonts w:ascii="Aptos" w:hAnsi="Aptos"/>
                <w:b/>
                <w:color w:val="FFFFFF"/>
                <w:sz w:val="14"/>
              </w:rPr>
              <w:t>State</w:t>
            </w:r>
          </w:p>
        </w:tc>
        <w:tc>
          <w:tcPr>
            <w:tcW w:type="dxa" w:w="2864"/>
            <w:shd w:fill="0F6B78"/>
            <w:tcMar>
              <w:top w:w="70" w:type="dxa"/>
              <w:start w:w="90" w:type="dxa"/>
              <w:bottom w:w="70" w:type="dxa"/>
              <w:end w:w="90" w:type="dxa"/>
            </w:tcMar>
            <w:vAlign w:val="center"/>
          </w:tcPr>
          <w:p>
            <w:pPr>
              <w:spacing w:before="0" w:after="0" w:line="240" w:lineRule="auto"/>
            </w:pPr>
            <w:r>
              <w:rPr>
                <w:rFonts w:ascii="Aptos" w:hAnsi="Aptos"/>
                <w:b/>
                <w:color w:val="FFFFFF"/>
                <w:sz w:val="14"/>
              </w:rPr>
              <w:t>Meaning</w:t>
            </w:r>
          </w:p>
        </w:tc>
        <w:tc>
          <w:tcPr>
            <w:tcW w:type="dxa" w:w="2167"/>
            <w:shd w:fill="0F6B78"/>
            <w:tcMar>
              <w:top w:w="70" w:type="dxa"/>
              <w:start w:w="90" w:type="dxa"/>
              <w:bottom w:w="70" w:type="dxa"/>
              <w:end w:w="90" w:type="dxa"/>
            </w:tcMar>
            <w:vAlign w:val="center"/>
          </w:tcPr>
          <w:p>
            <w:pPr>
              <w:spacing w:before="0" w:after="0" w:line="240" w:lineRule="auto"/>
            </w:pPr>
            <w:r>
              <w:rPr>
                <w:rFonts w:ascii="Aptos" w:hAnsi="Aptos"/>
                <w:b/>
                <w:color w:val="FFFFFF"/>
                <w:sz w:val="14"/>
              </w:rPr>
              <w:t>Action</w:t>
            </w:r>
          </w:p>
        </w:tc>
        <w:tc>
          <w:tcPr>
            <w:tcW w:type="dxa" w:w="1328"/>
            <w:shd w:fill="0F6B78"/>
            <w:tcMar>
              <w:top w:w="70" w:type="dxa"/>
              <w:start w:w="90" w:type="dxa"/>
              <w:bottom w:w="70" w:type="dxa"/>
              <w:end w:w="90" w:type="dxa"/>
            </w:tcMar>
            <w:vAlign w:val="center"/>
          </w:tcPr>
          <w:p>
            <w:pPr>
              <w:spacing w:before="0" w:after="0" w:line="240" w:lineRule="auto"/>
            </w:pPr>
            <w:r>
              <w:rPr>
                <w:rFonts w:ascii="Aptos" w:hAnsi="Aptos"/>
                <w:b/>
                <w:color w:val="FFFFFF"/>
                <w:sz w:val="14"/>
              </w:rPr>
              <w:t>Resolution</w:t>
            </w:r>
          </w:p>
        </w:tc>
        <w:tc>
          <w:tcPr>
            <w:tcW w:type="dxa" w:w="1118"/>
            <w:shd w:fill="0F6B78"/>
            <w:tcMar>
              <w:top w:w="70" w:type="dxa"/>
              <w:start w:w="90" w:type="dxa"/>
              <w:bottom w:w="70" w:type="dxa"/>
              <w:end w:w="90" w:type="dxa"/>
            </w:tcMar>
            <w:vAlign w:val="center"/>
          </w:tcPr>
          <w:p>
            <w:pPr>
              <w:spacing w:before="0" w:after="0" w:line="240" w:lineRule="auto"/>
            </w:pPr>
            <w:r>
              <w:rPr>
                <w:rFonts w:ascii="Aptos" w:hAnsi="Aptos"/>
                <w:b/>
                <w:color w:val="FFFFFF"/>
                <w:sz w:val="14"/>
              </w:rPr>
              <w:t>Invalidation</w:t>
            </w:r>
          </w:p>
        </w:tc>
      </w:tr>
      <w:tr>
        <w:trPr>
          <w:cantSplit/>
        </w:trPr>
        <w:tc>
          <w:tcPr>
            <w:tcW w:type="dxa" w:w="2027"/>
            <w:tcMar>
              <w:top w:w="70" w:type="dxa"/>
              <w:start w:w="90" w:type="dxa"/>
              <w:bottom w:w="70" w:type="dxa"/>
              <w:end w:w="90" w:type="dxa"/>
            </w:tcMar>
            <w:vAlign w:val="top"/>
          </w:tcPr>
          <w:p>
            <w:pPr>
              <w:spacing w:before="0" w:after="0" w:line="240" w:lineRule="auto"/>
            </w:pPr>
            <w:r>
              <w:rPr>
                <w:rFonts w:ascii="Aptos" w:hAnsi="Aptos"/>
                <w:b/>
                <w:color w:val="24313D"/>
                <w:sz w:val="14"/>
              </w:rPr>
              <w:t>ALLOWED</w:t>
            </w:r>
          </w:p>
        </w:tc>
        <w:tc>
          <w:tcPr>
            <w:tcW w:type="dxa" w:w="2864"/>
            <w:tcMar>
              <w:top w:w="70" w:type="dxa"/>
              <w:start w:w="90" w:type="dxa"/>
              <w:bottom w:w="70" w:type="dxa"/>
              <w:end w:w="90" w:type="dxa"/>
            </w:tcMar>
            <w:vAlign w:val="top"/>
          </w:tcPr>
          <w:p>
            <w:pPr>
              <w:spacing w:before="0" w:after="0" w:line="240" w:lineRule="auto"/>
            </w:pPr>
            <w:r>
              <w:rPr>
                <w:rFonts w:ascii="Aptos" w:hAnsi="Aptos"/>
                <w:color w:val="24313D"/>
                <w:sz w:val="14"/>
              </w:rPr>
              <w:t>All mandatory legal, authority, partner, tenant and operational checks pass; no conditions remain</w:t>
            </w:r>
          </w:p>
        </w:tc>
        <w:tc>
          <w:tcPr>
            <w:tcW w:type="dxa" w:w="2167"/>
            <w:tcMar>
              <w:top w:w="70" w:type="dxa"/>
              <w:start w:w="90" w:type="dxa"/>
              <w:bottom w:w="70" w:type="dxa"/>
              <w:end w:w="90" w:type="dxa"/>
            </w:tcMar>
            <w:vAlign w:val="top"/>
          </w:tcPr>
          <w:p>
            <w:pPr>
              <w:spacing w:before="0" w:after="0" w:line="240" w:lineRule="auto"/>
            </w:pPr>
            <w:r>
              <w:rPr>
                <w:rFonts w:ascii="Aptos" w:hAnsi="Aptos"/>
                <w:color w:val="24313D"/>
                <w:sz w:val="14"/>
              </w:rPr>
              <w:t>May proceed to next lifecycle gate</w:t>
            </w:r>
          </w:p>
        </w:tc>
        <w:tc>
          <w:tcPr>
            <w:tcW w:type="dxa" w:w="1328"/>
            <w:tcMar>
              <w:top w:w="70" w:type="dxa"/>
              <w:start w:w="90" w:type="dxa"/>
              <w:bottom w:w="70" w:type="dxa"/>
              <w:end w:w="90" w:type="dxa"/>
            </w:tcMar>
            <w:vAlign w:val="top"/>
          </w:tcPr>
          <w:p>
            <w:pPr>
              <w:spacing w:before="0" w:after="0" w:line="240" w:lineRule="auto"/>
            </w:pPr>
            <w:r>
              <w:rPr>
                <w:rFonts w:ascii="Aptos" w:hAnsi="Aptos"/>
                <w:color w:val="24313D"/>
                <w:sz w:val="14"/>
              </w:rPr>
              <w:t>Automatic</w:t>
            </w:r>
          </w:p>
        </w:tc>
        <w:tc>
          <w:tcPr>
            <w:tcW w:type="dxa" w:w="1118"/>
            <w:tcMar>
              <w:top w:w="70" w:type="dxa"/>
              <w:start w:w="90" w:type="dxa"/>
              <w:bottom w:w="70" w:type="dxa"/>
              <w:end w:w="90" w:type="dxa"/>
            </w:tcMar>
            <w:vAlign w:val="top"/>
          </w:tcPr>
          <w:p>
            <w:pPr>
              <w:spacing w:before="0" w:after="0" w:line="240" w:lineRule="auto"/>
            </w:pPr>
            <w:r>
              <w:rPr>
                <w:rFonts w:ascii="Aptos" w:hAnsi="Aptos"/>
                <w:color w:val="24313D"/>
                <w:sz w:val="14"/>
              </w:rPr>
              <w:t>Shipment version or rule/source change</w:t>
            </w:r>
          </w:p>
        </w:tc>
      </w:tr>
      <w:tr>
        <w:trPr>
          <w:cantSplit/>
        </w:trPr>
        <w:tc>
          <w:tcPr>
            <w:tcW w:type="dxa" w:w="2027"/>
            <w:tcMar>
              <w:top w:w="70" w:type="dxa"/>
              <w:start w:w="90" w:type="dxa"/>
              <w:bottom w:w="70" w:type="dxa"/>
              <w:end w:w="90" w:type="dxa"/>
            </w:tcMar>
            <w:vAlign w:val="top"/>
            <w:shd w:fill="F5F7F8"/>
          </w:tcPr>
          <w:p>
            <w:pPr>
              <w:spacing w:before="0" w:after="0" w:line="240" w:lineRule="auto"/>
            </w:pPr>
            <w:r>
              <w:rPr>
                <w:rFonts w:ascii="Aptos" w:hAnsi="Aptos"/>
                <w:b/>
                <w:color w:val="24313D"/>
                <w:sz w:val="14"/>
              </w:rPr>
              <w:t>ALLOWED_WITH_CONDITIONS</w:t>
            </w:r>
          </w:p>
        </w:tc>
        <w:tc>
          <w:tcPr>
            <w:tcW w:type="dxa" w:w="2864"/>
            <w:tcMar>
              <w:top w:w="70" w:type="dxa"/>
              <w:start w:w="90" w:type="dxa"/>
              <w:bottom w:w="70" w:type="dxa"/>
              <w:end w:w="90" w:type="dxa"/>
            </w:tcMar>
            <w:vAlign w:val="top"/>
            <w:shd w:fill="F5F7F8"/>
          </w:tcPr>
          <w:p>
            <w:pPr>
              <w:spacing w:before="0" w:after="0" w:line="240" w:lineRule="auto"/>
            </w:pPr>
            <w:r>
              <w:rPr>
                <w:rFonts w:ascii="Aptos" w:hAnsi="Aptos"/>
                <w:color w:val="24313D"/>
                <w:sz w:val="14"/>
              </w:rPr>
              <w:t>Permitted only if machine-testable or attestable conditions are fulfilled</w:t>
            </w:r>
          </w:p>
        </w:tc>
        <w:tc>
          <w:tcPr>
            <w:tcW w:type="dxa" w:w="2167"/>
            <w:tcMar>
              <w:top w:w="70" w:type="dxa"/>
              <w:start w:w="90" w:type="dxa"/>
              <w:bottom w:w="70" w:type="dxa"/>
              <w:end w:w="90" w:type="dxa"/>
            </w:tcMar>
            <w:vAlign w:val="top"/>
            <w:shd w:fill="F5F7F8"/>
          </w:tcPr>
          <w:p>
            <w:pPr>
              <w:spacing w:before="0" w:after="0" w:line="240" w:lineRule="auto"/>
            </w:pPr>
            <w:r>
              <w:rPr>
                <w:rFonts w:ascii="Aptos" w:hAnsi="Aptos"/>
                <w:color w:val="24313D"/>
                <w:sz w:val="14"/>
              </w:rPr>
              <w:t>Display and enforce each condition; re-evaluate after fulfilment</w:t>
            </w:r>
          </w:p>
        </w:tc>
        <w:tc>
          <w:tcPr>
            <w:tcW w:type="dxa" w:w="1328"/>
            <w:tcMar>
              <w:top w:w="70" w:type="dxa"/>
              <w:start w:w="90" w:type="dxa"/>
              <w:bottom w:w="70" w:type="dxa"/>
              <w:end w:w="90" w:type="dxa"/>
            </w:tcMar>
            <w:vAlign w:val="top"/>
            <w:shd w:fill="F5F7F8"/>
          </w:tcPr>
          <w:p>
            <w:pPr>
              <w:spacing w:before="0" w:after="0" w:line="240" w:lineRule="auto"/>
            </w:pPr>
            <w:r>
              <w:rPr>
                <w:rFonts w:ascii="Aptos" w:hAnsi="Aptos"/>
                <w:color w:val="24313D"/>
                <w:sz w:val="14"/>
              </w:rPr>
              <w:t>Automatic or reviewer as rule states</w:t>
            </w:r>
          </w:p>
        </w:tc>
        <w:tc>
          <w:tcPr>
            <w:tcW w:type="dxa" w:w="1118"/>
            <w:tcMar>
              <w:top w:w="70" w:type="dxa"/>
              <w:start w:w="90" w:type="dxa"/>
              <w:bottom w:w="70" w:type="dxa"/>
              <w:end w:w="90" w:type="dxa"/>
            </w:tcMar>
            <w:vAlign w:val="top"/>
            <w:shd w:fill="F5F7F8"/>
          </w:tcPr>
          <w:p>
            <w:pPr>
              <w:spacing w:before="0" w:after="0" w:line="240" w:lineRule="auto"/>
            </w:pPr>
            <w:r>
              <w:rPr>
                <w:rFonts w:ascii="Aptos" w:hAnsi="Aptos"/>
                <w:color w:val="24313D"/>
                <w:sz w:val="14"/>
              </w:rPr>
              <w:t>Condition fails/expires or scope changes</w:t>
            </w:r>
          </w:p>
        </w:tc>
      </w:tr>
      <w:tr>
        <w:trPr>
          <w:cantSplit/>
        </w:trPr>
        <w:tc>
          <w:tcPr>
            <w:tcW w:type="dxa" w:w="2027"/>
            <w:tcMar>
              <w:top w:w="70" w:type="dxa"/>
              <w:start w:w="90" w:type="dxa"/>
              <w:bottom w:w="70" w:type="dxa"/>
              <w:end w:w="90" w:type="dxa"/>
            </w:tcMar>
            <w:vAlign w:val="top"/>
          </w:tcPr>
          <w:p>
            <w:pPr>
              <w:spacing w:before="0" w:after="0" w:line="240" w:lineRule="auto"/>
            </w:pPr>
            <w:r>
              <w:rPr>
                <w:rFonts w:ascii="Aptos" w:hAnsi="Aptos"/>
                <w:b/>
                <w:color w:val="24313D"/>
                <w:sz w:val="14"/>
              </w:rPr>
              <w:t>MANUAL_CERTIFIED_REVIEW</w:t>
            </w:r>
          </w:p>
        </w:tc>
        <w:tc>
          <w:tcPr>
            <w:tcW w:type="dxa" w:w="2864"/>
            <w:tcMar>
              <w:top w:w="70" w:type="dxa"/>
              <w:start w:w="90" w:type="dxa"/>
              <w:bottom w:w="70" w:type="dxa"/>
              <w:end w:w="90" w:type="dxa"/>
            </w:tcMar>
            <w:vAlign w:val="top"/>
          </w:tcPr>
          <w:p>
            <w:pPr>
              <w:spacing w:before="0" w:after="0" w:line="240" w:lineRule="auto"/>
            </w:pPr>
            <w:r>
              <w:rPr>
                <w:rFonts w:ascii="Aptos" w:hAnsi="Aptos"/>
                <w:color w:val="24313D"/>
                <w:sz w:val="14"/>
              </w:rPr>
              <w:t>A qualified person must determine or approve the result</w:t>
            </w:r>
          </w:p>
        </w:tc>
        <w:tc>
          <w:tcPr>
            <w:tcW w:type="dxa" w:w="2167"/>
            <w:tcMar>
              <w:top w:w="70" w:type="dxa"/>
              <w:start w:w="90" w:type="dxa"/>
              <w:bottom w:w="70" w:type="dxa"/>
              <w:end w:w="90" w:type="dxa"/>
            </w:tcMar>
            <w:vAlign w:val="top"/>
          </w:tcPr>
          <w:p>
            <w:pPr>
              <w:spacing w:before="0" w:after="0" w:line="240" w:lineRule="auto"/>
            </w:pPr>
            <w:r>
              <w:rPr>
                <w:rFonts w:ascii="Aptos" w:hAnsi="Aptos"/>
                <w:color w:val="24313D"/>
                <w:sz w:val="14"/>
              </w:rPr>
              <w:t>Hold until in-scope, non-conflicted certification is recorded</w:t>
            </w:r>
          </w:p>
        </w:tc>
        <w:tc>
          <w:tcPr>
            <w:tcW w:type="dxa" w:w="1328"/>
            <w:tcMar>
              <w:top w:w="70" w:type="dxa"/>
              <w:start w:w="90" w:type="dxa"/>
              <w:bottom w:w="70" w:type="dxa"/>
              <w:end w:w="90" w:type="dxa"/>
            </w:tcMar>
            <w:vAlign w:val="top"/>
          </w:tcPr>
          <w:p>
            <w:pPr>
              <w:spacing w:before="0" w:after="0" w:line="240" w:lineRule="auto"/>
            </w:pPr>
            <w:r>
              <w:rPr>
                <w:rFonts w:ascii="Aptos" w:hAnsi="Aptos"/>
                <w:color w:val="24313D"/>
                <w:sz w:val="14"/>
              </w:rPr>
              <w:t>Certified reviewer</w:t>
            </w:r>
          </w:p>
        </w:tc>
        <w:tc>
          <w:tcPr>
            <w:tcW w:type="dxa" w:w="1118"/>
            <w:tcMar>
              <w:top w:w="70" w:type="dxa"/>
              <w:start w:w="90" w:type="dxa"/>
              <w:bottom w:w="70" w:type="dxa"/>
              <w:end w:w="90" w:type="dxa"/>
            </w:tcMar>
            <w:vAlign w:val="top"/>
          </w:tcPr>
          <w:p>
            <w:pPr>
              <w:spacing w:before="0" w:after="0" w:line="240" w:lineRule="auto"/>
            </w:pPr>
            <w:r>
              <w:rPr>
                <w:rFonts w:ascii="Aptos" w:hAnsi="Aptos"/>
                <w:color w:val="24313D"/>
                <w:sz w:val="14"/>
              </w:rPr>
              <w:t>Approval expires or shipment scope changes</w:t>
            </w:r>
          </w:p>
        </w:tc>
      </w:tr>
      <w:tr>
        <w:trPr>
          <w:cantSplit/>
        </w:trPr>
        <w:tc>
          <w:tcPr>
            <w:tcW w:type="dxa" w:w="2027"/>
            <w:tcMar>
              <w:top w:w="70" w:type="dxa"/>
              <w:start w:w="90" w:type="dxa"/>
              <w:bottom w:w="70" w:type="dxa"/>
              <w:end w:w="90" w:type="dxa"/>
            </w:tcMar>
            <w:vAlign w:val="top"/>
            <w:shd w:fill="F5F7F8"/>
          </w:tcPr>
          <w:p>
            <w:pPr>
              <w:spacing w:before="0" w:after="0" w:line="240" w:lineRule="auto"/>
            </w:pPr>
            <w:r>
              <w:rPr>
                <w:rFonts w:ascii="Aptos" w:hAnsi="Aptos"/>
                <w:b/>
                <w:color w:val="24313D"/>
                <w:sz w:val="14"/>
              </w:rPr>
              <w:t>EXTERNAL_APPROVAL_REQUIRED</w:t>
            </w:r>
          </w:p>
        </w:tc>
        <w:tc>
          <w:tcPr>
            <w:tcW w:type="dxa" w:w="2864"/>
            <w:tcMar>
              <w:top w:w="70" w:type="dxa"/>
              <w:start w:w="90" w:type="dxa"/>
              <w:bottom w:w="70" w:type="dxa"/>
              <w:end w:w="90" w:type="dxa"/>
            </w:tcMar>
            <w:vAlign w:val="top"/>
            <w:shd w:fill="F5F7F8"/>
          </w:tcPr>
          <w:p>
            <w:pPr>
              <w:spacing w:before="0" w:after="0" w:line="240" w:lineRule="auto"/>
            </w:pPr>
            <w:r>
              <w:rPr>
                <w:rFonts w:ascii="Aptos" w:hAnsi="Aptos"/>
                <w:color w:val="24313D"/>
                <w:sz w:val="14"/>
              </w:rPr>
              <w:t>Carrier, postal operator, forwarder, broker, competent authority or other licensed party must approve</w:t>
            </w:r>
          </w:p>
        </w:tc>
        <w:tc>
          <w:tcPr>
            <w:tcW w:type="dxa" w:w="2167"/>
            <w:tcMar>
              <w:top w:w="70" w:type="dxa"/>
              <w:start w:w="90" w:type="dxa"/>
              <w:bottom w:w="70" w:type="dxa"/>
              <w:end w:w="90" w:type="dxa"/>
            </w:tcMar>
            <w:vAlign w:val="top"/>
            <w:shd w:fill="F5F7F8"/>
          </w:tcPr>
          <w:p>
            <w:pPr>
              <w:spacing w:before="0" w:after="0" w:line="240" w:lineRule="auto"/>
            </w:pPr>
            <w:r>
              <w:rPr>
                <w:rFonts w:ascii="Aptos" w:hAnsi="Aptos"/>
                <w:color w:val="24313D"/>
                <w:sz w:val="14"/>
              </w:rPr>
              <w:t>Hold until authenticated external acceptance/reference is received</w:t>
            </w:r>
          </w:p>
        </w:tc>
        <w:tc>
          <w:tcPr>
            <w:tcW w:type="dxa" w:w="1328"/>
            <w:tcMar>
              <w:top w:w="70" w:type="dxa"/>
              <w:start w:w="90" w:type="dxa"/>
              <w:bottom w:w="70" w:type="dxa"/>
              <w:end w:w="90" w:type="dxa"/>
            </w:tcMar>
            <w:vAlign w:val="top"/>
            <w:shd w:fill="F5F7F8"/>
          </w:tcPr>
          <w:p>
            <w:pPr>
              <w:spacing w:before="0" w:after="0" w:line="240" w:lineRule="auto"/>
            </w:pPr>
            <w:r>
              <w:rPr>
                <w:rFonts w:ascii="Aptos" w:hAnsi="Aptos"/>
                <w:color w:val="24313D"/>
                <w:sz w:val="14"/>
              </w:rPr>
              <w:t>External party</w:t>
            </w:r>
          </w:p>
        </w:tc>
        <w:tc>
          <w:tcPr>
            <w:tcW w:type="dxa" w:w="1118"/>
            <w:tcMar>
              <w:top w:w="70" w:type="dxa"/>
              <w:start w:w="90" w:type="dxa"/>
              <w:bottom w:w="70" w:type="dxa"/>
              <w:end w:w="90" w:type="dxa"/>
            </w:tcMar>
            <w:vAlign w:val="top"/>
            <w:shd w:fill="F5F7F8"/>
          </w:tcPr>
          <w:p>
            <w:pPr>
              <w:spacing w:before="0" w:after="0" w:line="240" w:lineRule="auto"/>
            </w:pPr>
            <w:r>
              <w:rPr>
                <w:rFonts w:ascii="Aptos" w:hAnsi="Aptos"/>
                <w:color w:val="24313D"/>
                <w:sz w:val="14"/>
              </w:rPr>
              <w:t>External status changes, expires or is cancelled</w:t>
            </w:r>
          </w:p>
        </w:tc>
      </w:tr>
      <w:tr>
        <w:trPr>
          <w:cantSplit/>
        </w:trPr>
        <w:tc>
          <w:tcPr>
            <w:tcW w:type="dxa" w:w="2027"/>
            <w:tcMar>
              <w:top w:w="70" w:type="dxa"/>
              <w:start w:w="90" w:type="dxa"/>
              <w:bottom w:w="70" w:type="dxa"/>
              <w:end w:w="90" w:type="dxa"/>
            </w:tcMar>
            <w:vAlign w:val="top"/>
          </w:tcPr>
          <w:p>
            <w:pPr>
              <w:spacing w:before="0" w:after="0" w:line="240" w:lineRule="auto"/>
            </w:pPr>
            <w:r>
              <w:rPr>
                <w:rFonts w:ascii="Aptos" w:hAnsi="Aptos"/>
                <w:b/>
                <w:color w:val="24313D"/>
                <w:sz w:val="14"/>
              </w:rPr>
              <w:t>BLOCKED</w:t>
            </w:r>
          </w:p>
        </w:tc>
        <w:tc>
          <w:tcPr>
            <w:tcW w:type="dxa" w:w="2864"/>
            <w:tcMar>
              <w:top w:w="70" w:type="dxa"/>
              <w:start w:w="90" w:type="dxa"/>
              <w:bottom w:w="70" w:type="dxa"/>
              <w:end w:w="90" w:type="dxa"/>
            </w:tcMar>
            <w:vAlign w:val="top"/>
          </w:tcPr>
          <w:p>
            <w:pPr>
              <w:spacing w:before="0" w:after="0" w:line="240" w:lineRule="auto"/>
            </w:pPr>
            <w:r>
              <w:rPr>
                <w:rFonts w:ascii="Aptos" w:hAnsi="Aptos"/>
                <w:color w:val="24313D"/>
                <w:sz w:val="14"/>
              </w:rPr>
              <w:t>An applicable prohibition, confirmed match, unsupported service/commodity or nonwaivable failure applies</w:t>
            </w:r>
          </w:p>
        </w:tc>
        <w:tc>
          <w:tcPr>
            <w:tcW w:type="dxa" w:w="2167"/>
            <w:tcMar>
              <w:top w:w="70" w:type="dxa"/>
              <w:start w:w="90" w:type="dxa"/>
              <w:bottom w:w="70" w:type="dxa"/>
              <w:end w:w="90" w:type="dxa"/>
            </w:tcMar>
            <w:vAlign w:val="top"/>
          </w:tcPr>
          <w:p>
            <w:pPr>
              <w:spacing w:before="0" w:after="0" w:line="240" w:lineRule="auto"/>
            </w:pPr>
            <w:r>
              <w:rPr>
                <w:rFonts w:ascii="Aptos" w:hAnsi="Aptos"/>
                <w:color w:val="24313D"/>
                <w:sz w:val="14"/>
              </w:rPr>
              <w:t>Do not quote/label/file/tender except incident/return workflow</w:t>
            </w:r>
          </w:p>
        </w:tc>
        <w:tc>
          <w:tcPr>
            <w:tcW w:type="dxa" w:w="1328"/>
            <w:tcMar>
              <w:top w:w="70" w:type="dxa"/>
              <w:start w:w="90" w:type="dxa"/>
              <w:bottom w:w="70" w:type="dxa"/>
              <w:end w:w="90" w:type="dxa"/>
            </w:tcMar>
            <w:vAlign w:val="top"/>
          </w:tcPr>
          <w:p>
            <w:pPr>
              <w:spacing w:before="0" w:after="0" w:line="240" w:lineRule="auto"/>
            </w:pPr>
            <w:r>
              <w:rPr>
                <w:rFonts w:ascii="Aptos" w:hAnsi="Aptos"/>
                <w:color w:val="24313D"/>
                <w:sz w:val="14"/>
              </w:rPr>
              <w:t>Rule or confirmed reviewer/external result</w:t>
            </w:r>
          </w:p>
        </w:tc>
        <w:tc>
          <w:tcPr>
            <w:tcW w:type="dxa" w:w="1118"/>
            <w:tcMar>
              <w:top w:w="70" w:type="dxa"/>
              <w:start w:w="90" w:type="dxa"/>
              <w:bottom w:w="70" w:type="dxa"/>
              <w:end w:w="90" w:type="dxa"/>
            </w:tcMar>
            <w:vAlign w:val="top"/>
          </w:tcPr>
          <w:p>
            <w:pPr>
              <w:spacing w:before="0" w:after="0" w:line="240" w:lineRule="auto"/>
            </w:pPr>
            <w:r>
              <w:rPr>
                <w:rFonts w:ascii="Aptos" w:hAnsi="Aptos"/>
                <w:color w:val="24313D"/>
                <w:sz w:val="14"/>
              </w:rPr>
              <w:t>Only a new lawful rule/version or external clearance</w:t>
            </w:r>
          </w:p>
        </w:tc>
      </w:tr>
      <w:tr>
        <w:trPr>
          <w:cantSplit/>
        </w:trPr>
        <w:tc>
          <w:tcPr>
            <w:tcW w:type="dxa" w:w="2027"/>
            <w:tcMar>
              <w:top w:w="70" w:type="dxa"/>
              <w:start w:w="90" w:type="dxa"/>
              <w:bottom w:w="70" w:type="dxa"/>
              <w:end w:w="90" w:type="dxa"/>
            </w:tcMar>
            <w:vAlign w:val="top"/>
            <w:shd w:fill="F5F7F8"/>
          </w:tcPr>
          <w:p>
            <w:pPr>
              <w:spacing w:before="0" w:after="0" w:line="240" w:lineRule="auto"/>
            </w:pPr>
            <w:r>
              <w:rPr>
                <w:rFonts w:ascii="Aptos" w:hAnsi="Aptos"/>
                <w:b/>
                <w:color w:val="24313D"/>
                <w:sz w:val="14"/>
              </w:rPr>
              <w:t>UNKNOWN_BLOCKED</w:t>
            </w:r>
          </w:p>
        </w:tc>
        <w:tc>
          <w:tcPr>
            <w:tcW w:type="dxa" w:w="2864"/>
            <w:tcMar>
              <w:top w:w="70" w:type="dxa"/>
              <w:start w:w="90" w:type="dxa"/>
              <w:bottom w:w="70" w:type="dxa"/>
              <w:end w:w="90" w:type="dxa"/>
            </w:tcMar>
            <w:vAlign w:val="top"/>
            <w:shd w:fill="F5F7F8"/>
          </w:tcPr>
          <w:p>
            <w:pPr>
              <w:spacing w:before="0" w:after="0" w:line="240" w:lineRule="auto"/>
            </w:pPr>
            <w:r>
              <w:rPr>
                <w:rFonts w:ascii="Aptos" w:hAnsi="Aptos"/>
                <w:color w:val="24313D"/>
                <w:sz w:val="14"/>
              </w:rPr>
              <w:t>Information, source, rule, capability, classification or response is missing, stale, conflicting or ambiguous</w:t>
            </w:r>
          </w:p>
        </w:tc>
        <w:tc>
          <w:tcPr>
            <w:tcW w:type="dxa" w:w="2167"/>
            <w:tcMar>
              <w:top w:w="70" w:type="dxa"/>
              <w:start w:w="90" w:type="dxa"/>
              <w:bottom w:w="70" w:type="dxa"/>
              <w:end w:w="90" w:type="dxa"/>
            </w:tcMar>
            <w:vAlign w:val="top"/>
            <w:shd w:fill="F5F7F8"/>
          </w:tcPr>
          <w:p>
            <w:pPr>
              <w:spacing w:before="0" w:after="0" w:line="240" w:lineRule="auto"/>
            </w:pPr>
            <w:r>
              <w:rPr>
                <w:rFonts w:ascii="Aptos" w:hAnsi="Aptos"/>
                <w:color w:val="24313D"/>
                <w:sz w:val="14"/>
              </w:rPr>
              <w:t>Hold and return a remediation list</w:t>
            </w:r>
          </w:p>
        </w:tc>
        <w:tc>
          <w:tcPr>
            <w:tcW w:type="dxa" w:w="1328"/>
            <w:tcMar>
              <w:top w:w="70" w:type="dxa"/>
              <w:start w:w="90" w:type="dxa"/>
              <w:bottom w:w="70" w:type="dxa"/>
              <w:end w:w="90" w:type="dxa"/>
            </w:tcMar>
            <w:vAlign w:val="top"/>
            <w:shd w:fill="F5F7F8"/>
          </w:tcPr>
          <w:p>
            <w:pPr>
              <w:spacing w:before="0" w:after="0" w:line="240" w:lineRule="auto"/>
            </w:pPr>
            <w:r>
              <w:rPr>
                <w:rFonts w:ascii="Aptos" w:hAnsi="Aptos"/>
                <w:color w:val="24313D"/>
                <w:sz w:val="14"/>
              </w:rPr>
              <w:t>Automatic; cannot be manually converted to ALLOWED</w:t>
            </w:r>
          </w:p>
        </w:tc>
        <w:tc>
          <w:tcPr>
            <w:tcW w:type="dxa" w:w="1118"/>
            <w:tcMar>
              <w:top w:w="70" w:type="dxa"/>
              <w:start w:w="90" w:type="dxa"/>
              <w:bottom w:w="70" w:type="dxa"/>
              <w:end w:w="90" w:type="dxa"/>
            </w:tcMar>
            <w:vAlign w:val="top"/>
            <w:shd w:fill="F5F7F8"/>
          </w:tcPr>
          <w:p>
            <w:pPr>
              <w:spacing w:before="0" w:after="0" w:line="240" w:lineRule="auto"/>
            </w:pPr>
            <w:r>
              <w:rPr>
                <w:rFonts w:ascii="Aptos" w:hAnsi="Aptos"/>
                <w:color w:val="24313D"/>
                <w:sz w:val="14"/>
              </w:rPr>
              <w:t>Required inputs/sources/approvals become complete</w:t>
            </w:r>
          </w:p>
        </w:tc>
      </w:tr>
    </w:tbl>
    <w:p>
      <w:pPr>
        <w:pStyle w:val="Heading2"/>
        <w:keepNext/>
      </w:pPr>
      <w:r>
        <w:t>A.2 Minimum reason codes</w:t>
      </w:r>
    </w:p>
    <w:tbl>
      <w:tblPr>
        <w:tblW w:type="dxa" w:w="9503"/>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951"/>
        <w:gridCol w:w="5256"/>
        <w:gridCol w:w="1296"/>
      </w:tblGrid>
      <w:tr>
        <w:trPr>
          <w:tblHeader w:val="true"/>
        </w:trPr>
        <w:tc>
          <w:tcPr>
            <w:tcW w:type="dxa" w:w="2951"/>
            <w:shd w:fill="0F6B78"/>
            <w:tcMar>
              <w:top w:w="70" w:type="dxa"/>
              <w:start w:w="90" w:type="dxa"/>
              <w:bottom w:w="70" w:type="dxa"/>
              <w:end w:w="90" w:type="dxa"/>
            </w:tcMar>
            <w:vAlign w:val="center"/>
          </w:tcPr>
          <w:p>
            <w:pPr>
              <w:spacing w:before="0" w:after="0" w:line="240" w:lineRule="auto"/>
            </w:pPr>
            <w:r>
              <w:rPr>
                <w:rFonts w:ascii="Aptos" w:hAnsi="Aptos"/>
                <w:b/>
                <w:color w:val="FFFFFF"/>
                <w:sz w:val="15"/>
              </w:rPr>
              <w:t>Reason code</w:t>
            </w:r>
          </w:p>
        </w:tc>
        <w:tc>
          <w:tcPr>
            <w:tcW w:type="dxa" w:w="5256"/>
            <w:shd w:fill="0F6B78"/>
            <w:tcMar>
              <w:top w:w="70" w:type="dxa"/>
              <w:start w:w="90" w:type="dxa"/>
              <w:bottom w:w="70" w:type="dxa"/>
              <w:end w:w="90" w:type="dxa"/>
            </w:tcMar>
            <w:vAlign w:val="center"/>
          </w:tcPr>
          <w:p>
            <w:pPr>
              <w:spacing w:before="0" w:after="0" w:line="240" w:lineRule="auto"/>
            </w:pPr>
            <w:r>
              <w:rPr>
                <w:rFonts w:ascii="Aptos" w:hAnsi="Aptos"/>
                <w:b/>
                <w:color w:val="FFFFFF"/>
                <w:sz w:val="15"/>
              </w:rPr>
              <w:t>Meaning</w:t>
            </w:r>
          </w:p>
        </w:tc>
        <w:tc>
          <w:tcPr>
            <w:tcW w:type="dxa" w:w="1296"/>
            <w:shd w:fill="0F6B78"/>
            <w:tcMar>
              <w:top w:w="70" w:type="dxa"/>
              <w:start w:w="90" w:type="dxa"/>
              <w:bottom w:w="70" w:type="dxa"/>
              <w:end w:w="90" w:type="dxa"/>
            </w:tcMar>
            <w:vAlign w:val="center"/>
          </w:tcPr>
          <w:p>
            <w:pPr>
              <w:spacing w:before="0" w:after="0" w:line="240" w:lineRule="auto"/>
            </w:pPr>
            <w:r>
              <w:rPr>
                <w:rFonts w:ascii="Aptos" w:hAnsi="Aptos"/>
                <w:b/>
                <w:color w:val="FFFFFF"/>
                <w:sz w:val="15"/>
              </w:rPr>
              <w:t>Default state</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RULE_SOURCE_STALE</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Critical source review date or feed freshness exceeded</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UNKNOWN_BLOCKED</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COUNTRY_PACK_INACTIVE</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Required direction/mode/commodity capability not approved</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UNKNOWN_BLOCKED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RULE_CONFLICT</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Applicable rules produce unresolved contradictory outcomes</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UNKNOWN_BLOCKED</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INPUT_REQUIRED</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Mandatory fact/document/role missing</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UNKNOWN_BLOCKED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SERVICE_UNSUPPORTED</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Carrier/account exact lane capability absent</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BLOCKED</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COMMODITY_PROHIBITED</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Applicable legal/partner prohibition</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BLOCKED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POTENTIAL_SANCTIONS_MATCH</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Potential designated-party/ownership match</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MANUAL_CERTIFIED_REVIEW</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CONFIRMED_SANCTIONS_MATCH</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Confirmed prohibited party/ownership/control</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BLOCKED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EXPORT_CONTROL_REVIEW</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Classification/end-use/licence determination required</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MANUAL_CERTIFIED_REVIEW</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LICENCE_REQUIRED</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External licence/permit/authorization required</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EXTERNAL_APPROVAL_REQUIRED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DG_REVIEW_REQUIRED</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Certified DG review required</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MANUAL_CERTIFIED_REVIEW</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DG_CARRIER_ACCEPTANCE</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Carrier/forwarder DG approval not yet accepted</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EXTERNAL_APPROVAL_REQUIRED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PLACI_REFERRAL</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RFI/RFS response/clearance pending</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EXTERNAL_APPROVAL_REQUIRED</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DO_NOT_LOAD</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Authority/carrier DNL received</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BLOCKED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FILING_UNKNOWN</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Technical success without business acceptance or ambiguous timeout</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UNKNOWN_BLOCKED</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VALUE_INVALID</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Zero/implausible/unreconciled customs value</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UNKNOWN_BLOCKED</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DOCUMENT_MISMATCH</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Canonical, rendered and submitted data differ</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UNKNOWN_BLOCKED</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APPROVAL_SCOPE_CHANGED</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Shipment/package/lane version changed after approval</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MANUAL_CERTIFIED_REVIEW</w:t>
            </w:r>
          </w:p>
        </w:tc>
      </w:tr>
      <w:tr>
        <w:trPr>
          <w:cantSplit/>
        </w:trPr>
        <w:tc>
          <w:tcPr>
            <w:tcW w:type="dxa" w:w="2951"/>
            <w:tcMar>
              <w:top w:w="70" w:type="dxa"/>
              <w:start w:w="90" w:type="dxa"/>
              <w:bottom w:w="70" w:type="dxa"/>
              <w:end w:w="90" w:type="dxa"/>
            </w:tcMar>
            <w:vAlign w:val="top"/>
          </w:tcPr>
          <w:p>
            <w:pPr>
              <w:spacing w:before="0" w:after="0" w:line="240" w:lineRule="auto"/>
            </w:pPr>
            <w:r>
              <w:rPr>
                <w:rFonts w:ascii="Aptos" w:hAnsi="Aptos"/>
                <w:b/>
                <w:color w:val="24313D"/>
                <w:sz w:val="15"/>
              </w:rPr>
              <w:t>TEMPERATURE_LANE_UNQUALIFIED</w:t>
            </w:r>
          </w:p>
        </w:tc>
        <w:tc>
          <w:tcPr>
            <w:tcW w:type="dxa" w:w="5256"/>
            <w:tcMar>
              <w:top w:w="70" w:type="dxa"/>
              <w:start w:w="90" w:type="dxa"/>
              <w:bottom w:w="70" w:type="dxa"/>
              <w:end w:w="90" w:type="dxa"/>
            </w:tcMar>
            <w:vAlign w:val="top"/>
          </w:tcPr>
          <w:p>
            <w:pPr>
              <w:spacing w:before="0" w:after="0" w:line="240" w:lineRule="auto"/>
            </w:pPr>
            <w:r>
              <w:rPr>
                <w:rFonts w:ascii="Aptos" w:hAnsi="Aptos"/>
                <w:color w:val="24313D"/>
                <w:sz w:val="15"/>
              </w:rPr>
              <w:t>Stability/packaging/carrier/delay budget not approved</w:t>
            </w:r>
          </w:p>
        </w:tc>
        <w:tc>
          <w:tcPr>
            <w:tcW w:type="dxa" w:w="1296"/>
            <w:tcMar>
              <w:top w:w="70" w:type="dxa"/>
              <w:start w:w="90" w:type="dxa"/>
              <w:bottom w:w="70" w:type="dxa"/>
              <w:end w:w="90" w:type="dxa"/>
            </w:tcMar>
            <w:vAlign w:val="top"/>
          </w:tcPr>
          <w:p>
            <w:pPr>
              <w:spacing w:before="0" w:after="0" w:line="240" w:lineRule="auto"/>
            </w:pPr>
            <w:r>
              <w:rPr>
                <w:rFonts w:ascii="Aptos" w:hAnsi="Aptos"/>
                <w:color w:val="24313D"/>
                <w:sz w:val="15"/>
              </w:rPr>
              <w:t>BLOCKED</w:t>
            </w:r>
          </w:p>
        </w:tc>
      </w:tr>
      <w:tr>
        <w:trPr>
          <w:cantSplit/>
        </w:trPr>
        <w:tc>
          <w:tcPr>
            <w:tcW w:type="dxa" w:w="2951"/>
            <w:tcMar>
              <w:top w:w="70" w:type="dxa"/>
              <w:start w:w="90" w:type="dxa"/>
              <w:bottom w:w="70" w:type="dxa"/>
              <w:end w:w="90" w:type="dxa"/>
            </w:tcMar>
            <w:vAlign w:val="top"/>
            <w:shd w:fill="F5F7F8"/>
          </w:tcPr>
          <w:p>
            <w:pPr>
              <w:spacing w:before="0" w:after="0" w:line="240" w:lineRule="auto"/>
            </w:pPr>
            <w:r>
              <w:rPr>
                <w:rFonts w:ascii="Aptos" w:hAnsi="Aptos"/>
                <w:b/>
                <w:color w:val="24313D"/>
                <w:sz w:val="15"/>
              </w:rPr>
              <w:t>WAREHOUSE_HOLD</w:t>
            </w:r>
          </w:p>
        </w:tc>
        <w:tc>
          <w:tcPr>
            <w:tcW w:type="dxa" w:w="5256"/>
            <w:tcMar>
              <w:top w:w="70" w:type="dxa"/>
              <w:start w:w="90" w:type="dxa"/>
              <w:bottom w:w="70" w:type="dxa"/>
              <w:end w:w="90" w:type="dxa"/>
            </w:tcMar>
            <w:vAlign w:val="top"/>
            <w:shd w:fill="F5F7F8"/>
          </w:tcPr>
          <w:p>
            <w:pPr>
              <w:spacing w:before="0" w:after="0" w:line="240" w:lineRule="auto"/>
            </w:pPr>
            <w:r>
              <w:rPr>
                <w:rFonts w:ascii="Aptos" w:hAnsi="Aptos"/>
                <w:color w:val="24313D"/>
                <w:sz w:val="15"/>
              </w:rPr>
              <w:t>Quarantine, damage, recall, custody or reconciliation issue</w:t>
            </w:r>
          </w:p>
        </w:tc>
        <w:tc>
          <w:tcPr>
            <w:tcW w:type="dxa" w:w="1296"/>
            <w:tcMar>
              <w:top w:w="70" w:type="dxa"/>
              <w:start w:w="90" w:type="dxa"/>
              <w:bottom w:w="70" w:type="dxa"/>
              <w:end w:w="90" w:type="dxa"/>
            </w:tcMar>
            <w:vAlign w:val="top"/>
            <w:shd w:fill="F5F7F8"/>
          </w:tcPr>
          <w:p>
            <w:pPr>
              <w:spacing w:before="0" w:after="0" w:line="240" w:lineRule="auto"/>
            </w:pPr>
            <w:r>
              <w:rPr>
                <w:rFonts w:ascii="Aptos" w:hAnsi="Aptos"/>
                <w:color w:val="24313D"/>
                <w:sz w:val="15"/>
              </w:rPr>
              <w:t>BLOCKED</w:t>
            </w:r>
          </w:p>
        </w:tc>
      </w:tr>
    </w:tbl>
    <w:p>
      <w:pPr>
        <w:pStyle w:val="Heading2"/>
        <w:keepNext/>
      </w:pPr>
      <w:r>
        <w:t>A.3 Minimum partner error taxonomy</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880"/>
        <w:gridCol w:w="2376"/>
        <w:gridCol w:w="4248"/>
      </w:tblGrid>
      <w:tr>
        <w:trPr>
          <w:tblHeader w:val="true"/>
        </w:trPr>
        <w:tc>
          <w:tcPr>
            <w:tcW w:type="dxa" w:w="2880"/>
            <w:shd w:fill="0F6B78"/>
            <w:tcMar>
              <w:top w:w="70" w:type="dxa"/>
              <w:start w:w="90" w:type="dxa"/>
              <w:bottom w:w="70" w:type="dxa"/>
              <w:end w:w="90" w:type="dxa"/>
            </w:tcMar>
            <w:vAlign w:val="center"/>
          </w:tcPr>
          <w:p>
            <w:pPr>
              <w:spacing w:before="0" w:after="0" w:line="240" w:lineRule="auto"/>
            </w:pPr>
            <w:r>
              <w:rPr>
                <w:rFonts w:ascii="Aptos" w:hAnsi="Aptos"/>
                <w:b/>
                <w:color w:val="FFFFFF"/>
                <w:sz w:val="16"/>
              </w:rPr>
              <w:t>Canonical error</w:t>
            </w:r>
          </w:p>
        </w:tc>
        <w:tc>
          <w:tcPr>
            <w:tcW w:type="dxa" w:w="2376"/>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Retry</w:t>
            </w:r>
          </w:p>
        </w:tc>
        <w:tc>
          <w:tcPr>
            <w:tcW w:type="dxa" w:w="4248"/>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Release effect</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b/>
                <w:color w:val="24313D"/>
                <w:sz w:val="16"/>
              </w:rPr>
              <w:t>VALIDATION_ERROR</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No until corrected</w:t>
            </w:r>
          </w:p>
        </w:tc>
        <w:tc>
          <w:tcPr>
            <w:tcW w:type="dxa" w:w="4248"/>
            <w:tcMar>
              <w:top w:w="70" w:type="dxa"/>
              <w:start w:w="90" w:type="dxa"/>
              <w:bottom w:w="70" w:type="dxa"/>
              <w:end w:w="90" w:type="dxa"/>
            </w:tcMar>
            <w:vAlign w:val="top"/>
          </w:tcPr>
          <w:p>
            <w:pPr>
              <w:spacing w:before="0" w:after="0" w:line="240" w:lineRule="auto"/>
            </w:pPr>
            <w:r>
              <w:rPr>
                <w:rFonts w:ascii="Aptos" w:hAnsi="Aptos"/>
                <w:color w:val="24313D"/>
                <w:sz w:val="16"/>
              </w:rPr>
              <w:t>Hold; return precise field paths</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b/>
                <w:color w:val="24313D"/>
                <w:sz w:val="16"/>
              </w:rPr>
              <w:t>AUTHORIZATION_ERROR</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No automatic retry</w:t>
            </w:r>
          </w:p>
        </w:tc>
        <w:tc>
          <w:tcPr>
            <w:tcW w:type="dxa" w:w="4248"/>
            <w:tcMar>
              <w:top w:w="70" w:type="dxa"/>
              <w:start w:w="90" w:type="dxa"/>
              <w:bottom w:w="70" w:type="dxa"/>
              <w:end w:w="90" w:type="dxa"/>
            </w:tcMar>
            <w:vAlign w:val="top"/>
            <w:shd w:fill="F5F7F8"/>
          </w:tcPr>
          <w:p>
            <w:pPr>
              <w:spacing w:before="0" w:after="0" w:line="240" w:lineRule="auto"/>
            </w:pPr>
            <w:r>
              <w:rPr>
                <w:rFonts w:ascii="Aptos" w:hAnsi="Aptos"/>
                <w:color w:val="24313D"/>
                <w:sz w:val="16"/>
              </w:rPr>
              <w:t>Disable credential/account capability and alert</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b/>
                <w:color w:val="24313D"/>
                <w:sz w:val="16"/>
              </w:rPr>
              <w:t>RATE_LIMITED</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Yes with provider backoff</w:t>
            </w:r>
          </w:p>
        </w:tc>
        <w:tc>
          <w:tcPr>
            <w:tcW w:type="dxa" w:w="4248"/>
            <w:tcMar>
              <w:top w:w="70" w:type="dxa"/>
              <w:start w:w="90" w:type="dxa"/>
              <w:bottom w:w="70" w:type="dxa"/>
              <w:end w:w="90" w:type="dxa"/>
            </w:tcMar>
            <w:vAlign w:val="top"/>
          </w:tcPr>
          <w:p>
            <w:pPr>
              <w:spacing w:before="0" w:after="0" w:line="240" w:lineRule="auto"/>
            </w:pPr>
            <w:r>
              <w:rPr>
                <w:rFonts w:ascii="Aptos" w:hAnsi="Aptos"/>
                <w:color w:val="24313D"/>
                <w:sz w:val="16"/>
              </w:rPr>
              <w:t>Queue safe operations; hold time-critical release</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b/>
                <w:color w:val="24313D"/>
                <w:sz w:val="16"/>
              </w:rPr>
              <w:t>TRANSIENT_PROVIDER_ERROR</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Only idempotent operation</w:t>
            </w:r>
          </w:p>
        </w:tc>
        <w:tc>
          <w:tcPr>
            <w:tcW w:type="dxa" w:w="4248"/>
            <w:tcMar>
              <w:top w:w="70" w:type="dxa"/>
              <w:start w:w="90" w:type="dxa"/>
              <w:bottom w:w="70" w:type="dxa"/>
              <w:end w:w="90" w:type="dxa"/>
            </w:tcMar>
            <w:vAlign w:val="top"/>
            <w:shd w:fill="F5F7F8"/>
          </w:tcPr>
          <w:p>
            <w:pPr>
              <w:spacing w:before="0" w:after="0" w:line="240" w:lineRule="auto"/>
            </w:pPr>
            <w:r>
              <w:rPr>
                <w:rFonts w:ascii="Aptos" w:hAnsi="Aptos"/>
                <w:color w:val="24313D"/>
                <w:sz w:val="16"/>
              </w:rPr>
              <w:t>Retry with jitter; preserve attempt ledger</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b/>
                <w:color w:val="24313D"/>
                <w:sz w:val="16"/>
              </w:rPr>
              <w:t>AMBIGUOUS_OUTCOME</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No create retry until status query</w:t>
            </w:r>
          </w:p>
        </w:tc>
        <w:tc>
          <w:tcPr>
            <w:tcW w:type="dxa" w:w="4248"/>
            <w:tcMar>
              <w:top w:w="70" w:type="dxa"/>
              <w:start w:w="90" w:type="dxa"/>
              <w:bottom w:w="70" w:type="dxa"/>
              <w:end w:w="90" w:type="dxa"/>
            </w:tcMar>
            <w:vAlign w:val="top"/>
          </w:tcPr>
          <w:p>
            <w:pPr>
              <w:spacing w:before="0" w:after="0" w:line="240" w:lineRule="auto"/>
            </w:pPr>
            <w:r>
              <w:rPr>
                <w:rFonts w:ascii="Aptos" w:hAnsi="Aptos"/>
                <w:color w:val="24313D"/>
                <w:sz w:val="16"/>
              </w:rPr>
              <w:t>UNKNOWN_BLOCKED</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b/>
                <w:color w:val="24313D"/>
                <w:sz w:val="16"/>
              </w:rPr>
              <w:t>DUPLICATE</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Reconcile existing external object</w:t>
            </w:r>
          </w:p>
        </w:tc>
        <w:tc>
          <w:tcPr>
            <w:tcW w:type="dxa" w:w="4248"/>
            <w:tcMar>
              <w:top w:w="70" w:type="dxa"/>
              <w:start w:w="90" w:type="dxa"/>
              <w:bottom w:w="70" w:type="dxa"/>
              <w:end w:w="90" w:type="dxa"/>
            </w:tcMar>
            <w:vAlign w:val="top"/>
            <w:shd w:fill="F5F7F8"/>
          </w:tcPr>
          <w:p>
            <w:pPr>
              <w:spacing w:before="0" w:after="0" w:line="240" w:lineRule="auto"/>
            </w:pPr>
            <w:r>
              <w:rPr>
                <w:rFonts w:ascii="Aptos" w:hAnsi="Aptos"/>
                <w:color w:val="24313D"/>
                <w:sz w:val="16"/>
              </w:rPr>
              <w:t>Use prior object if exact idempotent match</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b/>
                <w:color w:val="24313D"/>
                <w:sz w:val="16"/>
              </w:rPr>
              <w:t>BUSINESS_REJECTION</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No until business cause corrected</w:t>
            </w:r>
          </w:p>
        </w:tc>
        <w:tc>
          <w:tcPr>
            <w:tcW w:type="dxa" w:w="4248"/>
            <w:tcMar>
              <w:top w:w="70" w:type="dxa"/>
              <w:start w:w="90" w:type="dxa"/>
              <w:bottom w:w="70" w:type="dxa"/>
              <w:end w:w="90" w:type="dxa"/>
            </w:tcMar>
            <w:vAlign w:val="top"/>
          </w:tcPr>
          <w:p>
            <w:pPr>
              <w:spacing w:before="0" w:after="0" w:line="240" w:lineRule="auto"/>
            </w:pPr>
            <w:r>
              <w:rPr>
                <w:rFonts w:ascii="Aptos" w:hAnsi="Aptos"/>
                <w:color w:val="24313D"/>
                <w:sz w:val="16"/>
              </w:rPr>
              <w:t>REJECTED/BLOCKED</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b/>
                <w:color w:val="24313D"/>
                <w:sz w:val="16"/>
              </w:rPr>
              <w:t>REFERRAL_RFI_RFS</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No automatic clearance</w:t>
            </w:r>
          </w:p>
        </w:tc>
        <w:tc>
          <w:tcPr>
            <w:tcW w:type="dxa" w:w="4248"/>
            <w:tcMar>
              <w:top w:w="70" w:type="dxa"/>
              <w:start w:w="90" w:type="dxa"/>
              <w:bottom w:w="70" w:type="dxa"/>
              <w:end w:w="90" w:type="dxa"/>
            </w:tcMar>
            <w:vAlign w:val="top"/>
            <w:shd w:fill="F5F7F8"/>
          </w:tcPr>
          <w:p>
            <w:pPr>
              <w:spacing w:before="0" w:after="0" w:line="240" w:lineRule="auto"/>
            </w:pPr>
            <w:r>
              <w:rPr>
                <w:rFonts w:ascii="Aptos" w:hAnsi="Aptos"/>
                <w:color w:val="24313D"/>
                <w:sz w:val="16"/>
              </w:rPr>
              <w:t>EXTERNAL_APPROVAL_REQUIRED</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b/>
                <w:color w:val="24313D"/>
                <w:sz w:val="16"/>
              </w:rPr>
              <w:t>DO_NOT_LOAD</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No</w:t>
            </w:r>
          </w:p>
        </w:tc>
        <w:tc>
          <w:tcPr>
            <w:tcW w:type="dxa" w:w="4248"/>
            <w:tcMar>
              <w:top w:w="70" w:type="dxa"/>
              <w:start w:w="90" w:type="dxa"/>
              <w:bottom w:w="70" w:type="dxa"/>
              <w:end w:w="90" w:type="dxa"/>
            </w:tcMar>
            <w:vAlign w:val="top"/>
          </w:tcPr>
          <w:p>
            <w:pPr>
              <w:spacing w:before="0" w:after="0" w:line="240" w:lineRule="auto"/>
            </w:pPr>
            <w:r>
              <w:rPr>
                <w:rFonts w:ascii="Aptos" w:hAnsi="Aptos"/>
                <w:color w:val="24313D"/>
                <w:sz w:val="16"/>
              </w:rPr>
              <w:t>BLOCKED; secure physical hold</w:t>
            </w:r>
          </w:p>
        </w:tc>
      </w:tr>
      <w:tr>
        <w:trPr>
          <w:cantSplit/>
        </w:trPr>
        <w:tc>
          <w:tcPr>
            <w:tcW w:type="dxa" w:w="2880"/>
            <w:tcMar>
              <w:top w:w="70" w:type="dxa"/>
              <w:start w:w="90" w:type="dxa"/>
              <w:bottom w:w="70" w:type="dxa"/>
              <w:end w:w="90" w:type="dxa"/>
            </w:tcMar>
            <w:vAlign w:val="top"/>
            <w:shd w:fill="F5F7F8"/>
          </w:tcPr>
          <w:p>
            <w:pPr>
              <w:spacing w:before="0" w:after="0" w:line="240" w:lineRule="auto"/>
            </w:pPr>
            <w:r>
              <w:rPr>
                <w:rFonts w:ascii="Aptos" w:hAnsi="Aptos"/>
                <w:b/>
                <w:color w:val="24313D"/>
                <w:sz w:val="16"/>
              </w:rPr>
              <w:t>SCHEMA_VERSION_UNSUPPORTED</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6"/>
              </w:rPr>
              <w:t>No</w:t>
            </w:r>
          </w:p>
        </w:tc>
        <w:tc>
          <w:tcPr>
            <w:tcW w:type="dxa" w:w="4248"/>
            <w:tcMar>
              <w:top w:w="70" w:type="dxa"/>
              <w:start w:w="90" w:type="dxa"/>
              <w:bottom w:w="70" w:type="dxa"/>
              <w:end w:w="90" w:type="dxa"/>
            </w:tcMar>
            <w:vAlign w:val="top"/>
            <w:shd w:fill="F5F7F8"/>
          </w:tcPr>
          <w:p>
            <w:pPr>
              <w:spacing w:before="0" w:after="0" w:line="240" w:lineRule="auto"/>
            </w:pPr>
            <w:r>
              <w:rPr>
                <w:rFonts w:ascii="Aptos" w:hAnsi="Aptos"/>
                <w:color w:val="24313D"/>
                <w:sz w:val="16"/>
              </w:rPr>
              <w:t>Disable adapter capability</w:t>
            </w:r>
          </w:p>
        </w:tc>
      </w:tr>
      <w:tr>
        <w:trPr>
          <w:cantSplit/>
        </w:trPr>
        <w:tc>
          <w:tcPr>
            <w:tcW w:type="dxa" w:w="2880"/>
            <w:tcMar>
              <w:top w:w="70" w:type="dxa"/>
              <w:start w:w="90" w:type="dxa"/>
              <w:bottom w:w="70" w:type="dxa"/>
              <w:end w:w="90" w:type="dxa"/>
            </w:tcMar>
            <w:vAlign w:val="top"/>
          </w:tcPr>
          <w:p>
            <w:pPr>
              <w:spacing w:before="0" w:after="0" w:line="240" w:lineRule="auto"/>
            </w:pPr>
            <w:r>
              <w:rPr>
                <w:rFonts w:ascii="Aptos" w:hAnsi="Aptos"/>
                <w:b/>
                <w:color w:val="24313D"/>
                <w:sz w:val="16"/>
              </w:rPr>
              <w:t>PROVIDER_OUTAGE</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6"/>
              </w:rPr>
              <w:t>Policy-dependent</w:t>
            </w:r>
          </w:p>
        </w:tc>
        <w:tc>
          <w:tcPr>
            <w:tcW w:type="dxa" w:w="4248"/>
            <w:tcMar>
              <w:top w:w="70" w:type="dxa"/>
              <w:start w:w="90" w:type="dxa"/>
              <w:bottom w:w="70" w:type="dxa"/>
              <w:end w:w="90" w:type="dxa"/>
            </w:tcMar>
            <w:vAlign w:val="top"/>
          </w:tcPr>
          <w:p>
            <w:pPr>
              <w:spacing w:before="0" w:after="0" w:line="240" w:lineRule="auto"/>
            </w:pPr>
            <w:r>
              <w:rPr>
                <w:rFonts w:ascii="Aptos" w:hAnsi="Aptos"/>
                <w:color w:val="24313D"/>
                <w:sz w:val="16"/>
              </w:rPr>
              <w:t>Degraded view; no fabricated success</w:t>
            </w:r>
          </w:p>
        </w:tc>
      </w:tr>
    </w:tbl>
    <w:p>
      <w:r>
        <w:br w:type="page"/>
      </w:r>
    </w:p>
    <w:p>
      <w:pPr>
        <w:pStyle w:val="Heading1"/>
        <w:keepNext/>
      </w:pPr>
      <w:r>
        <w:t>Appendix B. Release checklist</w:t>
      </w:r>
    </w:p>
    <w:p>
      <w:pPr>
        <w:spacing w:before="0" w:after="80" w:line="259" w:lineRule="auto"/>
      </w:pPr>
      <w:r>
        <w:t>Each applicable item must be PASS with linked evidence. NOT_APPLICABLE requires a written, independently approved scope rationale. The complete editable register is in the companion workbook.</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936"/>
        <w:gridCol w:w="1152"/>
        <w:gridCol w:w="3960"/>
        <w:gridCol w:w="1584"/>
        <w:gridCol w:w="1224"/>
        <w:gridCol w:w="648"/>
      </w:tblGrid>
      <w:tr>
        <w:trPr>
          <w:tblHeader w:val="true"/>
        </w:trPr>
        <w:tc>
          <w:tcPr>
            <w:tcW w:type="dxa" w:w="936"/>
            <w:shd w:fill="16324F"/>
            <w:tcMar>
              <w:top w:w="70" w:type="dxa"/>
              <w:start w:w="90" w:type="dxa"/>
              <w:bottom w:w="70" w:type="dxa"/>
              <w:end w:w="90" w:type="dxa"/>
            </w:tcMar>
            <w:vAlign w:val="center"/>
          </w:tcPr>
          <w:p>
            <w:pPr>
              <w:spacing w:before="0" w:after="0" w:line="240" w:lineRule="auto"/>
            </w:pPr>
            <w:r>
              <w:rPr>
                <w:rFonts w:ascii="Aptos" w:hAnsi="Aptos"/>
                <w:b/>
                <w:color w:val="FFFFFF"/>
                <w:sz w:val="13"/>
              </w:rPr>
              <w:t>Gate</w:t>
            </w:r>
          </w:p>
        </w:tc>
        <w:tc>
          <w:tcPr>
            <w:tcW w:type="dxa" w:w="1152"/>
            <w:shd w:fill="16324F"/>
            <w:tcMar>
              <w:top w:w="70" w:type="dxa"/>
              <w:start w:w="90" w:type="dxa"/>
              <w:bottom w:w="70" w:type="dxa"/>
              <w:end w:w="90" w:type="dxa"/>
            </w:tcMar>
            <w:vAlign w:val="center"/>
          </w:tcPr>
          <w:p>
            <w:pPr>
              <w:spacing w:before="0" w:after="0" w:line="240" w:lineRule="auto"/>
            </w:pPr>
            <w:r>
              <w:rPr>
                <w:rFonts w:ascii="Aptos" w:hAnsi="Aptos"/>
                <w:b/>
                <w:color w:val="FFFFFF"/>
                <w:sz w:val="13"/>
              </w:rPr>
              <w:t>Area</w:t>
            </w:r>
          </w:p>
        </w:tc>
        <w:tc>
          <w:tcPr>
            <w:tcW w:type="dxa" w:w="3960"/>
            <w:shd w:fill="16324F"/>
            <w:tcMar>
              <w:top w:w="70" w:type="dxa"/>
              <w:start w:w="90" w:type="dxa"/>
              <w:bottom w:w="70" w:type="dxa"/>
              <w:end w:w="90" w:type="dxa"/>
            </w:tcMar>
            <w:vAlign w:val="center"/>
          </w:tcPr>
          <w:p>
            <w:pPr>
              <w:spacing w:before="0" w:after="0" w:line="240" w:lineRule="auto"/>
            </w:pPr>
            <w:r>
              <w:rPr>
                <w:rFonts w:ascii="Aptos" w:hAnsi="Aptos"/>
                <w:b/>
                <w:color w:val="FFFFFF"/>
                <w:sz w:val="13"/>
              </w:rPr>
              <w:t>Acceptance criterion</w:t>
            </w:r>
          </w:p>
        </w:tc>
        <w:tc>
          <w:tcPr>
            <w:tcW w:type="dxa" w:w="1584"/>
            <w:shd w:fill="16324F"/>
            <w:tcMar>
              <w:top w:w="70" w:type="dxa"/>
              <w:start w:w="90" w:type="dxa"/>
              <w:bottom w:w="70" w:type="dxa"/>
              <w:end w:w="90" w:type="dxa"/>
            </w:tcMar>
            <w:vAlign w:val="center"/>
          </w:tcPr>
          <w:p>
            <w:pPr>
              <w:spacing w:before="0" w:after="0" w:line="240" w:lineRule="auto"/>
            </w:pPr>
            <w:r>
              <w:rPr>
                <w:rFonts w:ascii="Aptos" w:hAnsi="Aptos"/>
                <w:b/>
                <w:color w:val="FFFFFF"/>
                <w:sz w:val="13"/>
              </w:rPr>
              <w:t>Scope</w:t>
            </w:r>
          </w:p>
        </w:tc>
        <w:tc>
          <w:tcPr>
            <w:tcW w:type="dxa" w:w="1224"/>
            <w:shd w:fill="16324F"/>
            <w:tcMar>
              <w:top w:w="70" w:type="dxa"/>
              <w:start w:w="90" w:type="dxa"/>
              <w:bottom w:w="70" w:type="dxa"/>
              <w:end w:w="90" w:type="dxa"/>
            </w:tcMar>
            <w:vAlign w:val="center"/>
          </w:tcPr>
          <w:p>
            <w:pPr>
              <w:spacing w:before="0" w:after="0" w:line="240" w:lineRule="auto"/>
            </w:pPr>
            <w:r>
              <w:rPr>
                <w:rFonts w:ascii="Aptos" w:hAnsi="Aptos"/>
                <w:b/>
                <w:color w:val="FFFFFF"/>
                <w:sz w:val="13"/>
              </w:rPr>
              <w:t>Owner</w:t>
            </w:r>
          </w:p>
        </w:tc>
        <w:tc>
          <w:tcPr>
            <w:tcW w:type="dxa" w:w="648"/>
            <w:shd w:fill="16324F"/>
            <w:tcMar>
              <w:top w:w="70" w:type="dxa"/>
              <w:start w:w="90" w:type="dxa"/>
              <w:bottom w:w="70" w:type="dxa"/>
              <w:end w:w="90" w:type="dxa"/>
            </w:tcMar>
            <w:vAlign w:val="center"/>
          </w:tcPr>
          <w:p>
            <w:pPr>
              <w:spacing w:before="0" w:after="0" w:line="240" w:lineRule="auto"/>
            </w:pPr>
            <w:r>
              <w:rPr>
                <w:rFonts w:ascii="Aptos" w:hAnsi="Aptos"/>
                <w:b/>
                <w:color w:val="FFFFFF"/>
                <w:sz w:val="13"/>
              </w:rPr>
              <w:t>Baseline</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REL-001</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Legal role</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Tenant/site warehouse-operator role and prohibited-role language approved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Global and tenant</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Legal</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REL-002</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Country inventory</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249 officially assigned ISO 3166-1 entries loaded plus explicit operational overrides</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Platform</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Data governance</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PASS</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REL-003</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Country pack</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National customs authority and tariff source validated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inbound/outbound pack</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Country-pack owner</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REL-004</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Country pack</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Customs territory, fiscal exceptions and postal/air service territories mapped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pack/override</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Country-pack owner</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REL-005</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Country pack</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Import/export procedures, low-value, VAT/GST/excise and trade remedies validated with effective dates</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flow</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Customs/tax reviewer</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REL-006</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Country pack</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Prohibitions, licences, permits and other-government-agency requirements validated by commodity</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commodity family</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Commodity specialists</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REL-007</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Country pack</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Privacy, transfer, retention and breach obligations approved for tenant/customer/data flows</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hosting/operating market</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Privacy/legal</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REL-008</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Sanctions</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UN and all applicable nexus feeds ingest, alert and fail closed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Global + nexuses</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Screening operations</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REL-009</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Export controls</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Classification/end-use/licensing workflow and external approval path certified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Controlled goods</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Export controls</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REL-010</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DG</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Current ICAO/IATA/UN editions and licensed state/operator variations loaded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Air DG</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DG governance</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REL-011</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DG</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Certified reviewer registry, packaging, labels/docs and carrier acceptance tested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site/carrier/service</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DG governance</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REL-012</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Postal</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Origin operator contract, UPU versions, S10 range and message conformance approved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postal origin</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Postal owner</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REL-013</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Air</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Forwarder/carrier role, security status, PLACI/referral and AWB flows certified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air origin/partner</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Air compliance</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REL-014</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Carrier</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DHL production certification/account capabilities completed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account/market</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DHL integration</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REL-015</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Carrier</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UPS production certification/account capabilities including DG where relevant completed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account/market</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UPS integration</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REL-016</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Carrier</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FedEx integrator/certification/account capabilities completed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account/market</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FedEx integration</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REL-017</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Adapters</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Regional, postal and air adapters pass canonical contract/security/idempotency suite</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adapter/version</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Integration QA</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REL-018</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Warehouse</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Site zones, calibrated devices, quarantine, pack/release and custody SOPs tested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site/commodity</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Operations/quality</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REL-019</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Security</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Threat model, penetration test, SBOM/dependency, secrets and audit controls approved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release</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Security</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REL-020</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Residency</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Regional topology, backups/DR, keys, support and subprocessors approved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hosting region</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Privacy/security</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REL-021</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Data</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Canonical model, code lists, migration and field-purpose inventory approved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Platform</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Architecture/privacy</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REL-022</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Testing</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Every MUST requirement maps to passing automated/manual evidence</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Release</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QA/compliance</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REL-023</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Testing</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Golden lanes include positive, negative, boundary and future-effective cases</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country/mode/commodity</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Country-pack QA</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REL-024</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Operations</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Monitoring, feed/source expiry, outage, incident, intercept and escalation runbooks exercised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Platform/region</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Operations/compliance</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REL-025</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Records</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Retention, legal hold, evidence export and deletion verified</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country/data class</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Records/privacy</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REL-026</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Commercial</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Carrier/API/data-source terms, resale rights and licensed rule content approved</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Each provider/source</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Legal/procurement</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tcPr>
          <w:p>
            <w:pPr>
              <w:spacing w:before="0" w:after="0" w:line="240" w:lineRule="auto"/>
            </w:pPr>
            <w:r>
              <w:rPr>
                <w:rFonts w:ascii="Aptos" w:hAnsi="Aptos"/>
                <w:color w:val="24313D"/>
                <w:sz w:val="13"/>
              </w:rPr>
              <w:t>REL-027</w:t>
            </w:r>
          </w:p>
        </w:tc>
        <w:tc>
          <w:tcPr>
            <w:tcW w:type="dxa" w:w="1152"/>
            <w:tcMar>
              <w:top w:w="70" w:type="dxa"/>
              <w:start w:w="90" w:type="dxa"/>
              <w:bottom w:w="70" w:type="dxa"/>
              <w:end w:w="90" w:type="dxa"/>
            </w:tcMar>
            <w:vAlign w:val="top"/>
          </w:tcPr>
          <w:p>
            <w:pPr>
              <w:spacing w:before="0" w:after="0" w:line="240" w:lineRule="auto"/>
            </w:pPr>
            <w:r>
              <w:rPr>
                <w:rFonts w:ascii="Aptos" w:hAnsi="Aptos"/>
                <w:color w:val="24313D"/>
                <w:sz w:val="13"/>
              </w:rPr>
              <w:t>Tenant UAT</w:t>
            </w:r>
          </w:p>
        </w:tc>
        <w:tc>
          <w:tcPr>
            <w:tcW w:type="dxa" w:w="3960"/>
            <w:tcMar>
              <w:top w:w="70" w:type="dxa"/>
              <w:start w:w="90" w:type="dxa"/>
              <w:bottom w:w="70" w:type="dxa"/>
              <w:end w:w="90" w:type="dxa"/>
            </w:tcMar>
            <w:vAlign w:val="top"/>
          </w:tcPr>
          <w:p>
            <w:pPr>
              <w:spacing w:before="0" w:after="0" w:line="240" w:lineRule="auto"/>
            </w:pPr>
            <w:r>
              <w:rPr>
                <w:rFonts w:ascii="Aptos" w:hAnsi="Aptos"/>
                <w:color w:val="24313D"/>
                <w:sz w:val="13"/>
              </w:rPr>
              <w:t>Tenant admins accept roles, commodity permissions, DDP/DAP, approvals and site SOPs</w:t>
            </w:r>
          </w:p>
        </w:tc>
        <w:tc>
          <w:tcPr>
            <w:tcW w:type="dxa" w:w="1584"/>
            <w:tcMar>
              <w:top w:w="70" w:type="dxa"/>
              <w:start w:w="90" w:type="dxa"/>
              <w:bottom w:w="70" w:type="dxa"/>
              <w:end w:w="90" w:type="dxa"/>
            </w:tcMar>
            <w:vAlign w:val="top"/>
          </w:tcPr>
          <w:p>
            <w:pPr>
              <w:spacing w:before="0" w:after="0" w:line="240" w:lineRule="auto"/>
            </w:pPr>
            <w:r>
              <w:rPr>
                <w:rFonts w:ascii="Aptos" w:hAnsi="Aptos"/>
                <w:color w:val="24313D"/>
                <w:sz w:val="13"/>
              </w:rPr>
              <w:t>Each tenant</w:t>
            </w:r>
          </w:p>
        </w:tc>
        <w:tc>
          <w:tcPr>
            <w:tcW w:type="dxa" w:w="1224"/>
            <w:tcMar>
              <w:top w:w="70" w:type="dxa"/>
              <w:start w:w="90" w:type="dxa"/>
              <w:bottom w:w="70" w:type="dxa"/>
              <w:end w:w="90" w:type="dxa"/>
            </w:tcMar>
            <w:vAlign w:val="top"/>
          </w:tcPr>
          <w:p>
            <w:pPr>
              <w:spacing w:before="0" w:after="0" w:line="240" w:lineRule="auto"/>
            </w:pPr>
            <w:r>
              <w:rPr>
                <w:rFonts w:ascii="Aptos" w:hAnsi="Aptos"/>
                <w:color w:val="24313D"/>
                <w:sz w:val="13"/>
              </w:rPr>
              <w:t>Tenant accountable owner</w:t>
            </w:r>
          </w:p>
        </w:tc>
        <w:tc>
          <w:tcPr>
            <w:tcW w:type="dxa" w:w="648"/>
            <w:tcMar>
              <w:top w:w="70" w:type="dxa"/>
              <w:start w:w="90" w:type="dxa"/>
              <w:bottom w:w="70" w:type="dxa"/>
              <w:end w:w="90" w:type="dxa"/>
            </w:tcMar>
            <w:vAlign w:val="top"/>
          </w:tcPr>
          <w:p>
            <w:pPr>
              <w:spacing w:before="0" w:after="0" w:line="240" w:lineRule="auto"/>
            </w:pPr>
            <w:r>
              <w:rPr>
                <w:rFonts w:ascii="Aptos" w:hAnsi="Aptos"/>
                <w:color w:val="24313D"/>
                <w:sz w:val="13"/>
              </w:rPr>
              <w:t>NOT_STARTED</w:t>
            </w:r>
          </w:p>
        </w:tc>
      </w:tr>
      <w:tr>
        <w:trPr>
          <w:cantSplit/>
        </w:trPr>
        <w:tc>
          <w:tcPr>
            <w:tcW w:type="dxa" w:w="936"/>
            <w:tcMar>
              <w:top w:w="70" w:type="dxa"/>
              <w:start w:w="90" w:type="dxa"/>
              <w:bottom w:w="70" w:type="dxa"/>
              <w:end w:w="90" w:type="dxa"/>
            </w:tcMar>
            <w:vAlign w:val="top"/>
            <w:shd w:fill="F5F7F8"/>
          </w:tcPr>
          <w:p>
            <w:pPr>
              <w:spacing w:before="0" w:after="0" w:line="240" w:lineRule="auto"/>
            </w:pPr>
            <w:r>
              <w:rPr>
                <w:rFonts w:ascii="Aptos" w:hAnsi="Aptos"/>
                <w:color w:val="24313D"/>
                <w:sz w:val="13"/>
              </w:rPr>
              <w:t>REL-028</w:t>
            </w:r>
          </w:p>
        </w:tc>
        <w:tc>
          <w:tcPr>
            <w:tcW w:type="dxa" w:w="1152"/>
            <w:tcMar>
              <w:top w:w="70" w:type="dxa"/>
              <w:start w:w="90" w:type="dxa"/>
              <w:bottom w:w="70" w:type="dxa"/>
              <w:end w:w="90" w:type="dxa"/>
            </w:tcMar>
            <w:vAlign w:val="top"/>
            <w:shd w:fill="F5F7F8"/>
          </w:tcPr>
          <w:p>
            <w:pPr>
              <w:spacing w:before="0" w:after="0" w:line="240" w:lineRule="auto"/>
            </w:pPr>
            <w:r>
              <w:rPr>
                <w:rFonts w:ascii="Aptos" w:hAnsi="Aptos"/>
                <w:color w:val="24313D"/>
                <w:sz w:val="13"/>
              </w:rPr>
              <w:t>Go-live</w:t>
            </w:r>
          </w:p>
        </w:tc>
        <w:tc>
          <w:tcPr>
            <w:tcW w:type="dxa" w:w="3960"/>
            <w:tcMar>
              <w:top w:w="70" w:type="dxa"/>
              <w:start w:w="90" w:type="dxa"/>
              <w:bottom w:w="70" w:type="dxa"/>
              <w:end w:w="90" w:type="dxa"/>
            </w:tcMar>
            <w:vAlign w:val="top"/>
            <w:shd w:fill="F5F7F8"/>
          </w:tcPr>
          <w:p>
            <w:pPr>
              <w:spacing w:before="0" w:after="0" w:line="240" w:lineRule="auto"/>
            </w:pPr>
            <w:r>
              <w:rPr>
                <w:rFonts w:ascii="Aptos" w:hAnsi="Aptos"/>
                <w:color w:val="24313D"/>
                <w:sz w:val="13"/>
              </w:rPr>
              <w:t>Named legal, compliance, privacy, security, product, integrations and operations owners sign go/no-go</w:t>
            </w:r>
          </w:p>
        </w:tc>
        <w:tc>
          <w:tcPr>
            <w:tcW w:type="dxa" w:w="1584"/>
            <w:tcMar>
              <w:top w:w="70" w:type="dxa"/>
              <w:start w:w="90" w:type="dxa"/>
              <w:bottom w:w="70" w:type="dxa"/>
              <w:end w:w="90" w:type="dxa"/>
            </w:tcMar>
            <w:vAlign w:val="top"/>
            <w:shd w:fill="F5F7F8"/>
          </w:tcPr>
          <w:p>
            <w:pPr>
              <w:spacing w:before="0" w:after="0" w:line="240" w:lineRule="auto"/>
            </w:pPr>
            <w:r>
              <w:rPr>
                <w:rFonts w:ascii="Aptos" w:hAnsi="Aptos"/>
                <w:color w:val="24313D"/>
                <w:sz w:val="13"/>
              </w:rPr>
              <w:t>Release</w:t>
            </w:r>
          </w:p>
        </w:tc>
        <w:tc>
          <w:tcPr>
            <w:tcW w:type="dxa" w:w="1224"/>
            <w:tcMar>
              <w:top w:w="70" w:type="dxa"/>
              <w:start w:w="90" w:type="dxa"/>
              <w:bottom w:w="70" w:type="dxa"/>
              <w:end w:w="90" w:type="dxa"/>
            </w:tcMar>
            <w:vAlign w:val="top"/>
            <w:shd w:fill="F5F7F8"/>
          </w:tcPr>
          <w:p>
            <w:pPr>
              <w:spacing w:before="0" w:after="0" w:line="240" w:lineRule="auto"/>
            </w:pPr>
            <w:r>
              <w:rPr>
                <w:rFonts w:ascii="Aptos" w:hAnsi="Aptos"/>
                <w:color w:val="24313D"/>
                <w:sz w:val="13"/>
              </w:rPr>
              <w:t>Executive release board</w:t>
            </w:r>
          </w:p>
        </w:tc>
        <w:tc>
          <w:tcPr>
            <w:tcW w:type="dxa" w:w="648"/>
            <w:tcMar>
              <w:top w:w="70" w:type="dxa"/>
              <w:start w:w="90" w:type="dxa"/>
              <w:bottom w:w="70" w:type="dxa"/>
              <w:end w:w="90" w:type="dxa"/>
            </w:tcMar>
            <w:vAlign w:val="top"/>
            <w:shd w:fill="F5F7F8"/>
          </w:tcPr>
          <w:p>
            <w:pPr>
              <w:spacing w:before="0" w:after="0" w:line="240" w:lineRule="auto"/>
            </w:pPr>
            <w:r>
              <w:rPr>
                <w:rFonts w:ascii="Aptos" w:hAnsi="Aptos"/>
                <w:color w:val="24313D"/>
                <w:sz w:val="13"/>
              </w:rPr>
              <w:t>NOT_STARTED</w:t>
            </w:r>
          </w:p>
        </w:tc>
      </w:tr>
    </w:tbl>
    <w:p>
      <w:r>
        <w:br w:type="page"/>
      </w:r>
    </w:p>
    <w:p>
      <w:pPr>
        <w:pStyle w:val="Heading1"/>
        <w:keepNext/>
      </w:pPr>
      <w:r>
        <w:t>Appendix C. Country-pack activation dossier</w:t>
      </w:r>
    </w:p>
    <w:p>
      <w:pPr>
        <w:pStyle w:val="Heading2"/>
        <w:keepNext/>
      </w:pPr>
      <w:r>
        <w:t>C.1 Dossier contents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232"/>
        <w:gridCol w:w="7272"/>
      </w:tblGrid>
      <w:tr>
        <w:trPr>
          <w:tblHeader w:val="true"/>
        </w:trPr>
        <w:tc>
          <w:tcPr>
            <w:tcW w:type="dxa" w:w="223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Section</w:t>
            </w:r>
          </w:p>
        </w:tc>
        <w:tc>
          <w:tcPr>
            <w:tcW w:type="dxa" w:w="727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Required evidence</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6"/>
              </w:rPr>
              <w:t>Identity and territory</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6"/>
              </w:rPr>
              <w:t>ISO/UN codes, official and carrier/postal names, customs/fiscal territory, geofences and overrides</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6"/>
              </w:rPr>
              <w:t>Authoritative law</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6"/>
              </w:rPr>
              <w:t>Official gazette/authority instruments, provisions, language/translation, checksum and effective intervals</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6"/>
              </w:rPr>
              <w:t>Customs and tax</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6"/>
              </w:rPr>
              <w:t>Procedures, declarations, national tariff, origin/value, low-value, VAT/GST/excise, trade remedies and brokers/filers</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6"/>
              </w:rPr>
              <w:t>Security and sanctions</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6"/>
              </w:rPr>
              <w:t>ENS/EXS/PLACI/EAD, list nexuses, export controls, transit and referral procedures</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6"/>
              </w:rPr>
              <w:t>Commodity agencies</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6"/>
              </w:rPr>
              <w:t>Prohibitions, licences, certificates, registrations, establishments, border posts and data filings</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6"/>
              </w:rPr>
              <w:t>Partner coverage</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6"/>
              </w:rPr>
              <w:t>Carrier/postal/air accounts, services, cut-offs, commodity/DG permissions, schemas, certification and terms</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6"/>
              </w:rPr>
              <w:t>Privacy and e-docs</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6"/>
              </w:rPr>
              <w:t>Roles, data flows, transfers, retention, rights, breach, signature/original/copy/language rules</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6"/>
              </w:rPr>
              <w:t>Warehouse readiness</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6"/>
              </w:rPr>
              <w:t>Site licences, zones, calibrated devices, training, SOPs, quarantine and custody handover</w:t>
            </w:r>
          </w:p>
        </w:tc>
      </w:tr>
      <w:tr>
        <w:trPr>
          <w:cantSplit/>
        </w:trPr>
        <w:tc>
          <w:tcPr>
            <w:tcW w:type="dxa" w:w="2232"/>
            <w:tcMar>
              <w:top w:w="70" w:type="dxa"/>
              <w:start w:w="90" w:type="dxa"/>
              <w:bottom w:w="70" w:type="dxa"/>
              <w:end w:w="90" w:type="dxa"/>
            </w:tcMar>
            <w:vAlign w:val="top"/>
          </w:tcPr>
          <w:p>
            <w:pPr>
              <w:spacing w:before="0" w:after="0" w:line="240" w:lineRule="auto"/>
            </w:pPr>
            <w:r>
              <w:rPr>
                <w:rFonts w:ascii="Aptos" w:hAnsi="Aptos"/>
                <w:b/>
                <w:color w:val="24313D"/>
                <w:sz w:val="16"/>
              </w:rPr>
              <w:t>Test evidence</w:t>
            </w:r>
          </w:p>
        </w:tc>
        <w:tc>
          <w:tcPr>
            <w:tcW w:type="dxa" w:w="7272"/>
            <w:tcMar>
              <w:top w:w="70" w:type="dxa"/>
              <w:start w:w="90" w:type="dxa"/>
              <w:bottom w:w="70" w:type="dxa"/>
              <w:end w:w="90" w:type="dxa"/>
            </w:tcMar>
            <w:vAlign w:val="top"/>
          </w:tcPr>
          <w:p>
            <w:pPr>
              <w:spacing w:before="0" w:after="0" w:line="240" w:lineRule="auto"/>
            </w:pPr>
            <w:r>
              <w:rPr>
                <w:rFonts w:ascii="Aptos" w:hAnsi="Aptos"/>
                <w:color w:val="24313D"/>
                <w:sz w:val="16"/>
              </w:rPr>
              <w:t>Golden lanes, negative/boundary/temporal/referral/outage/reversal and provider certification tests</w:t>
            </w:r>
          </w:p>
        </w:tc>
      </w:tr>
      <w:tr>
        <w:trPr>
          <w:cantSplit/>
        </w:trPr>
        <w:tc>
          <w:tcPr>
            <w:tcW w:type="dxa" w:w="2232"/>
            <w:tcMar>
              <w:top w:w="70" w:type="dxa"/>
              <w:start w:w="90" w:type="dxa"/>
              <w:bottom w:w="70" w:type="dxa"/>
              <w:end w:w="90" w:type="dxa"/>
            </w:tcMar>
            <w:vAlign w:val="top"/>
            <w:shd w:fill="F5F7F8"/>
          </w:tcPr>
          <w:p>
            <w:pPr>
              <w:spacing w:before="0" w:after="0" w:line="240" w:lineRule="auto"/>
            </w:pPr>
            <w:r>
              <w:rPr>
                <w:rFonts w:ascii="Aptos" w:hAnsi="Aptos"/>
                <w:b/>
                <w:color w:val="24313D"/>
                <w:sz w:val="16"/>
              </w:rPr>
              <w:t>Governance</w:t>
            </w:r>
          </w:p>
        </w:tc>
        <w:tc>
          <w:tcPr>
            <w:tcW w:type="dxa" w:w="7272"/>
            <w:tcMar>
              <w:top w:w="70" w:type="dxa"/>
              <w:start w:w="90" w:type="dxa"/>
              <w:bottom w:w="70" w:type="dxa"/>
              <w:end w:w="90" w:type="dxa"/>
            </w:tcMar>
            <w:vAlign w:val="top"/>
            <w:shd w:fill="F5F7F8"/>
          </w:tcPr>
          <w:p>
            <w:pPr>
              <w:spacing w:before="0" w:after="0" w:line="240" w:lineRule="auto"/>
            </w:pPr>
            <w:r>
              <w:rPr>
                <w:rFonts w:ascii="Aptos" w:hAnsi="Aptos"/>
                <w:color w:val="24313D"/>
                <w:sz w:val="16"/>
              </w:rPr>
              <w:t>Named owner, author/independent approver, review cadence, monitoring alerts and emergency suspension</w:t>
            </w:r>
          </w:p>
        </w:tc>
      </w:tr>
    </w:tbl>
    <w:p>
      <w:pPr>
        <w:pStyle w:val="Heading2"/>
        <w:keepNext/>
      </w:pPr>
      <w:r>
        <w:t>C.2 Capability key</w:t>
      </w:r>
    </w:p>
    <w:p>
      <w:pPr>
        <w:spacing w:before="0" w:after="80" w:line="259" w:lineRule="auto"/>
      </w:pPr>
      <w:r>
        <w:t>The activation key SHALL include: tenant × origin site × export customs territory × transit/security route × destination customs/fiscal territory × direction × mode × partner/account × service × commodity profile × customer flow × Incoterm × planned movement time. Wildcards are permitted only where the source and approval explicitly prove identical treatment.</w:t>
      </w:r>
    </w:p>
    <w:p>
      <w:pPr>
        <w:pStyle w:val="Heading2"/>
        <w:keepNext/>
      </w:pPr>
      <w:r>
        <w:t>C.3 Worldwide baseline status</w:t>
      </w:r>
    </w:p>
    <w:tbl>
      <w:tblPr>
        <w:tblW w:type="dxa" w:w="9504"/>
        <w:tblLayout w:type="fixed"/>
        <w:tblLook w:firstColumn="1" w:firstRow="1" w:lastColumn="0" w:lastRow="0" w:noHBand="0" w:noVBand="1" w:val="04A0"/>
        <w:tblBorders>
          <w:top w:val="single" w:sz="8" w:space="0" w:color="E6812A"/>
          <w:left w:val="single" w:sz="8" w:space="0" w:color="E6812A"/>
          <w:bottom w:val="single" w:sz="8" w:space="0" w:color="E6812A"/>
          <w:right w:val="single" w:sz="8" w:space="0" w:color="E6812A"/>
          <w:insideH w:val="single" w:sz="8" w:space="0" w:color="E6812A"/>
          <w:insideV w:val="single" w:sz="8" w:space="0" w:color="E6812A"/>
        </w:tblBorders>
        <w:jc w:val="left"/>
        <w:tblInd w:w="140" w:type="dxa"/>
      </w:tblPr>
      <w:tblGrid>
        <w:gridCol w:w="9504"/>
      </w:tblGrid>
      <w:tr>
        <w:trPr>
          <w:tblHeader w:val="true"/>
        </w:trPr>
        <w:tc>
          <w:tcPr>
            <w:tcW w:type="dxa" w:w="9504"/>
            <w:shd w:fill="E6812A"/>
            <w:tcMar>
              <w:top w:w="90" w:type="dxa"/>
              <w:start w:w="140" w:type="dxa"/>
              <w:bottom w:w="90" w:type="dxa"/>
              <w:end w:w="140" w:type="dxa"/>
            </w:tcMar>
          </w:tcPr>
          <w:p>
            <w:pPr>
              <w:spacing w:before="0" w:after="0" w:line="240" w:lineRule="auto"/>
            </w:pPr>
            <w:r>
              <w:rPr>
                <w:rFonts w:ascii="Aptos Display" w:hAnsi="Aptos Display"/>
                <w:b/>
                <w:color w:val="FFFFFF"/>
                <w:sz w:val="20"/>
              </w:rPr>
              <w:t>Expected initial status: NO-GO</w:t>
            </w:r>
          </w:p>
        </w:tc>
      </w:tr>
      <w:tr>
        <w:tc>
          <w:tcPr>
            <w:tcW w:type="dxa" w:w="9504"/>
            <w:shd w:fill="FFF0E2"/>
            <w:tcMar>
              <w:top w:w="90" w:type="dxa"/>
              <w:start w:w="140" w:type="dxa"/>
              <w:bottom w:w="90" w:type="dxa"/>
              <w:end w:w="140" w:type="dxa"/>
            </w:tcMar>
          </w:tcPr>
          <w:p>
            <w:pPr>
              <w:spacing w:before="0" w:after="0" w:line="252" w:lineRule="auto"/>
            </w:pPr>
            <w:r>
              <w:rPr>
                <w:rFonts w:ascii="Aptos" w:hAnsi="Aptos"/>
                <w:color w:val="24313D"/>
                <w:sz w:val="18"/>
              </w:rPr>
              <w:t>All 250 registry records start BLOCKED_PENDING_VALIDATION. This is the correct product baseline. Release teams progressively activate proven capabilities; they do not mark a whole country ready based on a generic customs summary.</w:t>
            </w:r>
          </w:p>
        </w:tc>
      </w:tr>
    </w:tbl>
    <w:p>
      <w:pPr>
        <w:spacing w:after="0"/>
      </w:pPr>
    </w:p>
    <w:p>
      <w:r>
        <w:br w:type="page"/>
      </w:r>
    </w:p>
    <w:p>
      <w:bookmarkStart w:id="1000" w:name="source_index"/>
      <w:pPr>
        <w:pStyle w:val="Heading1"/>
        <w:keepNext/>
      </w:pPr>
      <w:r>
        <w:t>Appendix D. Authoritative source index</w:t>
      </w:r>
      <w:bookmarkEnd w:id="1000"/>
    </w:p>
    <w:p>
      <w:pPr>
        <w:spacing w:before="0" w:after="80" w:line="259" w:lineRule="auto"/>
      </w:pPr>
      <w:r>
        <w:t>The source baseline contains 94 official/primary entries as of 2026-07-25. Production country packs require provision-level citations, national implementation, current carrier terms and licensed publications where applicable. Links below point to official sources; the workbook stores monitoring owners and review dates.</w:t>
      </w:r>
    </w:p>
    <w:p>
      <w:pPr>
        <w:pStyle w:val="Heading2"/>
        <w:keepNext/>
      </w:pPr>
      <w:r>
        <w:t>D.1 Customs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00" w:name="SRC_CUS_001"/>
            <w:pPr>
              <w:spacing w:before="0" w:after="0" w:line="240" w:lineRule="auto"/>
            </w:pPr>
            <w:bookmarkEnd w:id="1100"/>
            <w:r>
              <w:rPr>
                <w:b/>
                <w:color w:val="16324F"/>
                <w:sz w:val="14"/>
              </w:rPr>
              <w:t>SRC-CUS-001</w:t>
            </w:r>
          </w:p>
        </w:tc>
        <w:tc>
          <w:tcPr>
            <w:tcW w:type="dxa" w:w="6408"/>
            <w:tcMar>
              <w:top w:w="70" w:type="dxa"/>
              <w:start w:w="90" w:type="dxa"/>
              <w:bottom w:w="70" w:type="dxa"/>
              <w:end w:w="90" w:type="dxa"/>
            </w:tcMar>
          </w:tcPr>
          <w:p>
            <w:pPr>
              <w:spacing w:before="0" w:after="0" w:line="240" w:lineRule="auto"/>
            </w:pPr>
            <w:r>
              <w:rPr>
                <w:b/>
                <w:color w:val="24313D"/>
                <w:sz w:val="14"/>
              </w:rPr>
              <w:t>World Customs Organization — WCO Data Model v4</w:t>
            </w:r>
          </w:p>
          <w:p>
            <w:pPr>
              <w:spacing w:before="0" w:after="0" w:line="240" w:lineRule="auto"/>
            </w:pPr>
            <w:r>
              <w:rPr>
                <w:color w:val="52616B"/>
                <w:sz w:val="13"/>
              </w:rPr>
              <w:t>Global • Current framework • Canonical cross-border regulatory data model; JSON/API and WCO-UPU mappings</w:t>
            </w:r>
          </w:p>
        </w:tc>
        <w:tc>
          <w:tcPr>
            <w:tcW w:type="dxa" w:w="1728"/>
            <w:tcMar>
              <w:top w:w="70" w:type="dxa"/>
              <w:start w:w="90" w:type="dxa"/>
              <w:bottom w:w="70" w:type="dxa"/>
              <w:end w:w="90" w:type="dxa"/>
            </w:tcMar>
          </w:tcPr>
          <w:p>
            <w:pPr>
              <w:spacing w:before="0" w:after="0" w:line="240" w:lineRule="auto"/>
            </w:pPr>
            <w:hyperlink r:id="rId11">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01" w:name="SRC_CUS_002"/>
            <w:pPr>
              <w:spacing w:before="0" w:after="0" w:line="240" w:lineRule="auto"/>
            </w:pPr>
            <w:bookmarkEnd w:id="1101"/>
            <w:r>
              <w:rPr>
                <w:b/>
                <w:color w:val="16324F"/>
                <w:sz w:val="14"/>
              </w:rPr>
              <w:t>SRC-CUS-002</w:t>
            </w:r>
          </w:p>
        </w:tc>
        <w:tc>
          <w:tcPr>
            <w:tcW w:type="dxa" w:w="6408"/>
            <w:tcMar>
              <w:top w:w="70" w:type="dxa"/>
              <w:start w:w="90" w:type="dxa"/>
              <w:bottom w:w="70" w:type="dxa"/>
              <w:end w:w="90" w:type="dxa"/>
            </w:tcMar>
            <w:shd w:fill="F5F7F8"/>
          </w:tcPr>
          <w:p>
            <w:pPr>
              <w:spacing w:before="0" w:after="0" w:line="240" w:lineRule="auto"/>
            </w:pPr>
            <w:r>
              <w:rPr>
                <w:b/>
                <w:color w:val="24313D"/>
                <w:sz w:val="14"/>
              </w:rPr>
              <w:t>World Customs Organization — SAFE Framework of Standards 2025</w:t>
            </w:r>
          </w:p>
          <w:p>
            <w:pPr>
              <w:spacing w:before="0" w:after="0" w:line="240" w:lineRule="auto"/>
            </w:pPr>
            <w:r>
              <w:rPr>
                <w:color w:val="52616B"/>
                <w:sz w:val="13"/>
              </w:rPr>
              <w:t>Global • 2025 • Supply-chain security, advance electronic information, authorized-operator controls</w:t>
            </w:r>
          </w:p>
        </w:tc>
        <w:tc>
          <w:tcPr>
            <w:tcW w:type="dxa" w:w="1728"/>
            <w:tcMar>
              <w:top w:w="70" w:type="dxa"/>
              <w:start w:w="90" w:type="dxa"/>
              <w:bottom w:w="70" w:type="dxa"/>
              <w:end w:w="90" w:type="dxa"/>
            </w:tcMar>
            <w:shd w:fill="F5F7F8"/>
          </w:tcPr>
          <w:p>
            <w:pPr>
              <w:spacing w:before="0" w:after="0" w:line="240" w:lineRule="auto"/>
            </w:pPr>
            <w:hyperlink r:id="rId12">
              <w:r>
                <w:rPr>
                  <w:color w:val="0F6B78"/>
                  <w:u w:val="single"/>
                </w:rPr>
                <w:t>Open official source</w:t>
              </w:r>
            </w:hyperlink>
          </w:p>
        </w:tc>
      </w:tr>
      <w:tr>
        <w:trPr>
          <w:cantSplit/>
        </w:trPr>
        <w:tc>
          <w:tcPr>
            <w:tcW w:type="dxa" w:w="1368"/>
            <w:tcMar>
              <w:top w:w="70" w:type="dxa"/>
              <w:start w:w="90" w:type="dxa"/>
              <w:bottom w:w="70" w:type="dxa"/>
              <w:end w:w="90" w:type="dxa"/>
            </w:tcMar>
          </w:tcPr>
          <w:p>
            <w:bookmarkStart w:id="1102" w:name="SRC_CUS_003"/>
            <w:pPr>
              <w:spacing w:before="0" w:after="0" w:line="240" w:lineRule="auto"/>
            </w:pPr>
            <w:bookmarkEnd w:id="1102"/>
            <w:r>
              <w:rPr>
                <w:b/>
                <w:color w:val="16324F"/>
                <w:sz w:val="14"/>
              </w:rPr>
              <w:t>SRC-CUS-003</w:t>
            </w:r>
          </w:p>
        </w:tc>
        <w:tc>
          <w:tcPr>
            <w:tcW w:type="dxa" w:w="6408"/>
            <w:tcMar>
              <w:top w:w="70" w:type="dxa"/>
              <w:start w:w="90" w:type="dxa"/>
              <w:bottom w:w="70" w:type="dxa"/>
              <w:end w:w="90" w:type="dxa"/>
            </w:tcMar>
          </w:tcPr>
          <w:p>
            <w:pPr>
              <w:spacing w:before="0" w:after="0" w:line="240" w:lineRule="auto"/>
            </w:pPr>
            <w:r>
              <w:rPr>
                <w:b/>
                <w:color w:val="24313D"/>
                <w:sz w:val="14"/>
              </w:rPr>
              <w:t>World Customs Organization — Revised Kyoto Convention</w:t>
            </w:r>
          </w:p>
          <w:p>
            <w:pPr>
              <w:spacing w:before="0" w:after="0" w:line="240" w:lineRule="auto"/>
            </w:pPr>
            <w:r>
              <w:rPr>
                <w:color w:val="52616B"/>
                <w:sz w:val="13"/>
              </w:rPr>
              <w:t>Global • Convention/current accessions • Customs simplification, transparency, risk management, appeals, data minimization</w:t>
            </w:r>
          </w:p>
        </w:tc>
        <w:tc>
          <w:tcPr>
            <w:tcW w:type="dxa" w:w="1728"/>
            <w:tcMar>
              <w:top w:w="70" w:type="dxa"/>
              <w:start w:w="90" w:type="dxa"/>
              <w:bottom w:w="70" w:type="dxa"/>
              <w:end w:w="90" w:type="dxa"/>
            </w:tcMar>
          </w:tcPr>
          <w:p>
            <w:pPr>
              <w:spacing w:before="0" w:after="0" w:line="240" w:lineRule="auto"/>
            </w:pPr>
            <w:hyperlink r:id="rId13">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03" w:name="SRC_CUS_004"/>
            <w:pPr>
              <w:spacing w:before="0" w:after="0" w:line="240" w:lineRule="auto"/>
            </w:pPr>
            <w:bookmarkEnd w:id="1103"/>
            <w:r>
              <w:rPr>
                <w:b/>
                <w:color w:val="16324F"/>
                <w:sz w:val="14"/>
              </w:rPr>
              <w:t>SRC-CUS-004</w:t>
            </w:r>
          </w:p>
        </w:tc>
        <w:tc>
          <w:tcPr>
            <w:tcW w:type="dxa" w:w="6408"/>
            <w:tcMar>
              <w:top w:w="70" w:type="dxa"/>
              <w:start w:w="90" w:type="dxa"/>
              <w:bottom w:w="70" w:type="dxa"/>
              <w:end w:w="90" w:type="dxa"/>
            </w:tcMar>
            <w:shd w:fill="F5F7F8"/>
          </w:tcPr>
          <w:p>
            <w:pPr>
              <w:spacing w:before="0" w:after="0" w:line="240" w:lineRule="auto"/>
            </w:pPr>
            <w:r>
              <w:rPr>
                <w:b/>
                <w:color w:val="24313D"/>
                <w:sz w:val="14"/>
              </w:rPr>
              <w:t>World Customs Organization — Cross-Border E-Commerce Framework of Standards</w:t>
            </w:r>
          </w:p>
          <w:p>
            <w:pPr>
              <w:spacing w:before="0" w:after="0" w:line="240" w:lineRule="auto"/>
            </w:pPr>
            <w:r>
              <w:rPr>
                <w:color w:val="52616B"/>
                <w:sz w:val="13"/>
              </w:rPr>
              <w:t>Global • Current • E-commerce advance data, facilitation, safety, revenue and partnership controls</w:t>
            </w:r>
          </w:p>
        </w:tc>
        <w:tc>
          <w:tcPr>
            <w:tcW w:type="dxa" w:w="1728"/>
            <w:tcMar>
              <w:top w:w="70" w:type="dxa"/>
              <w:start w:w="90" w:type="dxa"/>
              <w:bottom w:w="70" w:type="dxa"/>
              <w:end w:w="90" w:type="dxa"/>
            </w:tcMar>
            <w:shd w:fill="F5F7F8"/>
          </w:tcPr>
          <w:p>
            <w:pPr>
              <w:spacing w:before="0" w:after="0" w:line="240" w:lineRule="auto"/>
            </w:pPr>
            <w:hyperlink r:id="rId14">
              <w:r>
                <w:rPr>
                  <w:color w:val="0F6B78"/>
                  <w:u w:val="single"/>
                </w:rPr>
                <w:t>Open official source</w:t>
              </w:r>
            </w:hyperlink>
          </w:p>
        </w:tc>
      </w:tr>
      <w:tr>
        <w:trPr>
          <w:cantSplit/>
        </w:trPr>
        <w:tc>
          <w:tcPr>
            <w:tcW w:type="dxa" w:w="1368"/>
            <w:tcMar>
              <w:top w:w="70" w:type="dxa"/>
              <w:start w:w="90" w:type="dxa"/>
              <w:bottom w:w="70" w:type="dxa"/>
              <w:end w:w="90" w:type="dxa"/>
            </w:tcMar>
          </w:tcPr>
          <w:p>
            <w:bookmarkStart w:id="1104" w:name="SRC_EU_004"/>
            <w:pPr>
              <w:spacing w:before="0" w:after="0" w:line="240" w:lineRule="auto"/>
            </w:pPr>
            <w:bookmarkEnd w:id="1104"/>
            <w:r>
              <w:rPr>
                <w:b/>
                <w:color w:val="16324F"/>
                <w:sz w:val="14"/>
              </w:rPr>
              <w:t>SRC-EU-004</w:t>
            </w:r>
          </w:p>
        </w:tc>
        <w:tc>
          <w:tcPr>
            <w:tcW w:type="dxa" w:w="6408"/>
            <w:tcMar>
              <w:top w:w="70" w:type="dxa"/>
              <w:start w:w="90" w:type="dxa"/>
              <w:bottom w:w="70" w:type="dxa"/>
              <w:end w:w="90" w:type="dxa"/>
            </w:tcMar>
          </w:tcPr>
          <w:p>
            <w:pPr>
              <w:spacing w:before="0" w:after="0" w:line="240" w:lineRule="auto"/>
            </w:pPr>
            <w:r>
              <w:rPr>
                <w:b/>
                <w:color w:val="24313D"/>
                <w:sz w:val="14"/>
              </w:rPr>
              <w:t>EUR-Lex — Union Customs Code</w:t>
            </w:r>
          </w:p>
          <w:p>
            <w:pPr>
              <w:spacing w:before="0" w:after="0" w:line="240" w:lineRule="auto"/>
            </w:pPr>
            <w:r>
              <w:rPr>
                <w:color w:val="52616B"/>
                <w:sz w:val="13"/>
              </w:rPr>
              <w:t>European Union • Current consolidated text • EU customs procedures, debt, declarations and representation</w:t>
            </w:r>
          </w:p>
        </w:tc>
        <w:tc>
          <w:tcPr>
            <w:tcW w:type="dxa" w:w="1728"/>
            <w:tcMar>
              <w:top w:w="70" w:type="dxa"/>
              <w:start w:w="90" w:type="dxa"/>
              <w:bottom w:w="70" w:type="dxa"/>
              <w:end w:w="90" w:type="dxa"/>
            </w:tcMar>
          </w:tcPr>
          <w:p>
            <w:pPr>
              <w:spacing w:before="0" w:after="0" w:line="240" w:lineRule="auto"/>
            </w:pPr>
            <w:hyperlink r:id="rId15">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05" w:name="SRC_UK_003"/>
            <w:pPr>
              <w:spacing w:before="0" w:after="0" w:line="240" w:lineRule="auto"/>
            </w:pPr>
            <w:bookmarkEnd w:id="1105"/>
            <w:r>
              <w:rPr>
                <w:b/>
                <w:color w:val="16324F"/>
                <w:sz w:val="14"/>
              </w:rPr>
              <w:t>SRC-UK-003</w:t>
            </w:r>
          </w:p>
        </w:tc>
        <w:tc>
          <w:tcPr>
            <w:tcW w:type="dxa" w:w="6408"/>
            <w:tcMar>
              <w:top w:w="70" w:type="dxa"/>
              <w:start w:w="90" w:type="dxa"/>
              <w:bottom w:w="70" w:type="dxa"/>
              <w:end w:w="90" w:type="dxa"/>
            </w:tcMar>
            <w:shd w:fill="F5F7F8"/>
          </w:tcPr>
          <w:p>
            <w:pPr>
              <w:spacing w:before="0" w:after="0" w:line="240" w:lineRule="auto"/>
            </w:pPr>
            <w:r>
              <w:rPr>
                <w:b/>
                <w:color w:val="24313D"/>
                <w:sz w:val="14"/>
              </w:rPr>
              <w:t>HM Revenue &amp; Customs — Customs Declaration Service collection</w:t>
            </w:r>
          </w:p>
          <w:p>
            <w:pPr>
              <w:spacing w:before="0" w:after="0" w:line="240" w:lineRule="auto"/>
            </w:pPr>
            <w:r>
              <w:rPr>
                <w:color w:val="52616B"/>
                <w:sz w:val="13"/>
              </w:rPr>
              <w:t>United Kingdom • Current • Carrier/broker filing response and declaration identifier mapping</w:t>
            </w:r>
          </w:p>
        </w:tc>
        <w:tc>
          <w:tcPr>
            <w:tcW w:type="dxa" w:w="1728"/>
            <w:tcMar>
              <w:top w:w="70" w:type="dxa"/>
              <w:start w:w="90" w:type="dxa"/>
              <w:bottom w:w="70" w:type="dxa"/>
              <w:end w:w="90" w:type="dxa"/>
            </w:tcMar>
            <w:shd w:fill="F5F7F8"/>
          </w:tcPr>
          <w:p>
            <w:pPr>
              <w:spacing w:before="0" w:after="0" w:line="240" w:lineRule="auto"/>
            </w:pPr>
            <w:hyperlink r:id="rId16">
              <w:r>
                <w:rPr>
                  <w:color w:val="0F6B78"/>
                  <w:u w:val="single"/>
                </w:rPr>
                <w:t>Open official source</w:t>
              </w:r>
            </w:hyperlink>
          </w:p>
        </w:tc>
      </w:tr>
    </w:tbl>
    <w:p>
      <w:pPr>
        <w:pStyle w:val="Heading2"/>
        <w:keepNext/>
      </w:pPr>
      <w:r>
        <w:t>D.2 Classification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06" w:name="SRC_CUS_005"/>
            <w:pPr>
              <w:spacing w:before="0" w:after="0" w:line="240" w:lineRule="auto"/>
            </w:pPr>
            <w:bookmarkEnd w:id="1106"/>
            <w:r>
              <w:rPr>
                <w:b/>
                <w:color w:val="16324F"/>
                <w:sz w:val="14"/>
              </w:rPr>
              <w:t>SRC-CUS-005</w:t>
            </w:r>
          </w:p>
        </w:tc>
        <w:tc>
          <w:tcPr>
            <w:tcW w:type="dxa" w:w="6408"/>
            <w:tcMar>
              <w:top w:w="70" w:type="dxa"/>
              <w:start w:w="90" w:type="dxa"/>
              <w:bottom w:w="70" w:type="dxa"/>
              <w:end w:w="90" w:type="dxa"/>
            </w:tcMar>
          </w:tcPr>
          <w:p>
            <w:pPr>
              <w:spacing w:before="0" w:after="0" w:line="240" w:lineRule="auto"/>
            </w:pPr>
            <w:r>
              <w:rPr>
                <w:b/>
                <w:color w:val="24313D"/>
                <w:sz w:val="14"/>
              </w:rPr>
              <w:t>World Customs Organization — Harmonized System 2022</w:t>
            </w:r>
          </w:p>
          <w:p>
            <w:pPr>
              <w:spacing w:before="0" w:after="0" w:line="240" w:lineRule="auto"/>
            </w:pPr>
            <w:r>
              <w:rPr>
                <w:color w:val="52616B"/>
                <w:sz w:val="13"/>
              </w:rPr>
              <w:t>Global • 2022 edition • Six-digit HS baseline; national tariff extensions remain country-pack data</w:t>
            </w:r>
          </w:p>
        </w:tc>
        <w:tc>
          <w:tcPr>
            <w:tcW w:type="dxa" w:w="1728"/>
            <w:tcMar>
              <w:top w:w="70" w:type="dxa"/>
              <w:start w:w="90" w:type="dxa"/>
              <w:bottom w:w="70" w:type="dxa"/>
              <w:end w:w="90" w:type="dxa"/>
            </w:tcMar>
          </w:tcPr>
          <w:p>
            <w:pPr>
              <w:spacing w:before="0" w:after="0" w:line="240" w:lineRule="auto"/>
            </w:pPr>
            <w:hyperlink r:id="rId17">
              <w:r>
                <w:rPr>
                  <w:color w:val="0F6B78"/>
                  <w:u w:val="single"/>
                </w:rPr>
                <w:t>Open official source</w:t>
              </w:r>
            </w:hyperlink>
          </w:p>
        </w:tc>
      </w:tr>
    </w:tbl>
    <w:p>
      <w:pPr>
        <w:pStyle w:val="Heading2"/>
        <w:keepNext/>
      </w:pPr>
      <w:r>
        <w:t>D.3 Trade facilitation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07" w:name="SRC_CUS_006"/>
            <w:pPr>
              <w:spacing w:before="0" w:after="0" w:line="240" w:lineRule="auto"/>
            </w:pPr>
            <w:bookmarkEnd w:id="1107"/>
            <w:r>
              <w:rPr>
                <w:b/>
                <w:color w:val="16324F"/>
                <w:sz w:val="14"/>
              </w:rPr>
              <w:t>SRC-CUS-006</w:t>
            </w:r>
          </w:p>
        </w:tc>
        <w:tc>
          <w:tcPr>
            <w:tcW w:type="dxa" w:w="6408"/>
            <w:tcMar>
              <w:top w:w="70" w:type="dxa"/>
              <w:start w:w="90" w:type="dxa"/>
              <w:bottom w:w="70" w:type="dxa"/>
              <w:end w:w="90" w:type="dxa"/>
            </w:tcMar>
          </w:tcPr>
          <w:p>
            <w:pPr>
              <w:spacing w:before="0" w:after="0" w:line="240" w:lineRule="auto"/>
            </w:pPr>
            <w:r>
              <w:rPr>
                <w:b/>
                <w:color w:val="24313D"/>
                <w:sz w:val="14"/>
              </w:rPr>
              <w:t>World Trade Organization — Trade Facilitation Agreement legal text</w:t>
            </w:r>
          </w:p>
          <w:p>
            <w:pPr>
              <w:spacing w:before="0" w:after="0" w:line="240" w:lineRule="auto"/>
            </w:pPr>
            <w:r>
              <w:rPr>
                <w:color w:val="52616B"/>
                <w:sz w:val="13"/>
              </w:rPr>
              <w:t>Global • Current • Publication, pre-arrival, release, transit, single-window and broker context</w:t>
            </w:r>
          </w:p>
        </w:tc>
        <w:tc>
          <w:tcPr>
            <w:tcW w:type="dxa" w:w="1728"/>
            <w:tcMar>
              <w:top w:w="70" w:type="dxa"/>
              <w:start w:w="90" w:type="dxa"/>
              <w:bottom w:w="70" w:type="dxa"/>
              <w:end w:w="90" w:type="dxa"/>
            </w:tcMar>
          </w:tcPr>
          <w:p>
            <w:pPr>
              <w:spacing w:before="0" w:after="0" w:line="240" w:lineRule="auto"/>
            </w:pPr>
            <w:hyperlink r:id="rId18">
              <w:r>
                <w:rPr>
                  <w:color w:val="0F6B78"/>
                  <w:u w:val="single"/>
                </w:rPr>
                <w:t>Open official source</w:t>
              </w:r>
            </w:hyperlink>
          </w:p>
        </w:tc>
      </w:tr>
    </w:tbl>
    <w:p>
      <w:pPr>
        <w:pStyle w:val="Heading2"/>
        <w:keepNext/>
      </w:pPr>
      <w:r>
        <w:t>D.4 Country intelligence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08" w:name="SRC_CUS_007"/>
            <w:pPr>
              <w:spacing w:before="0" w:after="0" w:line="240" w:lineRule="auto"/>
            </w:pPr>
            <w:bookmarkEnd w:id="1108"/>
            <w:r>
              <w:rPr>
                <w:b/>
                <w:color w:val="16324F"/>
                <w:sz w:val="14"/>
              </w:rPr>
              <w:t>SRC-CUS-007</w:t>
            </w:r>
          </w:p>
        </w:tc>
        <w:tc>
          <w:tcPr>
            <w:tcW w:type="dxa" w:w="6408"/>
            <w:tcMar>
              <w:top w:w="70" w:type="dxa"/>
              <w:start w:w="90" w:type="dxa"/>
              <w:bottom w:w="70" w:type="dxa"/>
              <w:end w:w="90" w:type="dxa"/>
            </w:tcMar>
          </w:tcPr>
          <w:p>
            <w:pPr>
              <w:spacing w:before="0" w:after="0" w:line="240" w:lineRule="auto"/>
            </w:pPr>
            <w:r>
              <w:rPr>
                <w:b/>
                <w:color w:val="24313D"/>
                <w:sz w:val="14"/>
              </w:rPr>
              <w:t>World Trade Organization — Trade Facilitation Agreement Database</w:t>
            </w:r>
          </w:p>
          <w:p>
            <w:pPr>
              <w:spacing w:before="0" w:after="0" w:line="240" w:lineRule="auto"/>
            </w:pPr>
            <w:r>
              <w:rPr>
                <w:color w:val="52616B"/>
                <w:sz w:val="13"/>
              </w:rPr>
              <w:t>WTO members • Live member notifications • Country-pack discovery: procedures, single windows, broker use and contact points</w:t>
            </w:r>
          </w:p>
        </w:tc>
        <w:tc>
          <w:tcPr>
            <w:tcW w:type="dxa" w:w="1728"/>
            <w:tcMar>
              <w:top w:w="70" w:type="dxa"/>
              <w:start w:w="90" w:type="dxa"/>
              <w:bottom w:w="70" w:type="dxa"/>
              <w:end w:w="90" w:type="dxa"/>
            </w:tcMar>
          </w:tcPr>
          <w:p>
            <w:pPr>
              <w:spacing w:before="0" w:after="0" w:line="240" w:lineRule="auto"/>
            </w:pPr>
            <w:hyperlink r:id="rId19">
              <w:r>
                <w:rPr>
                  <w:color w:val="0F6B78"/>
                  <w:u w:val="single"/>
                </w:rPr>
                <w:t>Open official source</w:t>
              </w:r>
            </w:hyperlink>
          </w:p>
        </w:tc>
      </w:tr>
    </w:tbl>
    <w:p>
      <w:pPr>
        <w:pStyle w:val="Heading2"/>
        <w:keepNext/>
      </w:pPr>
      <w:r>
        <w:t>D.5 Origin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09" w:name="SRC_CUS_008"/>
            <w:pPr>
              <w:spacing w:before="0" w:after="0" w:line="240" w:lineRule="auto"/>
            </w:pPr>
            <w:bookmarkEnd w:id="1109"/>
            <w:r>
              <w:rPr>
                <w:b/>
                <w:color w:val="16324F"/>
                <w:sz w:val="14"/>
              </w:rPr>
              <w:t>SRC-CUS-008</w:t>
            </w:r>
          </w:p>
        </w:tc>
        <w:tc>
          <w:tcPr>
            <w:tcW w:type="dxa" w:w="6408"/>
            <w:tcMar>
              <w:top w:w="70" w:type="dxa"/>
              <w:start w:w="90" w:type="dxa"/>
              <w:bottom w:w="70" w:type="dxa"/>
              <w:end w:w="90" w:type="dxa"/>
            </w:tcMar>
          </w:tcPr>
          <w:p>
            <w:pPr>
              <w:spacing w:before="0" w:after="0" w:line="240" w:lineRule="auto"/>
            </w:pPr>
            <w:r>
              <w:rPr>
                <w:b/>
                <w:color w:val="24313D"/>
                <w:sz w:val="14"/>
              </w:rPr>
              <w:t>World Trade Organization — Rules of Origin Dataset</w:t>
            </w:r>
          </w:p>
          <w:p>
            <w:pPr>
              <w:spacing w:before="0" w:after="0" w:line="240" w:lineRule="auto"/>
            </w:pPr>
            <w:r>
              <w:rPr>
                <w:color w:val="52616B"/>
                <w:sz w:val="13"/>
              </w:rPr>
              <w:t>Global • Live dataset • Preferential/non-preferential origin source discovery; agreement inventory</w:t>
            </w:r>
          </w:p>
        </w:tc>
        <w:tc>
          <w:tcPr>
            <w:tcW w:type="dxa" w:w="1728"/>
            <w:tcMar>
              <w:top w:w="70" w:type="dxa"/>
              <w:start w:w="90" w:type="dxa"/>
              <w:bottom w:w="70" w:type="dxa"/>
              <w:end w:w="90" w:type="dxa"/>
            </w:tcMar>
          </w:tcPr>
          <w:p>
            <w:pPr>
              <w:spacing w:before="0" w:after="0" w:line="240" w:lineRule="auto"/>
            </w:pPr>
            <w:hyperlink r:id="rId20">
              <w:r>
                <w:rPr>
                  <w:color w:val="0F6B78"/>
                  <w:u w:val="single"/>
                </w:rPr>
                <w:t>Open official source</w:t>
              </w:r>
            </w:hyperlink>
          </w:p>
        </w:tc>
      </w:tr>
    </w:tbl>
    <w:p>
      <w:pPr>
        <w:pStyle w:val="Heading2"/>
        <w:keepNext/>
      </w:pPr>
      <w:r>
        <w:t>D.6 Licensing</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10" w:name="SRC_CUS_009"/>
            <w:pPr>
              <w:spacing w:before="0" w:after="0" w:line="240" w:lineRule="auto"/>
            </w:pPr>
            <w:bookmarkEnd w:id="1110"/>
            <w:r>
              <w:rPr>
                <w:b/>
                <w:color w:val="16324F"/>
                <w:sz w:val="14"/>
              </w:rPr>
              <w:t>SRC-CUS-009</w:t>
            </w:r>
          </w:p>
        </w:tc>
        <w:tc>
          <w:tcPr>
            <w:tcW w:type="dxa" w:w="6408"/>
            <w:tcMar>
              <w:top w:w="70" w:type="dxa"/>
              <w:start w:w="90" w:type="dxa"/>
              <w:bottom w:w="70" w:type="dxa"/>
              <w:end w:w="90" w:type="dxa"/>
            </w:tcMar>
          </w:tcPr>
          <w:p>
            <w:pPr>
              <w:spacing w:before="0" w:after="0" w:line="240" w:lineRule="auto"/>
            </w:pPr>
            <w:r>
              <w:rPr>
                <w:b/>
                <w:color w:val="24313D"/>
                <w:sz w:val="14"/>
              </w:rPr>
              <w:t>World Trade Organization — Agreement on Import Licensing Procedures</w:t>
            </w:r>
          </w:p>
          <w:p>
            <w:pPr>
              <w:spacing w:before="0" w:after="0" w:line="240" w:lineRule="auto"/>
            </w:pPr>
            <w:r>
              <w:rPr>
                <w:color w:val="52616B"/>
                <w:sz w:val="13"/>
              </w:rPr>
              <w:t>Global • Current • Licensing transparency and country-pack licensing workflow design</w:t>
            </w:r>
          </w:p>
        </w:tc>
        <w:tc>
          <w:tcPr>
            <w:tcW w:type="dxa" w:w="1728"/>
            <w:tcMar>
              <w:top w:w="70" w:type="dxa"/>
              <w:start w:w="90" w:type="dxa"/>
              <w:bottom w:w="70" w:type="dxa"/>
              <w:end w:w="90" w:type="dxa"/>
            </w:tcMar>
          </w:tcPr>
          <w:p>
            <w:pPr>
              <w:spacing w:before="0" w:after="0" w:line="240" w:lineRule="auto"/>
            </w:pPr>
            <w:hyperlink r:id="rId21">
              <w:r>
                <w:rPr>
                  <w:color w:val="0F6B78"/>
                  <w:u w:val="single"/>
                </w:rPr>
                <w:t>Open official source</w:t>
              </w:r>
            </w:hyperlink>
          </w:p>
        </w:tc>
      </w:tr>
    </w:tbl>
    <w:p>
      <w:pPr>
        <w:pStyle w:val="Heading2"/>
        <w:keepNext/>
      </w:pPr>
      <w:r>
        <w:t>D.7 Valuation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11" w:name="SRC_CUS_010"/>
            <w:pPr>
              <w:spacing w:before="0" w:after="0" w:line="240" w:lineRule="auto"/>
            </w:pPr>
            <w:bookmarkEnd w:id="1111"/>
            <w:r>
              <w:rPr>
                <w:b/>
                <w:color w:val="16324F"/>
                <w:sz w:val="14"/>
              </w:rPr>
              <w:t>SRC-CUS-010</w:t>
            </w:r>
          </w:p>
        </w:tc>
        <w:tc>
          <w:tcPr>
            <w:tcW w:type="dxa" w:w="6408"/>
            <w:tcMar>
              <w:top w:w="70" w:type="dxa"/>
              <w:start w:w="90" w:type="dxa"/>
              <w:bottom w:w="70" w:type="dxa"/>
              <w:end w:w="90" w:type="dxa"/>
            </w:tcMar>
          </w:tcPr>
          <w:p>
            <w:pPr>
              <w:spacing w:before="0" w:after="0" w:line="240" w:lineRule="auto"/>
            </w:pPr>
            <w:r>
              <w:rPr>
                <w:b/>
                <w:color w:val="24313D"/>
                <w:sz w:val="14"/>
              </w:rPr>
              <w:t>World Trade Organization — Customs valuation learning and legal materials</w:t>
            </w:r>
          </w:p>
          <w:p>
            <w:pPr>
              <w:spacing w:before="0" w:after="0" w:line="240" w:lineRule="auto"/>
            </w:pPr>
            <w:r>
              <w:rPr>
                <w:color w:val="52616B"/>
                <w:sz w:val="13"/>
              </w:rPr>
              <w:t>Global • Current • Transaction value and sequential alternative methods; local implementation required</w:t>
            </w:r>
          </w:p>
        </w:tc>
        <w:tc>
          <w:tcPr>
            <w:tcW w:type="dxa" w:w="1728"/>
            <w:tcMar>
              <w:top w:w="70" w:type="dxa"/>
              <w:start w:w="90" w:type="dxa"/>
              <w:bottom w:w="70" w:type="dxa"/>
              <w:end w:w="90" w:type="dxa"/>
            </w:tcMar>
          </w:tcPr>
          <w:p>
            <w:pPr>
              <w:spacing w:before="0" w:after="0" w:line="240" w:lineRule="auto"/>
            </w:pPr>
            <w:hyperlink r:id="rId22">
              <w:r>
                <w:rPr>
                  <w:color w:val="0F6B78"/>
                  <w:u w:val="single"/>
                </w:rPr>
                <w:t>Open official source</w:t>
              </w:r>
            </w:hyperlink>
          </w:p>
        </w:tc>
      </w:tr>
    </w:tbl>
    <w:p>
      <w:pPr>
        <w:pStyle w:val="Heading2"/>
        <w:keepNext/>
      </w:pPr>
      <w:r>
        <w:t>D.8 Location data</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12" w:name="SRC_DAT_001"/>
            <w:pPr>
              <w:spacing w:before="0" w:after="0" w:line="240" w:lineRule="auto"/>
            </w:pPr>
            <w:bookmarkEnd w:id="1112"/>
            <w:r>
              <w:rPr>
                <w:b/>
                <w:color w:val="16324F"/>
                <w:sz w:val="14"/>
              </w:rPr>
              <w:t>SRC-DAT-001</w:t>
            </w:r>
          </w:p>
        </w:tc>
        <w:tc>
          <w:tcPr>
            <w:tcW w:type="dxa" w:w="6408"/>
            <w:tcMar>
              <w:top w:w="70" w:type="dxa"/>
              <w:start w:w="90" w:type="dxa"/>
              <w:bottom w:w="70" w:type="dxa"/>
              <w:end w:w="90" w:type="dxa"/>
            </w:tcMar>
          </w:tcPr>
          <w:p>
            <w:pPr>
              <w:spacing w:before="0" w:after="0" w:line="240" w:lineRule="auto"/>
            </w:pPr>
            <w:r>
              <w:rPr>
                <w:b/>
                <w:color w:val="24313D"/>
                <w:sz w:val="14"/>
              </w:rPr>
              <w:t>United Nations Statistics Division — UN M49 country or area codes</w:t>
            </w:r>
          </w:p>
          <w:p>
            <w:pPr>
              <w:spacing w:before="0" w:after="0" w:line="240" w:lineRule="auto"/>
            </w:pPr>
            <w:r>
              <w:rPr>
                <w:color w:val="52616B"/>
                <w:sz w:val="13"/>
              </w:rPr>
              <w:t>Global • Live • Country/territory naming, M49 codes and statistical regions</w:t>
            </w:r>
          </w:p>
        </w:tc>
        <w:tc>
          <w:tcPr>
            <w:tcW w:type="dxa" w:w="1728"/>
            <w:tcMar>
              <w:top w:w="70" w:type="dxa"/>
              <w:start w:w="90" w:type="dxa"/>
              <w:bottom w:w="70" w:type="dxa"/>
              <w:end w:w="90" w:type="dxa"/>
            </w:tcMar>
          </w:tcPr>
          <w:p>
            <w:pPr>
              <w:spacing w:before="0" w:after="0" w:line="240" w:lineRule="auto"/>
            </w:pPr>
            <w:hyperlink r:id="rId23">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13" w:name="SRC_DAT_002"/>
            <w:pPr>
              <w:spacing w:before="0" w:after="0" w:line="240" w:lineRule="auto"/>
            </w:pPr>
            <w:bookmarkEnd w:id="1113"/>
            <w:r>
              <w:rPr>
                <w:b/>
                <w:color w:val="16324F"/>
                <w:sz w:val="14"/>
              </w:rPr>
              <w:t>SRC-DAT-002</w:t>
            </w:r>
          </w:p>
        </w:tc>
        <w:tc>
          <w:tcPr>
            <w:tcW w:type="dxa" w:w="6408"/>
            <w:tcMar>
              <w:top w:w="70" w:type="dxa"/>
              <w:start w:w="90" w:type="dxa"/>
              <w:bottom w:w="70" w:type="dxa"/>
              <w:end w:w="90" w:type="dxa"/>
            </w:tcMar>
            <w:shd w:fill="F5F7F8"/>
          </w:tcPr>
          <w:p>
            <w:pPr>
              <w:spacing w:before="0" w:after="0" w:line="240" w:lineRule="auto"/>
            </w:pPr>
            <w:r>
              <w:rPr>
                <w:b/>
                <w:color w:val="24313D"/>
                <w:sz w:val="14"/>
              </w:rPr>
              <w:t>International Organization for Standardization — ISO 3166 country codes</w:t>
            </w:r>
          </w:p>
          <w:p>
            <w:pPr>
              <w:spacing w:before="0" w:after="0" w:line="240" w:lineRule="auto"/>
            </w:pPr>
            <w:r>
              <w:rPr>
                <w:color w:val="52616B"/>
                <w:sz w:val="13"/>
              </w:rPr>
              <w:t>Global • Live • ISO alpha-2/alpha-3 country and dependent-territory identifiers</w:t>
            </w:r>
          </w:p>
        </w:tc>
        <w:tc>
          <w:tcPr>
            <w:tcW w:type="dxa" w:w="1728"/>
            <w:tcMar>
              <w:top w:w="70" w:type="dxa"/>
              <w:start w:w="90" w:type="dxa"/>
              <w:bottom w:w="70" w:type="dxa"/>
              <w:end w:w="90" w:type="dxa"/>
            </w:tcMar>
            <w:shd w:fill="F5F7F8"/>
          </w:tcPr>
          <w:p>
            <w:pPr>
              <w:spacing w:before="0" w:after="0" w:line="240" w:lineRule="auto"/>
            </w:pPr>
            <w:hyperlink r:id="rId24">
              <w:r>
                <w:rPr>
                  <w:color w:val="0F6B78"/>
                  <w:u w:val="single"/>
                </w:rPr>
                <w:t>Open official source</w:t>
              </w:r>
            </w:hyperlink>
          </w:p>
        </w:tc>
      </w:tr>
      <w:tr>
        <w:trPr>
          <w:cantSplit/>
        </w:trPr>
        <w:tc>
          <w:tcPr>
            <w:tcW w:type="dxa" w:w="1368"/>
            <w:tcMar>
              <w:top w:w="70" w:type="dxa"/>
              <w:start w:w="90" w:type="dxa"/>
              <w:bottom w:w="70" w:type="dxa"/>
              <w:end w:w="90" w:type="dxa"/>
            </w:tcMar>
          </w:tcPr>
          <w:p>
            <w:bookmarkStart w:id="1114" w:name="SRC_DAT_003"/>
            <w:pPr>
              <w:spacing w:before="0" w:after="0" w:line="240" w:lineRule="auto"/>
            </w:pPr>
            <w:bookmarkEnd w:id="1114"/>
            <w:r>
              <w:rPr>
                <w:b/>
                <w:color w:val="16324F"/>
                <w:sz w:val="14"/>
              </w:rPr>
              <w:t>SRC-DAT-003</w:t>
            </w:r>
          </w:p>
        </w:tc>
        <w:tc>
          <w:tcPr>
            <w:tcW w:type="dxa" w:w="6408"/>
            <w:tcMar>
              <w:top w:w="70" w:type="dxa"/>
              <w:start w:w="90" w:type="dxa"/>
              <w:bottom w:w="70" w:type="dxa"/>
              <w:end w:w="90" w:type="dxa"/>
            </w:tcMar>
          </w:tcPr>
          <w:p>
            <w:pPr>
              <w:spacing w:before="0" w:after="0" w:line="240" w:lineRule="auto"/>
            </w:pPr>
            <w:r>
              <w:rPr>
                <w:b/>
                <w:color w:val="24313D"/>
                <w:sz w:val="14"/>
              </w:rPr>
              <w:t>UNECE UN/CEFACT — UN/LOCODE Recommendation 16</w:t>
            </w:r>
          </w:p>
          <w:p>
            <w:pPr>
              <w:spacing w:before="0" w:after="0" w:line="240" w:lineRule="auto"/>
            </w:pPr>
            <w:r>
              <w:rPr>
                <w:color w:val="52616B"/>
                <w:sz w:val="13"/>
              </w:rPr>
              <w:t>Global • Current release • Ports, airports, terminals and other trade locations</w:t>
            </w:r>
          </w:p>
        </w:tc>
        <w:tc>
          <w:tcPr>
            <w:tcW w:type="dxa" w:w="1728"/>
            <w:tcMar>
              <w:top w:w="70" w:type="dxa"/>
              <w:start w:w="90" w:type="dxa"/>
              <w:bottom w:w="70" w:type="dxa"/>
              <w:end w:w="90" w:type="dxa"/>
            </w:tcMar>
          </w:tcPr>
          <w:p>
            <w:pPr>
              <w:spacing w:before="0" w:after="0" w:line="240" w:lineRule="auto"/>
            </w:pPr>
            <w:hyperlink r:id="rId25">
              <w:r>
                <w:rPr>
                  <w:color w:val="0F6B78"/>
                  <w:u w:val="single"/>
                </w:rPr>
                <w:t>Open official source</w:t>
              </w:r>
            </w:hyperlink>
          </w:p>
        </w:tc>
      </w:tr>
    </w:tbl>
    <w:p>
      <w:pPr>
        <w:pStyle w:val="Heading2"/>
        <w:keepNext/>
      </w:pPr>
      <w:r>
        <w:t>D.9 Trade data</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15" w:name="SRC_DAT_004"/>
            <w:pPr>
              <w:spacing w:before="0" w:after="0" w:line="240" w:lineRule="auto"/>
            </w:pPr>
            <w:bookmarkEnd w:id="1115"/>
            <w:r>
              <w:rPr>
                <w:b/>
                <w:color w:val="16324F"/>
                <w:sz w:val="14"/>
              </w:rPr>
              <w:t>SRC-DAT-004</w:t>
            </w:r>
          </w:p>
        </w:tc>
        <w:tc>
          <w:tcPr>
            <w:tcW w:type="dxa" w:w="6408"/>
            <w:tcMar>
              <w:top w:w="70" w:type="dxa"/>
              <w:start w:w="90" w:type="dxa"/>
              <w:bottom w:w="70" w:type="dxa"/>
              <w:end w:w="90" w:type="dxa"/>
            </w:tcMar>
          </w:tcPr>
          <w:p>
            <w:pPr>
              <w:spacing w:before="0" w:after="0" w:line="240" w:lineRule="auto"/>
            </w:pPr>
            <w:r>
              <w:rPr>
                <w:b/>
                <w:color w:val="24313D"/>
                <w:sz w:val="14"/>
              </w:rPr>
              <w:t>UNECE UN/CEFACT — Multimodal Transport Reference Data Model</w:t>
            </w:r>
          </w:p>
          <w:p>
            <w:pPr>
              <w:spacing w:before="0" w:after="0" w:line="240" w:lineRule="auto"/>
            </w:pPr>
            <w:r>
              <w:rPr>
                <w:color w:val="52616B"/>
                <w:sz w:val="13"/>
              </w:rPr>
              <w:t>Global • Current • Semantic alignment for consignment, transport movement and parties</w:t>
            </w:r>
          </w:p>
        </w:tc>
        <w:tc>
          <w:tcPr>
            <w:tcW w:type="dxa" w:w="1728"/>
            <w:tcMar>
              <w:top w:w="70" w:type="dxa"/>
              <w:start w:w="90" w:type="dxa"/>
              <w:bottom w:w="70" w:type="dxa"/>
              <w:end w:w="90" w:type="dxa"/>
            </w:tcMar>
          </w:tcPr>
          <w:p>
            <w:pPr>
              <w:spacing w:before="0" w:after="0" w:line="240" w:lineRule="auto"/>
            </w:pPr>
            <w:hyperlink r:id="rId26">
              <w:r>
                <w:rPr>
                  <w:color w:val="0F6B78"/>
                  <w:u w:val="single"/>
                </w:rPr>
                <w:t>Open official source</w:t>
              </w:r>
            </w:hyperlink>
          </w:p>
        </w:tc>
      </w:tr>
    </w:tbl>
    <w:p>
      <w:pPr>
        <w:pStyle w:val="Heading2"/>
        <w:keepNext/>
      </w:pPr>
      <w:r>
        <w:t>D.10 Postal</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16" w:name="SRC_POST_001"/>
            <w:pPr>
              <w:spacing w:before="0" w:after="0" w:line="240" w:lineRule="auto"/>
            </w:pPr>
            <w:bookmarkEnd w:id="1116"/>
            <w:r>
              <w:rPr>
                <w:b/>
                <w:color w:val="16324F"/>
                <w:sz w:val="14"/>
              </w:rPr>
              <w:t>SRC-POST-001</w:t>
            </w:r>
          </w:p>
        </w:tc>
        <w:tc>
          <w:tcPr>
            <w:tcW w:type="dxa" w:w="6408"/>
            <w:tcMar>
              <w:top w:w="70" w:type="dxa"/>
              <w:start w:w="90" w:type="dxa"/>
              <w:bottom w:w="70" w:type="dxa"/>
              <w:end w:w="90" w:type="dxa"/>
            </w:tcMar>
          </w:tcPr>
          <w:p>
            <w:pPr>
              <w:spacing w:before="0" w:after="0" w:line="240" w:lineRule="auto"/>
            </w:pPr>
            <w:r>
              <w:rPr>
                <w:b/>
                <w:color w:val="24313D"/>
                <w:sz w:val="14"/>
              </w:rPr>
              <w:t>WCO and Universal Postal Union — WCO-UPU EAD and Data Quality Guidelines 2025</w:t>
            </w:r>
          </w:p>
          <w:p>
            <w:pPr>
              <w:spacing w:before="0" w:after="0" w:line="240" w:lineRule="auto"/>
            </w:pPr>
            <w:r>
              <w:rPr>
                <w:color w:val="52616B"/>
                <w:sz w:val="13"/>
              </w:rPr>
              <w:t>Global • 2025 • ITMATT/CN22/CN23 electronic data, identifiers, PLACI and referral handling</w:t>
            </w:r>
          </w:p>
        </w:tc>
        <w:tc>
          <w:tcPr>
            <w:tcW w:type="dxa" w:w="1728"/>
            <w:tcMar>
              <w:top w:w="70" w:type="dxa"/>
              <w:start w:w="90" w:type="dxa"/>
              <w:bottom w:w="70" w:type="dxa"/>
              <w:end w:w="90" w:type="dxa"/>
            </w:tcMar>
          </w:tcPr>
          <w:p>
            <w:pPr>
              <w:spacing w:before="0" w:after="0" w:line="240" w:lineRule="auto"/>
            </w:pPr>
            <w:hyperlink r:id="rId27">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17" w:name="SRC_POST_002"/>
            <w:pPr>
              <w:spacing w:before="0" w:after="0" w:line="240" w:lineRule="auto"/>
            </w:pPr>
            <w:bookmarkEnd w:id="1117"/>
            <w:r>
              <w:rPr>
                <w:b/>
                <w:color w:val="16324F"/>
                <w:sz w:val="14"/>
              </w:rPr>
              <w:t>SRC-POST-002</w:t>
            </w:r>
          </w:p>
        </w:tc>
        <w:tc>
          <w:tcPr>
            <w:tcW w:type="dxa" w:w="6408"/>
            <w:tcMar>
              <w:top w:w="70" w:type="dxa"/>
              <w:start w:w="90" w:type="dxa"/>
              <w:bottom w:w="70" w:type="dxa"/>
              <w:end w:w="90" w:type="dxa"/>
            </w:tcMar>
            <w:shd w:fill="F5F7F8"/>
          </w:tcPr>
          <w:p>
            <w:pPr>
              <w:spacing w:before="0" w:after="0" w:line="240" w:lineRule="auto"/>
            </w:pPr>
            <w:r>
              <w:rPr>
                <w:b/>
                <w:color w:val="24313D"/>
                <w:sz w:val="14"/>
              </w:rPr>
              <w:t>Universal Postal Union — Convention Regulations 2025</w:t>
            </w:r>
          </w:p>
          <w:p>
            <w:pPr>
              <w:spacing w:before="0" w:after="0" w:line="240" w:lineRule="auto"/>
            </w:pPr>
            <w:r>
              <w:rPr>
                <w:color w:val="52616B"/>
                <w:sz w:val="13"/>
              </w:rPr>
              <w:t>Global • 2025 • International letter-post and parcel operational rules and forms</w:t>
            </w:r>
          </w:p>
        </w:tc>
        <w:tc>
          <w:tcPr>
            <w:tcW w:type="dxa" w:w="1728"/>
            <w:tcMar>
              <w:top w:w="70" w:type="dxa"/>
              <w:start w:w="90" w:type="dxa"/>
              <w:bottom w:w="70" w:type="dxa"/>
              <w:end w:w="90" w:type="dxa"/>
            </w:tcMar>
            <w:shd w:fill="F5F7F8"/>
          </w:tcPr>
          <w:p>
            <w:pPr>
              <w:spacing w:before="0" w:after="0" w:line="240" w:lineRule="auto"/>
            </w:pPr>
            <w:hyperlink r:id="rId28">
              <w:r>
                <w:rPr>
                  <w:color w:val="0F6B78"/>
                  <w:u w:val="single"/>
                </w:rPr>
                <w:t>Open official source</w:t>
              </w:r>
            </w:hyperlink>
          </w:p>
        </w:tc>
      </w:tr>
      <w:tr>
        <w:trPr>
          <w:cantSplit/>
        </w:trPr>
        <w:tc>
          <w:tcPr>
            <w:tcW w:type="dxa" w:w="1368"/>
            <w:tcMar>
              <w:top w:w="70" w:type="dxa"/>
              <w:start w:w="90" w:type="dxa"/>
              <w:bottom w:w="70" w:type="dxa"/>
              <w:end w:w="90" w:type="dxa"/>
            </w:tcMar>
          </w:tcPr>
          <w:p>
            <w:bookmarkStart w:id="1118" w:name="SRC_POST_003"/>
            <w:pPr>
              <w:spacing w:before="0" w:after="0" w:line="240" w:lineRule="auto"/>
            </w:pPr>
            <w:bookmarkEnd w:id="1118"/>
            <w:r>
              <w:rPr>
                <w:b/>
                <w:color w:val="16324F"/>
                <w:sz w:val="14"/>
              </w:rPr>
              <w:t>SRC-POST-003</w:t>
            </w:r>
          </w:p>
        </w:tc>
        <w:tc>
          <w:tcPr>
            <w:tcW w:type="dxa" w:w="6408"/>
            <w:tcMar>
              <w:top w:w="70" w:type="dxa"/>
              <w:start w:w="90" w:type="dxa"/>
              <w:bottom w:w="70" w:type="dxa"/>
              <w:end w:w="90" w:type="dxa"/>
            </w:tcMar>
          </w:tcPr>
          <w:p>
            <w:pPr>
              <w:spacing w:before="0" w:after="0" w:line="240" w:lineRule="auto"/>
            </w:pPr>
            <w:r>
              <w:rPr>
                <w:b/>
                <w:color w:val="24313D"/>
                <w:sz w:val="14"/>
              </w:rPr>
              <w:t>Universal Postal Union — UPU Standards Catalogue</w:t>
            </w:r>
          </w:p>
          <w:p>
            <w:pPr>
              <w:spacing w:before="0" w:after="0" w:line="240" w:lineRule="auto"/>
            </w:pPr>
            <w:r>
              <w:rPr>
                <w:color w:val="52616B"/>
                <w:sz w:val="13"/>
              </w:rPr>
              <w:t>Global • May 2026 • Message and identifier standards inventory</w:t>
            </w:r>
          </w:p>
        </w:tc>
        <w:tc>
          <w:tcPr>
            <w:tcW w:type="dxa" w:w="1728"/>
            <w:tcMar>
              <w:top w:w="70" w:type="dxa"/>
              <w:start w:w="90" w:type="dxa"/>
              <w:bottom w:w="70" w:type="dxa"/>
              <w:end w:w="90" w:type="dxa"/>
            </w:tcMar>
          </w:tcPr>
          <w:p>
            <w:pPr>
              <w:spacing w:before="0" w:after="0" w:line="240" w:lineRule="auto"/>
            </w:pPr>
            <w:hyperlink r:id="rId29">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19" w:name="SRC_POST_004"/>
            <w:pPr>
              <w:spacing w:before="0" w:after="0" w:line="240" w:lineRule="auto"/>
            </w:pPr>
            <w:bookmarkEnd w:id="1119"/>
            <w:r>
              <w:rPr>
                <w:b/>
                <w:color w:val="16324F"/>
                <w:sz w:val="14"/>
              </w:rPr>
              <w:t>SRC-POST-004</w:t>
            </w:r>
          </w:p>
        </w:tc>
        <w:tc>
          <w:tcPr>
            <w:tcW w:type="dxa" w:w="6408"/>
            <w:tcMar>
              <w:top w:w="70" w:type="dxa"/>
              <w:start w:w="90" w:type="dxa"/>
              <w:bottom w:w="70" w:type="dxa"/>
              <w:end w:w="90" w:type="dxa"/>
            </w:tcMar>
            <w:shd w:fill="F5F7F8"/>
          </w:tcPr>
          <w:p>
            <w:pPr>
              <w:spacing w:before="0" w:after="0" w:line="240" w:lineRule="auto"/>
            </w:pPr>
            <w:r>
              <w:rPr>
                <w:b/>
                <w:color w:val="24313D"/>
                <w:sz w:val="14"/>
              </w:rPr>
              <w:t>Universal Postal Union — Letter-post forms</w:t>
            </w:r>
          </w:p>
          <w:p>
            <w:pPr>
              <w:spacing w:before="0" w:after="0" w:line="240" w:lineRule="auto"/>
            </w:pPr>
            <w:r>
              <w:rPr>
                <w:color w:val="52616B"/>
                <w:sz w:val="13"/>
              </w:rPr>
              <w:t>Global • Live • Authoritative CN22/CN23 and related form templates</w:t>
            </w:r>
          </w:p>
        </w:tc>
        <w:tc>
          <w:tcPr>
            <w:tcW w:type="dxa" w:w="1728"/>
            <w:tcMar>
              <w:top w:w="70" w:type="dxa"/>
              <w:start w:w="90" w:type="dxa"/>
              <w:bottom w:w="70" w:type="dxa"/>
              <w:end w:w="90" w:type="dxa"/>
            </w:tcMar>
            <w:shd w:fill="F5F7F8"/>
          </w:tcPr>
          <w:p>
            <w:pPr>
              <w:spacing w:before="0" w:after="0" w:line="240" w:lineRule="auto"/>
            </w:pPr>
            <w:hyperlink r:id="rId30">
              <w:r>
                <w:rPr>
                  <w:color w:val="0F6B78"/>
                  <w:u w:val="single"/>
                </w:rPr>
                <w:t>Open official source</w:t>
              </w:r>
            </w:hyperlink>
          </w:p>
        </w:tc>
      </w:tr>
    </w:tbl>
    <w:p>
      <w:pPr>
        <w:pStyle w:val="Heading2"/>
        <w:keepNext/>
      </w:pPr>
      <w:r>
        <w:t>D.11 Air cargo</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20" w:name="SRC_AIR_001"/>
            <w:pPr>
              <w:spacing w:before="0" w:after="0" w:line="240" w:lineRule="auto"/>
            </w:pPr>
            <w:bookmarkEnd w:id="1120"/>
            <w:r>
              <w:rPr>
                <w:b/>
                <w:color w:val="16324F"/>
                <w:sz w:val="14"/>
              </w:rPr>
              <w:t>SRC-AIR-001</w:t>
            </w:r>
          </w:p>
        </w:tc>
        <w:tc>
          <w:tcPr>
            <w:tcW w:type="dxa" w:w="6408"/>
            <w:tcMar>
              <w:top w:w="70" w:type="dxa"/>
              <w:start w:w="90" w:type="dxa"/>
              <w:bottom w:w="70" w:type="dxa"/>
              <w:end w:w="90" w:type="dxa"/>
            </w:tcMar>
          </w:tcPr>
          <w:p>
            <w:pPr>
              <w:spacing w:before="0" w:after="0" w:line="240" w:lineRule="auto"/>
            </w:pPr>
            <w:r>
              <w:rPr>
                <w:b/>
                <w:color w:val="24313D"/>
                <w:sz w:val="14"/>
              </w:rPr>
              <w:t>International Civil Aviation Organization — Dangerous Goods overview and Annex 18 context</w:t>
            </w:r>
          </w:p>
          <w:p>
            <w:pPr>
              <w:spacing w:before="0" w:after="0" w:line="240" w:lineRule="auto"/>
            </w:pPr>
            <w:r>
              <w:rPr>
                <w:color w:val="52616B"/>
                <w:sz w:val="13"/>
              </w:rPr>
              <w:t>Global • Current • Air DG roles, acceptance, inspection, segregation, training and enforcement</w:t>
            </w:r>
          </w:p>
        </w:tc>
        <w:tc>
          <w:tcPr>
            <w:tcW w:type="dxa" w:w="1728"/>
            <w:tcMar>
              <w:top w:w="70" w:type="dxa"/>
              <w:start w:w="90" w:type="dxa"/>
              <w:bottom w:w="70" w:type="dxa"/>
              <w:end w:w="90" w:type="dxa"/>
            </w:tcMar>
          </w:tcPr>
          <w:p>
            <w:pPr>
              <w:spacing w:before="0" w:after="0" w:line="240" w:lineRule="auto"/>
            </w:pPr>
            <w:hyperlink r:id="rId31">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21" w:name="SRC_AIR_002"/>
            <w:pPr>
              <w:spacing w:before="0" w:after="0" w:line="240" w:lineRule="auto"/>
            </w:pPr>
            <w:bookmarkEnd w:id="1121"/>
            <w:r>
              <w:rPr>
                <w:b/>
                <w:color w:val="16324F"/>
                <w:sz w:val="14"/>
              </w:rPr>
              <w:t>SRC-AIR-002</w:t>
            </w:r>
          </w:p>
        </w:tc>
        <w:tc>
          <w:tcPr>
            <w:tcW w:type="dxa" w:w="6408"/>
            <w:tcMar>
              <w:top w:w="70" w:type="dxa"/>
              <w:start w:w="90" w:type="dxa"/>
              <w:bottom w:w="70" w:type="dxa"/>
              <w:end w:w="90" w:type="dxa"/>
            </w:tcMar>
            <w:shd w:fill="F5F7F8"/>
          </w:tcPr>
          <w:p>
            <w:pPr>
              <w:spacing w:before="0" w:after="0" w:line="240" w:lineRule="auto"/>
            </w:pPr>
            <w:r>
              <w:rPr>
                <w:b/>
                <w:color w:val="24313D"/>
                <w:sz w:val="14"/>
              </w:rPr>
              <w:t>International Civil Aviation Organization — Technical Instructions, Doc 9284</w:t>
            </w:r>
          </w:p>
          <w:p>
            <w:pPr>
              <w:spacing w:before="0" w:after="0" w:line="240" w:lineRule="auto"/>
            </w:pPr>
            <w:r>
              <w:rPr>
                <w:color w:val="52616B"/>
                <w:sz w:val="13"/>
              </w:rPr>
              <w:t>Global • 2025–2026 edition • Binding technical baseline as implemented by states; state variations apply</w:t>
            </w:r>
          </w:p>
        </w:tc>
        <w:tc>
          <w:tcPr>
            <w:tcW w:type="dxa" w:w="1728"/>
            <w:tcMar>
              <w:top w:w="70" w:type="dxa"/>
              <w:start w:w="90" w:type="dxa"/>
              <w:bottom w:w="70" w:type="dxa"/>
              <w:end w:w="90" w:type="dxa"/>
            </w:tcMar>
            <w:shd w:fill="F5F7F8"/>
          </w:tcPr>
          <w:p>
            <w:pPr>
              <w:spacing w:before="0" w:after="0" w:line="240" w:lineRule="auto"/>
            </w:pPr>
            <w:hyperlink r:id="rId32">
              <w:r>
                <w:rPr>
                  <w:color w:val="0F6B78"/>
                  <w:u w:val="single"/>
                </w:rPr>
                <w:t>Open official source</w:t>
              </w:r>
            </w:hyperlink>
          </w:p>
        </w:tc>
      </w:tr>
      <w:tr>
        <w:trPr>
          <w:cantSplit/>
        </w:trPr>
        <w:tc>
          <w:tcPr>
            <w:tcW w:type="dxa" w:w="1368"/>
            <w:tcMar>
              <w:top w:w="70" w:type="dxa"/>
              <w:start w:w="90" w:type="dxa"/>
              <w:bottom w:w="70" w:type="dxa"/>
              <w:end w:w="90" w:type="dxa"/>
            </w:tcMar>
          </w:tcPr>
          <w:p>
            <w:bookmarkStart w:id="1122" w:name="SRC_AIR_003"/>
            <w:pPr>
              <w:spacing w:before="0" w:after="0" w:line="240" w:lineRule="auto"/>
            </w:pPr>
            <w:bookmarkEnd w:id="1122"/>
            <w:r>
              <w:rPr>
                <w:b/>
                <w:color w:val="16324F"/>
                <w:sz w:val="14"/>
              </w:rPr>
              <w:t>SRC-AIR-003</w:t>
            </w:r>
          </w:p>
        </w:tc>
        <w:tc>
          <w:tcPr>
            <w:tcW w:type="dxa" w:w="6408"/>
            <w:tcMar>
              <w:top w:w="70" w:type="dxa"/>
              <w:start w:w="90" w:type="dxa"/>
              <w:bottom w:w="70" w:type="dxa"/>
              <w:end w:w="90" w:type="dxa"/>
            </w:tcMar>
          </w:tcPr>
          <w:p>
            <w:pPr>
              <w:spacing w:before="0" w:after="0" w:line="240" w:lineRule="auto"/>
            </w:pPr>
            <w:r>
              <w:rPr>
                <w:b/>
                <w:color w:val="24313D"/>
                <w:sz w:val="14"/>
              </w:rPr>
              <w:t>International Civil Aviation Organization — 2025–2026 Technical Instructions revisions</w:t>
            </w:r>
          </w:p>
          <w:p>
            <w:pPr>
              <w:spacing w:before="0" w:after="0" w:line="240" w:lineRule="auto"/>
            </w:pPr>
            <w:r>
              <w:rPr>
                <w:color w:val="52616B"/>
                <w:sz w:val="13"/>
              </w:rPr>
              <w:t>Global • 2025–2026 • Revision and corrigendum control</w:t>
            </w:r>
          </w:p>
        </w:tc>
        <w:tc>
          <w:tcPr>
            <w:tcW w:type="dxa" w:w="1728"/>
            <w:tcMar>
              <w:top w:w="70" w:type="dxa"/>
              <w:start w:w="90" w:type="dxa"/>
              <w:bottom w:w="70" w:type="dxa"/>
              <w:end w:w="90" w:type="dxa"/>
            </w:tcMar>
          </w:tcPr>
          <w:p>
            <w:pPr>
              <w:spacing w:before="0" w:after="0" w:line="240" w:lineRule="auto"/>
            </w:pPr>
            <w:hyperlink r:id="rId33">
              <w:r>
                <w:rPr>
                  <w:color w:val="0F6B78"/>
                  <w:u w:val="single"/>
                </w:rPr>
                <w:t>Open official source</w:t>
              </w:r>
            </w:hyperlink>
          </w:p>
        </w:tc>
      </w:tr>
    </w:tbl>
    <w:p>
      <w:pPr>
        <w:pStyle w:val="Heading2"/>
        <w:keepNext/>
      </w:pPr>
      <w:r>
        <w:t>D.12 Dangerous goods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23" w:name="SRC_AIR_004"/>
            <w:pPr>
              <w:spacing w:before="0" w:after="0" w:line="240" w:lineRule="auto"/>
            </w:pPr>
            <w:bookmarkEnd w:id="1123"/>
            <w:r>
              <w:rPr>
                <w:b/>
                <w:color w:val="16324F"/>
                <w:sz w:val="14"/>
              </w:rPr>
              <w:t>SRC-AIR-004</w:t>
            </w:r>
          </w:p>
        </w:tc>
        <w:tc>
          <w:tcPr>
            <w:tcW w:type="dxa" w:w="6408"/>
            <w:tcMar>
              <w:top w:w="70" w:type="dxa"/>
              <w:start w:w="90" w:type="dxa"/>
              <w:bottom w:w="70" w:type="dxa"/>
              <w:end w:w="90" w:type="dxa"/>
            </w:tcMar>
          </w:tcPr>
          <w:p>
            <w:pPr>
              <w:spacing w:before="0" w:after="0" w:line="240" w:lineRule="auto"/>
            </w:pPr>
            <w:r>
              <w:rPr>
                <w:b/>
                <w:color w:val="24313D"/>
                <w:sz w:val="14"/>
              </w:rPr>
              <w:t>United Nations Economic Commission for Europe — UN Model Regulations Rev. 24</w:t>
            </w:r>
          </w:p>
          <w:p>
            <w:pPr>
              <w:spacing w:before="0" w:after="0" w:line="240" w:lineRule="auto"/>
            </w:pPr>
            <w:r>
              <w:rPr>
                <w:color w:val="52616B"/>
                <w:sz w:val="13"/>
              </w:rPr>
              <w:t>Global • 2025 • UN numbers, classes, packaging and model multimodal provisions</w:t>
            </w:r>
          </w:p>
        </w:tc>
        <w:tc>
          <w:tcPr>
            <w:tcW w:type="dxa" w:w="1728"/>
            <w:tcMar>
              <w:top w:w="70" w:type="dxa"/>
              <w:start w:w="90" w:type="dxa"/>
              <w:bottom w:w="70" w:type="dxa"/>
              <w:end w:w="90" w:type="dxa"/>
            </w:tcMar>
          </w:tcPr>
          <w:p>
            <w:pPr>
              <w:spacing w:before="0" w:after="0" w:line="240" w:lineRule="auto"/>
            </w:pPr>
            <w:hyperlink r:id="rId34">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24" w:name="SRC_AIR_005"/>
            <w:pPr>
              <w:spacing w:before="0" w:after="0" w:line="240" w:lineRule="auto"/>
            </w:pPr>
            <w:bookmarkEnd w:id="1124"/>
            <w:r>
              <w:rPr>
                <w:b/>
                <w:color w:val="16324F"/>
                <w:sz w:val="14"/>
              </w:rPr>
              <w:t>SRC-AIR-005</w:t>
            </w:r>
          </w:p>
        </w:tc>
        <w:tc>
          <w:tcPr>
            <w:tcW w:type="dxa" w:w="6408"/>
            <w:tcMar>
              <w:top w:w="70" w:type="dxa"/>
              <w:start w:w="90" w:type="dxa"/>
              <w:bottom w:w="70" w:type="dxa"/>
              <w:end w:w="90" w:type="dxa"/>
            </w:tcMar>
            <w:shd w:fill="F5F7F8"/>
          </w:tcPr>
          <w:p>
            <w:pPr>
              <w:spacing w:before="0" w:after="0" w:line="240" w:lineRule="auto"/>
            </w:pPr>
            <w:r>
              <w:rPr>
                <w:b/>
                <w:color w:val="24313D"/>
                <w:sz w:val="14"/>
              </w:rPr>
              <w:t>UNECE — UN Manual of Tests and Criteria Rev. 8 Amend. 1</w:t>
            </w:r>
          </w:p>
          <w:p>
            <w:pPr>
              <w:spacing w:before="0" w:after="0" w:line="240" w:lineRule="auto"/>
            </w:pPr>
            <w:r>
              <w:rPr>
                <w:color w:val="52616B"/>
                <w:sz w:val="13"/>
              </w:rPr>
              <w:t>Global • 2025 • UN 38.3 and other classification/test evidence</w:t>
            </w:r>
          </w:p>
        </w:tc>
        <w:tc>
          <w:tcPr>
            <w:tcW w:type="dxa" w:w="1728"/>
            <w:tcMar>
              <w:top w:w="70" w:type="dxa"/>
              <w:start w:w="90" w:type="dxa"/>
              <w:bottom w:w="70" w:type="dxa"/>
              <w:end w:w="90" w:type="dxa"/>
            </w:tcMar>
            <w:shd w:fill="F5F7F8"/>
          </w:tcPr>
          <w:p>
            <w:pPr>
              <w:spacing w:before="0" w:after="0" w:line="240" w:lineRule="auto"/>
            </w:pPr>
            <w:hyperlink r:id="rId35">
              <w:r>
                <w:rPr>
                  <w:color w:val="0F6B78"/>
                  <w:u w:val="single"/>
                </w:rPr>
                <w:t>Open official source</w:t>
              </w:r>
            </w:hyperlink>
          </w:p>
        </w:tc>
      </w:tr>
      <w:tr>
        <w:trPr>
          <w:cantSplit/>
        </w:trPr>
        <w:tc>
          <w:tcPr>
            <w:tcW w:type="dxa" w:w="1368"/>
            <w:tcMar>
              <w:top w:w="70" w:type="dxa"/>
              <w:start w:w="90" w:type="dxa"/>
              <w:bottom w:w="70" w:type="dxa"/>
              <w:end w:w="90" w:type="dxa"/>
            </w:tcMar>
          </w:tcPr>
          <w:p>
            <w:bookmarkStart w:id="1125" w:name="SRC_AIR_006"/>
            <w:pPr>
              <w:spacing w:before="0" w:after="0" w:line="240" w:lineRule="auto"/>
            </w:pPr>
            <w:bookmarkEnd w:id="1125"/>
            <w:r>
              <w:rPr>
                <w:b/>
                <w:color w:val="16324F"/>
                <w:sz w:val="14"/>
              </w:rPr>
              <w:t>SRC-AIR-006</w:t>
            </w:r>
          </w:p>
        </w:tc>
        <w:tc>
          <w:tcPr>
            <w:tcW w:type="dxa" w:w="6408"/>
            <w:tcMar>
              <w:top w:w="70" w:type="dxa"/>
              <w:start w:w="90" w:type="dxa"/>
              <w:bottom w:w="70" w:type="dxa"/>
              <w:end w:w="90" w:type="dxa"/>
            </w:tcMar>
          </w:tcPr>
          <w:p>
            <w:pPr>
              <w:spacing w:before="0" w:after="0" w:line="240" w:lineRule="auto"/>
            </w:pPr>
            <w:r>
              <w:rPr>
                <w:b/>
                <w:color w:val="24313D"/>
                <w:sz w:val="14"/>
              </w:rPr>
              <w:t>International Air Transport Association — DGR 67th edition significant changes</w:t>
            </w:r>
          </w:p>
          <w:p>
            <w:pPr>
              <w:spacing w:before="0" w:after="0" w:line="240" w:lineRule="auto"/>
            </w:pPr>
            <w:r>
              <w:rPr>
                <w:color w:val="52616B"/>
                <w:sz w:val="13"/>
              </w:rPr>
              <w:t>Global • 2026 • Operator-facing annual DG rule changes; state/operator variations must be separately licensed and loaded</w:t>
            </w:r>
          </w:p>
        </w:tc>
        <w:tc>
          <w:tcPr>
            <w:tcW w:type="dxa" w:w="1728"/>
            <w:tcMar>
              <w:top w:w="70" w:type="dxa"/>
              <w:start w:w="90" w:type="dxa"/>
              <w:bottom w:w="70" w:type="dxa"/>
              <w:end w:w="90" w:type="dxa"/>
            </w:tcMar>
          </w:tcPr>
          <w:p>
            <w:pPr>
              <w:spacing w:before="0" w:after="0" w:line="240" w:lineRule="auto"/>
            </w:pPr>
            <w:hyperlink r:id="rId36">
              <w:r>
                <w:rPr>
                  <w:color w:val="0F6B78"/>
                  <w:u w:val="single"/>
                </w:rPr>
                <w:t>Open official source</w:t>
              </w:r>
            </w:hyperlink>
          </w:p>
        </w:tc>
      </w:tr>
    </w:tbl>
    <w:p>
      <w:pPr>
        <w:pStyle w:val="Heading2"/>
        <w:keepNext/>
      </w:pPr>
      <w:r>
        <w:t>D.13 Lithium batteries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26" w:name="SRC_AIR_007"/>
            <w:pPr>
              <w:spacing w:before="0" w:after="0" w:line="240" w:lineRule="auto"/>
            </w:pPr>
            <w:bookmarkEnd w:id="1126"/>
            <w:r>
              <w:rPr>
                <w:b/>
                <w:color w:val="16324F"/>
                <w:sz w:val="14"/>
              </w:rPr>
              <w:t>SRC-AIR-007</w:t>
            </w:r>
          </w:p>
        </w:tc>
        <w:tc>
          <w:tcPr>
            <w:tcW w:type="dxa" w:w="6408"/>
            <w:tcMar>
              <w:top w:w="70" w:type="dxa"/>
              <w:start w:w="90" w:type="dxa"/>
              <w:bottom w:w="70" w:type="dxa"/>
              <w:end w:w="90" w:type="dxa"/>
            </w:tcMar>
          </w:tcPr>
          <w:p>
            <w:pPr>
              <w:spacing w:before="0" w:after="0" w:line="240" w:lineRule="auto"/>
            </w:pPr>
            <w:r>
              <w:rPr>
                <w:b/>
                <w:color w:val="24313D"/>
                <w:sz w:val="14"/>
              </w:rPr>
              <w:t>International Air Transport Association — Lithium Battery Guidance Document 2026</w:t>
            </w:r>
          </w:p>
          <w:p>
            <w:pPr>
              <w:spacing w:before="0" w:after="0" w:line="240" w:lineRule="auto"/>
            </w:pPr>
            <w:r>
              <w:rPr>
                <w:color w:val="52616B"/>
                <w:sz w:val="13"/>
              </w:rPr>
              <w:t>Global • 2026 • Lithium battery classification, documentation and packing decision support</w:t>
            </w:r>
          </w:p>
        </w:tc>
        <w:tc>
          <w:tcPr>
            <w:tcW w:type="dxa" w:w="1728"/>
            <w:tcMar>
              <w:top w:w="70" w:type="dxa"/>
              <w:start w:w="90" w:type="dxa"/>
              <w:bottom w:w="70" w:type="dxa"/>
              <w:end w:w="90" w:type="dxa"/>
            </w:tcMar>
          </w:tcPr>
          <w:p>
            <w:pPr>
              <w:spacing w:before="0" w:after="0" w:line="240" w:lineRule="auto"/>
            </w:pPr>
            <w:hyperlink r:id="rId37">
              <w:r>
                <w:rPr>
                  <w:color w:val="0F6B78"/>
                  <w:u w:val="single"/>
                </w:rPr>
                <w:t>Open official source</w:t>
              </w:r>
            </w:hyperlink>
          </w:p>
        </w:tc>
      </w:tr>
    </w:tbl>
    <w:p>
      <w:pPr>
        <w:pStyle w:val="Heading2"/>
        <w:keepNext/>
      </w:pPr>
      <w:r>
        <w:t>D.14 Air cargo data</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27" w:name="SRC_AIR_008"/>
            <w:pPr>
              <w:spacing w:before="0" w:after="0" w:line="240" w:lineRule="auto"/>
            </w:pPr>
            <w:bookmarkEnd w:id="1127"/>
            <w:r>
              <w:rPr>
                <w:b/>
                <w:color w:val="16324F"/>
                <w:sz w:val="14"/>
              </w:rPr>
              <w:t>SRC-AIR-008</w:t>
            </w:r>
          </w:p>
        </w:tc>
        <w:tc>
          <w:tcPr>
            <w:tcW w:type="dxa" w:w="6408"/>
            <w:tcMar>
              <w:top w:w="70" w:type="dxa"/>
              <w:start w:w="90" w:type="dxa"/>
              <w:bottom w:w="70" w:type="dxa"/>
              <w:end w:w="90" w:type="dxa"/>
            </w:tcMar>
          </w:tcPr>
          <w:p>
            <w:pPr>
              <w:spacing w:before="0" w:after="0" w:line="240" w:lineRule="auto"/>
            </w:pPr>
            <w:r>
              <w:rPr>
                <w:b/>
                <w:color w:val="24313D"/>
                <w:sz w:val="14"/>
              </w:rPr>
              <w:t>International Air Transport Association — Shipper's Declaration and e-DGD</w:t>
            </w:r>
          </w:p>
          <w:p>
            <w:pPr>
              <w:spacing w:before="0" w:after="0" w:line="240" w:lineRule="auto"/>
            </w:pPr>
            <w:r>
              <w:rPr>
                <w:color w:val="52616B"/>
                <w:sz w:val="13"/>
              </w:rPr>
              <w:t>Global • Current • DGD/e-DGD production and shipper certification boundary</w:t>
            </w:r>
          </w:p>
        </w:tc>
        <w:tc>
          <w:tcPr>
            <w:tcW w:type="dxa" w:w="1728"/>
            <w:tcMar>
              <w:top w:w="70" w:type="dxa"/>
              <w:start w:w="90" w:type="dxa"/>
              <w:bottom w:w="70" w:type="dxa"/>
              <w:end w:w="90" w:type="dxa"/>
            </w:tcMar>
          </w:tcPr>
          <w:p>
            <w:pPr>
              <w:spacing w:before="0" w:after="0" w:line="240" w:lineRule="auto"/>
            </w:pPr>
            <w:hyperlink r:id="rId38">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28" w:name="SRC_AIR_009"/>
            <w:pPr>
              <w:spacing w:before="0" w:after="0" w:line="240" w:lineRule="auto"/>
            </w:pPr>
            <w:bookmarkEnd w:id="1128"/>
            <w:r>
              <w:rPr>
                <w:b/>
                <w:color w:val="16324F"/>
                <w:sz w:val="14"/>
              </w:rPr>
              <w:t>SRC-AIR-009</w:t>
            </w:r>
          </w:p>
        </w:tc>
        <w:tc>
          <w:tcPr>
            <w:tcW w:type="dxa" w:w="6408"/>
            <w:tcMar>
              <w:top w:w="70" w:type="dxa"/>
              <w:start w:w="90" w:type="dxa"/>
              <w:bottom w:w="70" w:type="dxa"/>
              <w:end w:w="90" w:type="dxa"/>
            </w:tcMar>
            <w:shd w:fill="F5F7F8"/>
          </w:tcPr>
          <w:p>
            <w:pPr>
              <w:spacing w:before="0" w:after="0" w:line="240" w:lineRule="auto"/>
            </w:pPr>
            <w:r>
              <w:rPr>
                <w:b/>
                <w:color w:val="24313D"/>
                <w:sz w:val="14"/>
              </w:rPr>
              <w:t>International Air Transport Association — ONE Record fact sheet</w:t>
            </w:r>
          </w:p>
          <w:p>
            <w:pPr>
              <w:spacing w:before="0" w:after="0" w:line="240" w:lineRule="auto"/>
            </w:pPr>
            <w:r>
              <w:rPr>
                <w:color w:val="52616B"/>
                <w:sz w:val="13"/>
              </w:rPr>
              <w:t>Global • Effective 2026 • API common data model, security and event-driven cargo data sharing</w:t>
            </w:r>
          </w:p>
        </w:tc>
        <w:tc>
          <w:tcPr>
            <w:tcW w:type="dxa" w:w="1728"/>
            <w:tcMar>
              <w:top w:w="70" w:type="dxa"/>
              <w:start w:w="90" w:type="dxa"/>
              <w:bottom w:w="70" w:type="dxa"/>
              <w:end w:w="90" w:type="dxa"/>
            </w:tcMar>
            <w:shd w:fill="F5F7F8"/>
          </w:tcPr>
          <w:p>
            <w:pPr>
              <w:spacing w:before="0" w:after="0" w:line="240" w:lineRule="auto"/>
            </w:pPr>
            <w:hyperlink r:id="rId39">
              <w:r>
                <w:rPr>
                  <w:color w:val="0F6B78"/>
                  <w:u w:val="single"/>
                </w:rPr>
                <w:t>Open official source</w:t>
              </w:r>
            </w:hyperlink>
          </w:p>
        </w:tc>
      </w:tr>
      <w:tr>
        <w:trPr>
          <w:cantSplit/>
        </w:trPr>
        <w:tc>
          <w:tcPr>
            <w:tcW w:type="dxa" w:w="1368"/>
            <w:tcMar>
              <w:top w:w="70" w:type="dxa"/>
              <w:start w:w="90" w:type="dxa"/>
              <w:bottom w:w="70" w:type="dxa"/>
              <w:end w:w="90" w:type="dxa"/>
            </w:tcMar>
          </w:tcPr>
          <w:p>
            <w:bookmarkStart w:id="1129" w:name="SRC_AIR_010"/>
            <w:pPr>
              <w:spacing w:before="0" w:after="0" w:line="240" w:lineRule="auto"/>
            </w:pPr>
            <w:bookmarkEnd w:id="1129"/>
            <w:r>
              <w:rPr>
                <w:b/>
                <w:color w:val="16324F"/>
                <w:sz w:val="14"/>
              </w:rPr>
              <w:t>SRC-AIR-010</w:t>
            </w:r>
          </w:p>
        </w:tc>
        <w:tc>
          <w:tcPr>
            <w:tcW w:type="dxa" w:w="6408"/>
            <w:tcMar>
              <w:top w:w="70" w:type="dxa"/>
              <w:start w:w="90" w:type="dxa"/>
              <w:bottom w:w="70" w:type="dxa"/>
              <w:end w:w="90" w:type="dxa"/>
            </w:tcMar>
          </w:tcPr>
          <w:p>
            <w:pPr>
              <w:spacing w:before="0" w:after="0" w:line="240" w:lineRule="auto"/>
            </w:pPr>
            <w:r>
              <w:rPr>
                <w:b/>
                <w:color w:val="24313D"/>
                <w:sz w:val="14"/>
              </w:rPr>
              <w:t>International Air Transport Association — Cargo-XML Toolkit</w:t>
            </w:r>
          </w:p>
          <w:p>
            <w:pPr>
              <w:spacing w:before="0" w:after="0" w:line="240" w:lineRule="auto"/>
            </w:pPr>
            <w:r>
              <w:rPr>
                <w:color w:val="52616B"/>
                <w:sz w:val="13"/>
              </w:rPr>
              <w:t>Global • Current • Cargo message interoperability and legacy-forwarder integration</w:t>
            </w:r>
          </w:p>
        </w:tc>
        <w:tc>
          <w:tcPr>
            <w:tcW w:type="dxa" w:w="1728"/>
            <w:tcMar>
              <w:top w:w="70" w:type="dxa"/>
              <w:start w:w="90" w:type="dxa"/>
              <w:bottom w:w="70" w:type="dxa"/>
              <w:end w:w="90" w:type="dxa"/>
            </w:tcMar>
          </w:tcPr>
          <w:p>
            <w:pPr>
              <w:spacing w:before="0" w:after="0" w:line="240" w:lineRule="auto"/>
            </w:pPr>
            <w:hyperlink r:id="rId40">
              <w:r>
                <w:rPr>
                  <w:color w:val="0F6B78"/>
                  <w:u w:val="single"/>
                </w:rPr>
                <w:t>Open official source</w:t>
              </w:r>
            </w:hyperlink>
          </w:p>
        </w:tc>
      </w:tr>
    </w:tbl>
    <w:p>
      <w:pPr>
        <w:pStyle w:val="Heading2"/>
        <w:keepNext/>
      </w:pPr>
      <w:r>
        <w:t>D.15 Air cargo documents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30" w:name="SRC_AIR_011"/>
            <w:pPr>
              <w:spacing w:before="0" w:after="0" w:line="240" w:lineRule="auto"/>
            </w:pPr>
            <w:bookmarkEnd w:id="1130"/>
            <w:r>
              <w:rPr>
                <w:b/>
                <w:color w:val="16324F"/>
                <w:sz w:val="14"/>
              </w:rPr>
              <w:t>SRC-AIR-011</w:t>
            </w:r>
          </w:p>
        </w:tc>
        <w:tc>
          <w:tcPr>
            <w:tcW w:type="dxa" w:w="6408"/>
            <w:tcMar>
              <w:top w:w="70" w:type="dxa"/>
              <w:start w:w="90" w:type="dxa"/>
              <w:bottom w:w="70" w:type="dxa"/>
              <w:end w:w="90" w:type="dxa"/>
            </w:tcMar>
          </w:tcPr>
          <w:p>
            <w:pPr>
              <w:spacing w:before="0" w:after="0" w:line="240" w:lineRule="auto"/>
            </w:pPr>
            <w:r>
              <w:rPr>
                <w:b/>
                <w:color w:val="24313D"/>
                <w:sz w:val="14"/>
              </w:rPr>
              <w:t>International Air Transport Association — Resolution 672—e-AWB</w:t>
            </w:r>
          </w:p>
          <w:p>
            <w:pPr>
              <w:spacing w:before="0" w:after="0" w:line="240" w:lineRule="auto"/>
            </w:pPr>
            <w:r>
              <w:rPr>
                <w:color w:val="52616B"/>
                <w:sz w:val="13"/>
              </w:rPr>
              <w:t>Global • Current • Electronic air waybill process and fallback controls</w:t>
            </w:r>
          </w:p>
        </w:tc>
        <w:tc>
          <w:tcPr>
            <w:tcW w:type="dxa" w:w="1728"/>
            <w:tcMar>
              <w:top w:w="70" w:type="dxa"/>
              <w:start w:w="90" w:type="dxa"/>
              <w:bottom w:w="70" w:type="dxa"/>
              <w:end w:w="90" w:type="dxa"/>
            </w:tcMar>
          </w:tcPr>
          <w:p>
            <w:pPr>
              <w:spacing w:before="0" w:after="0" w:line="240" w:lineRule="auto"/>
            </w:pPr>
            <w:hyperlink r:id="rId41">
              <w:r>
                <w:rPr>
                  <w:color w:val="0F6B78"/>
                  <w:u w:val="single"/>
                </w:rPr>
                <w:t>Open official source</w:t>
              </w:r>
            </w:hyperlink>
          </w:p>
        </w:tc>
      </w:tr>
    </w:tbl>
    <w:p>
      <w:pPr>
        <w:pStyle w:val="Heading2"/>
        <w:keepNext/>
      </w:pPr>
      <w:r>
        <w:t>D.16 Aviation security</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31" w:name="SRC_AIR_012"/>
            <w:pPr>
              <w:spacing w:before="0" w:after="0" w:line="240" w:lineRule="auto"/>
            </w:pPr>
            <w:bookmarkEnd w:id="1131"/>
            <w:r>
              <w:rPr>
                <w:b/>
                <w:color w:val="16324F"/>
                <w:sz w:val="14"/>
              </w:rPr>
              <w:t>SRC-AIR-012</w:t>
            </w:r>
          </w:p>
        </w:tc>
        <w:tc>
          <w:tcPr>
            <w:tcW w:type="dxa" w:w="6408"/>
            <w:tcMar>
              <w:top w:w="70" w:type="dxa"/>
              <w:start w:w="90" w:type="dxa"/>
              <w:bottom w:w="70" w:type="dxa"/>
              <w:end w:w="90" w:type="dxa"/>
            </w:tcMar>
          </w:tcPr>
          <w:p>
            <w:pPr>
              <w:spacing w:before="0" w:after="0" w:line="240" w:lineRule="auto"/>
            </w:pPr>
            <w:r>
              <w:rPr>
                <w:b/>
                <w:color w:val="24313D"/>
                <w:sz w:val="14"/>
              </w:rPr>
              <w:t>WCO and ICAO — Guiding Principles for Pre-Loading Advance Cargo Information</w:t>
            </w:r>
          </w:p>
          <w:p>
            <w:pPr>
              <w:spacing w:before="0" w:after="0" w:line="240" w:lineRule="auto"/>
            </w:pPr>
            <w:r>
              <w:rPr>
                <w:color w:val="52616B"/>
                <w:sz w:val="13"/>
              </w:rPr>
              <w:t>Global • Current • PLACI 7+1 data, timing, referrals and do-not-load controls</w:t>
            </w:r>
          </w:p>
        </w:tc>
        <w:tc>
          <w:tcPr>
            <w:tcW w:type="dxa" w:w="1728"/>
            <w:tcMar>
              <w:top w:w="70" w:type="dxa"/>
              <w:start w:w="90" w:type="dxa"/>
              <w:bottom w:w="70" w:type="dxa"/>
              <w:end w:w="90" w:type="dxa"/>
            </w:tcMar>
          </w:tcPr>
          <w:p>
            <w:pPr>
              <w:spacing w:before="0" w:after="0" w:line="240" w:lineRule="auto"/>
            </w:pPr>
            <w:hyperlink r:id="rId42">
              <w:r>
                <w:rPr>
                  <w:color w:val="0F6B78"/>
                  <w:u w:val="single"/>
                </w:rPr>
                <w:t>Open official source</w:t>
              </w:r>
            </w:hyperlink>
          </w:p>
        </w:tc>
      </w:tr>
    </w:tbl>
    <w:p>
      <w:pPr>
        <w:pStyle w:val="Heading2"/>
        <w:keepNext/>
      </w:pPr>
      <w:r>
        <w:t>D.17 Air carriage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32" w:name="SRC_AIR_013"/>
            <w:pPr>
              <w:spacing w:before="0" w:after="0" w:line="240" w:lineRule="auto"/>
            </w:pPr>
            <w:bookmarkEnd w:id="1132"/>
            <w:r>
              <w:rPr>
                <w:b/>
                <w:color w:val="16324F"/>
                <w:sz w:val="14"/>
              </w:rPr>
              <w:t>SRC-AIR-013</w:t>
            </w:r>
          </w:p>
        </w:tc>
        <w:tc>
          <w:tcPr>
            <w:tcW w:type="dxa" w:w="6408"/>
            <w:tcMar>
              <w:top w:w="70" w:type="dxa"/>
              <w:start w:w="90" w:type="dxa"/>
              <w:bottom w:w="70" w:type="dxa"/>
              <w:end w:w="90" w:type="dxa"/>
            </w:tcMar>
          </w:tcPr>
          <w:p>
            <w:pPr>
              <w:spacing w:before="0" w:after="0" w:line="240" w:lineRule="auto"/>
            </w:pPr>
            <w:r>
              <w:rPr>
                <w:b/>
                <w:color w:val="24313D"/>
                <w:sz w:val="14"/>
              </w:rPr>
              <w:t>International Civil Aviation Organization — Montreal Convention 1999</w:t>
            </w:r>
          </w:p>
          <w:p>
            <w:pPr>
              <w:spacing w:before="0" w:after="0" w:line="240" w:lineRule="auto"/>
            </w:pPr>
            <w:r>
              <w:rPr>
                <w:color w:val="52616B"/>
                <w:sz w:val="13"/>
              </w:rPr>
              <w:t>Treaty parties • Treaty/current parties • Air carriage documentation and liability framework; applicability is lane-specific</w:t>
            </w:r>
          </w:p>
        </w:tc>
        <w:tc>
          <w:tcPr>
            <w:tcW w:type="dxa" w:w="1728"/>
            <w:tcMar>
              <w:top w:w="70" w:type="dxa"/>
              <w:start w:w="90" w:type="dxa"/>
              <w:bottom w:w="70" w:type="dxa"/>
              <w:end w:w="90" w:type="dxa"/>
            </w:tcMar>
          </w:tcPr>
          <w:p>
            <w:pPr>
              <w:spacing w:before="0" w:after="0" w:line="240" w:lineRule="auto"/>
            </w:pPr>
            <w:hyperlink r:id="rId43">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33" w:name="SRC_AIR_014"/>
            <w:pPr>
              <w:spacing w:before="0" w:after="0" w:line="240" w:lineRule="auto"/>
            </w:pPr>
            <w:bookmarkEnd w:id="1133"/>
            <w:r>
              <w:rPr>
                <w:b/>
                <w:color w:val="16324F"/>
                <w:sz w:val="14"/>
              </w:rPr>
              <w:t>SRC-AIR-014</w:t>
            </w:r>
          </w:p>
        </w:tc>
        <w:tc>
          <w:tcPr>
            <w:tcW w:type="dxa" w:w="6408"/>
            <w:tcMar>
              <w:top w:w="70" w:type="dxa"/>
              <w:start w:w="90" w:type="dxa"/>
              <w:bottom w:w="70" w:type="dxa"/>
              <w:end w:w="90" w:type="dxa"/>
            </w:tcMar>
            <w:shd w:fill="F5F7F8"/>
          </w:tcPr>
          <w:p>
            <w:pPr>
              <w:spacing w:before="0" w:after="0" w:line="240" w:lineRule="auto"/>
            </w:pPr>
            <w:r>
              <w:rPr>
                <w:b/>
                <w:color w:val="24313D"/>
                <w:sz w:val="14"/>
              </w:rPr>
              <w:t>International Civil Aviation Organization — Revised Montreal Convention liability limits</w:t>
            </w:r>
          </w:p>
          <w:p>
            <w:pPr>
              <w:spacing w:before="0" w:after="0" w:line="240" w:lineRule="auto"/>
            </w:pPr>
            <w:r>
              <w:rPr>
                <w:color w:val="52616B"/>
                <w:sz w:val="13"/>
              </w:rPr>
              <w:t>Treaty parties • Effective 2024-12-28 • Versioned air cargo liability limits; no hard-coded amount without treaty applicability</w:t>
            </w:r>
          </w:p>
        </w:tc>
        <w:tc>
          <w:tcPr>
            <w:tcW w:type="dxa" w:w="1728"/>
            <w:tcMar>
              <w:top w:w="70" w:type="dxa"/>
              <w:start w:w="90" w:type="dxa"/>
              <w:bottom w:w="70" w:type="dxa"/>
              <w:end w:w="90" w:type="dxa"/>
            </w:tcMar>
            <w:shd w:fill="F5F7F8"/>
          </w:tcPr>
          <w:p>
            <w:pPr>
              <w:spacing w:before="0" w:after="0" w:line="240" w:lineRule="auto"/>
            </w:pPr>
            <w:hyperlink r:id="rId44">
              <w:r>
                <w:rPr>
                  <w:color w:val="0F6B78"/>
                  <w:u w:val="single"/>
                </w:rPr>
                <w:t>Open official source</w:t>
              </w:r>
            </w:hyperlink>
          </w:p>
        </w:tc>
      </w:tr>
    </w:tbl>
    <w:p>
      <w:pPr>
        <w:pStyle w:val="Heading2"/>
        <w:keepNext/>
      </w:pPr>
      <w:r>
        <w:t>D.18 Sanctions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34" w:name="SRC_SAN_001"/>
            <w:pPr>
              <w:spacing w:before="0" w:after="0" w:line="240" w:lineRule="auto"/>
            </w:pPr>
            <w:bookmarkEnd w:id="1134"/>
            <w:r>
              <w:rPr>
                <w:b/>
                <w:color w:val="16324F"/>
                <w:sz w:val="14"/>
              </w:rPr>
              <w:t>SRC-SAN-001</w:t>
            </w:r>
          </w:p>
        </w:tc>
        <w:tc>
          <w:tcPr>
            <w:tcW w:type="dxa" w:w="6408"/>
            <w:tcMar>
              <w:top w:w="70" w:type="dxa"/>
              <w:start w:w="90" w:type="dxa"/>
              <w:bottom w:w="70" w:type="dxa"/>
              <w:end w:w="90" w:type="dxa"/>
            </w:tcMar>
          </w:tcPr>
          <w:p>
            <w:pPr>
              <w:spacing w:before="0" w:after="0" w:line="240" w:lineRule="auto"/>
            </w:pPr>
            <w:r>
              <w:rPr>
                <w:b/>
                <w:color w:val="24313D"/>
                <w:sz w:val="14"/>
              </w:rPr>
              <w:t>United Nations Security Council — UN Security Council Consolidated List</w:t>
            </w:r>
          </w:p>
          <w:p>
            <w:pPr>
              <w:spacing w:before="0" w:after="0" w:line="240" w:lineRule="auto"/>
            </w:pPr>
            <w:r>
              <w:rPr>
                <w:color w:val="52616B"/>
                <w:sz w:val="13"/>
              </w:rPr>
              <w:t>Global/UN members • Live • Baseline designated-party and regime screening</w:t>
            </w:r>
          </w:p>
        </w:tc>
        <w:tc>
          <w:tcPr>
            <w:tcW w:type="dxa" w:w="1728"/>
            <w:tcMar>
              <w:top w:w="70" w:type="dxa"/>
              <w:start w:w="90" w:type="dxa"/>
              <w:bottom w:w="70" w:type="dxa"/>
              <w:end w:w="90" w:type="dxa"/>
            </w:tcMar>
          </w:tcPr>
          <w:p>
            <w:pPr>
              <w:spacing w:before="0" w:after="0" w:line="240" w:lineRule="auto"/>
            </w:pPr>
            <w:hyperlink r:id="rId45">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35" w:name="SRC_SAN_002"/>
            <w:pPr>
              <w:spacing w:before="0" w:after="0" w:line="240" w:lineRule="auto"/>
            </w:pPr>
            <w:bookmarkEnd w:id="1135"/>
            <w:r>
              <w:rPr>
                <w:b/>
                <w:color w:val="16324F"/>
                <w:sz w:val="14"/>
              </w:rPr>
              <w:t>SRC-SAN-002</w:t>
            </w:r>
          </w:p>
        </w:tc>
        <w:tc>
          <w:tcPr>
            <w:tcW w:type="dxa" w:w="6408"/>
            <w:tcMar>
              <w:top w:w="70" w:type="dxa"/>
              <w:start w:w="90" w:type="dxa"/>
              <w:bottom w:w="70" w:type="dxa"/>
              <w:end w:w="90" w:type="dxa"/>
            </w:tcMar>
            <w:shd w:fill="F5F7F8"/>
          </w:tcPr>
          <w:p>
            <w:pPr>
              <w:spacing w:before="0" w:after="0" w:line="240" w:lineRule="auto"/>
            </w:pPr>
            <w:r>
              <w:rPr>
                <w:b/>
                <w:color w:val="24313D"/>
                <w:sz w:val="14"/>
              </w:rPr>
              <w:t>U.S. Treasury OFAC — Sanctions List Service</w:t>
            </w:r>
          </w:p>
          <w:p>
            <w:pPr>
              <w:spacing w:before="0" w:after="0" w:line="240" w:lineRule="auto"/>
            </w:pPr>
            <w:r>
              <w:rPr>
                <w:color w:val="52616B"/>
                <w:sz w:val="13"/>
              </w:rPr>
              <w:t>United States nexus • Live • OFAC list ingestion and authoritative match resolution</w:t>
            </w:r>
          </w:p>
        </w:tc>
        <w:tc>
          <w:tcPr>
            <w:tcW w:type="dxa" w:w="1728"/>
            <w:tcMar>
              <w:top w:w="70" w:type="dxa"/>
              <w:start w:w="90" w:type="dxa"/>
              <w:bottom w:w="70" w:type="dxa"/>
              <w:end w:w="90" w:type="dxa"/>
            </w:tcMar>
            <w:shd w:fill="F5F7F8"/>
          </w:tcPr>
          <w:p>
            <w:pPr>
              <w:spacing w:before="0" w:after="0" w:line="240" w:lineRule="auto"/>
            </w:pPr>
            <w:hyperlink r:id="rId46">
              <w:r>
                <w:rPr>
                  <w:color w:val="0F6B78"/>
                  <w:u w:val="single"/>
                </w:rPr>
                <w:t>Open official source</w:t>
              </w:r>
            </w:hyperlink>
          </w:p>
        </w:tc>
      </w:tr>
      <w:tr>
        <w:trPr>
          <w:cantSplit/>
        </w:trPr>
        <w:tc>
          <w:tcPr>
            <w:tcW w:type="dxa" w:w="1368"/>
            <w:tcMar>
              <w:top w:w="70" w:type="dxa"/>
              <w:start w:w="90" w:type="dxa"/>
              <w:bottom w:w="70" w:type="dxa"/>
              <w:end w:w="90" w:type="dxa"/>
            </w:tcMar>
          </w:tcPr>
          <w:p>
            <w:bookmarkStart w:id="1136" w:name="SRC_SAN_005"/>
            <w:pPr>
              <w:spacing w:before="0" w:after="0" w:line="240" w:lineRule="auto"/>
            </w:pPr>
            <w:bookmarkEnd w:id="1136"/>
            <w:r>
              <w:rPr>
                <w:b/>
                <w:color w:val="16324F"/>
                <w:sz w:val="14"/>
              </w:rPr>
              <w:t>SRC-SAN-005</w:t>
            </w:r>
          </w:p>
        </w:tc>
        <w:tc>
          <w:tcPr>
            <w:tcW w:type="dxa" w:w="6408"/>
            <w:tcMar>
              <w:top w:w="70" w:type="dxa"/>
              <w:start w:w="90" w:type="dxa"/>
              <w:bottom w:w="70" w:type="dxa"/>
              <w:end w:w="90" w:type="dxa"/>
            </w:tcMar>
          </w:tcPr>
          <w:p>
            <w:pPr>
              <w:spacing w:before="0" w:after="0" w:line="240" w:lineRule="auto"/>
            </w:pPr>
            <w:r>
              <w:rPr>
                <w:b/>
                <w:color w:val="24313D"/>
                <w:sz w:val="14"/>
              </w:rPr>
              <w:t>European Commission — EU consolidated financial sanctions list</w:t>
            </w:r>
          </w:p>
          <w:p>
            <w:pPr>
              <w:spacing w:before="0" w:after="0" w:line="240" w:lineRule="auto"/>
            </w:pPr>
            <w:r>
              <w:rPr>
                <w:color w:val="52616B"/>
                <w:sz w:val="13"/>
              </w:rPr>
              <w:t>European Union nexus • Live • EU designated-party screening</w:t>
            </w:r>
          </w:p>
        </w:tc>
        <w:tc>
          <w:tcPr>
            <w:tcW w:type="dxa" w:w="1728"/>
            <w:tcMar>
              <w:top w:w="70" w:type="dxa"/>
              <w:start w:w="90" w:type="dxa"/>
              <w:bottom w:w="70" w:type="dxa"/>
              <w:end w:w="90" w:type="dxa"/>
            </w:tcMar>
          </w:tcPr>
          <w:p>
            <w:pPr>
              <w:spacing w:before="0" w:after="0" w:line="240" w:lineRule="auto"/>
            </w:pPr>
            <w:hyperlink r:id="rId47">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37" w:name="SRC_SAN_006"/>
            <w:pPr>
              <w:spacing w:before="0" w:after="0" w:line="240" w:lineRule="auto"/>
            </w:pPr>
            <w:bookmarkEnd w:id="1137"/>
            <w:r>
              <w:rPr>
                <w:b/>
                <w:color w:val="16324F"/>
                <w:sz w:val="14"/>
              </w:rPr>
              <w:t>SRC-SAN-006</w:t>
            </w:r>
          </w:p>
        </w:tc>
        <w:tc>
          <w:tcPr>
            <w:tcW w:type="dxa" w:w="6408"/>
            <w:tcMar>
              <w:top w:w="70" w:type="dxa"/>
              <w:start w:w="90" w:type="dxa"/>
              <w:bottom w:w="70" w:type="dxa"/>
              <w:end w:w="90" w:type="dxa"/>
            </w:tcMar>
            <w:shd w:fill="F5F7F8"/>
          </w:tcPr>
          <w:p>
            <w:pPr>
              <w:spacing w:before="0" w:after="0" w:line="240" w:lineRule="auto"/>
            </w:pPr>
            <w:r>
              <w:rPr>
                <w:b/>
                <w:color w:val="24313D"/>
                <w:sz w:val="14"/>
              </w:rPr>
              <w:t>UK Government — UK Sanctions List</w:t>
            </w:r>
          </w:p>
          <w:p>
            <w:pPr>
              <w:spacing w:before="0" w:after="0" w:line="240" w:lineRule="auto"/>
            </w:pPr>
            <w:r>
              <w:rPr>
                <w:color w:val="52616B"/>
                <w:sz w:val="13"/>
              </w:rPr>
              <w:t>United Kingdom nexus • Live • UK designated-party and regime screening</w:t>
            </w:r>
          </w:p>
        </w:tc>
        <w:tc>
          <w:tcPr>
            <w:tcW w:type="dxa" w:w="1728"/>
            <w:tcMar>
              <w:top w:w="70" w:type="dxa"/>
              <w:start w:w="90" w:type="dxa"/>
              <w:bottom w:w="70" w:type="dxa"/>
              <w:end w:w="90" w:type="dxa"/>
            </w:tcMar>
            <w:shd w:fill="F5F7F8"/>
          </w:tcPr>
          <w:p>
            <w:pPr>
              <w:spacing w:before="0" w:after="0" w:line="240" w:lineRule="auto"/>
            </w:pPr>
            <w:hyperlink r:id="rId48">
              <w:r>
                <w:rPr>
                  <w:color w:val="0F6B78"/>
                  <w:u w:val="single"/>
                </w:rPr>
                <w:t>Open official source</w:t>
              </w:r>
            </w:hyperlink>
          </w:p>
        </w:tc>
      </w:tr>
    </w:tbl>
    <w:p>
      <w:pPr>
        <w:pStyle w:val="Heading2"/>
        <w:keepNext/>
      </w:pPr>
      <w:r>
        <w:t>D.19 Export controls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38" w:name="SRC_SAN_003"/>
            <w:pPr>
              <w:spacing w:before="0" w:after="0" w:line="240" w:lineRule="auto"/>
            </w:pPr>
            <w:bookmarkEnd w:id="1138"/>
            <w:r>
              <w:rPr>
                <w:b/>
                <w:color w:val="16324F"/>
                <w:sz w:val="14"/>
              </w:rPr>
              <w:t>SRC-SAN-003</w:t>
            </w:r>
          </w:p>
        </w:tc>
        <w:tc>
          <w:tcPr>
            <w:tcW w:type="dxa" w:w="6408"/>
            <w:tcMar>
              <w:top w:w="70" w:type="dxa"/>
              <w:start w:w="90" w:type="dxa"/>
              <w:bottom w:w="70" w:type="dxa"/>
              <w:end w:w="90" w:type="dxa"/>
            </w:tcMar>
          </w:tcPr>
          <w:p>
            <w:pPr>
              <w:spacing w:before="0" w:after="0" w:line="240" w:lineRule="auto"/>
            </w:pPr>
            <w:r>
              <w:rPr>
                <w:b/>
                <w:color w:val="24313D"/>
                <w:sz w:val="14"/>
              </w:rPr>
              <w:t>U.S. International Trade Administration — Consolidated Screening List and API</w:t>
            </w:r>
          </w:p>
          <w:p>
            <w:pPr>
              <w:spacing w:before="0" w:after="0" w:line="240" w:lineRule="auto"/>
            </w:pPr>
            <w:r>
              <w:rPr>
                <w:color w:val="52616B"/>
                <w:sz w:val="13"/>
              </w:rPr>
              <w:t>United States nexus • Updated daily • Multi-agency screening aid; potential matches require source-list due diligence</w:t>
            </w:r>
          </w:p>
        </w:tc>
        <w:tc>
          <w:tcPr>
            <w:tcW w:type="dxa" w:w="1728"/>
            <w:tcMar>
              <w:top w:w="70" w:type="dxa"/>
              <w:start w:w="90" w:type="dxa"/>
              <w:bottom w:w="70" w:type="dxa"/>
              <w:end w:w="90" w:type="dxa"/>
            </w:tcMar>
          </w:tcPr>
          <w:p>
            <w:pPr>
              <w:spacing w:before="0" w:after="0" w:line="240" w:lineRule="auto"/>
            </w:pPr>
            <w:hyperlink r:id="rId49">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39" w:name="SRC_SAN_004"/>
            <w:pPr>
              <w:spacing w:before="0" w:after="0" w:line="240" w:lineRule="auto"/>
            </w:pPr>
            <w:bookmarkEnd w:id="1139"/>
            <w:r>
              <w:rPr>
                <w:b/>
                <w:color w:val="16324F"/>
                <w:sz w:val="14"/>
              </w:rPr>
              <w:t>SRC-SAN-004</w:t>
            </w:r>
          </w:p>
        </w:tc>
        <w:tc>
          <w:tcPr>
            <w:tcW w:type="dxa" w:w="6408"/>
            <w:tcMar>
              <w:top w:w="70" w:type="dxa"/>
              <w:start w:w="90" w:type="dxa"/>
              <w:bottom w:w="70" w:type="dxa"/>
              <w:end w:w="90" w:type="dxa"/>
            </w:tcMar>
            <w:shd w:fill="F5F7F8"/>
          </w:tcPr>
          <w:p>
            <w:pPr>
              <w:spacing w:before="0" w:after="0" w:line="240" w:lineRule="auto"/>
            </w:pPr>
            <w:r>
              <w:rPr>
                <w:b/>
                <w:color w:val="24313D"/>
                <w:sz w:val="14"/>
              </w:rPr>
              <w:t>U.S. Bureau of Industry and Security — Interactive Commerce Country Chart</w:t>
            </w:r>
          </w:p>
          <w:p>
            <w:pPr>
              <w:spacing w:before="0" w:after="0" w:line="240" w:lineRule="auto"/>
            </w:pPr>
            <w:r>
              <w:rPr>
                <w:color w:val="52616B"/>
                <w:sz w:val="13"/>
              </w:rPr>
              <w:t>United States nexus • Live • EAR country-reason license matrix input; classification and end-use controls still required</w:t>
            </w:r>
          </w:p>
        </w:tc>
        <w:tc>
          <w:tcPr>
            <w:tcW w:type="dxa" w:w="1728"/>
            <w:tcMar>
              <w:top w:w="70" w:type="dxa"/>
              <w:start w:w="90" w:type="dxa"/>
              <w:bottom w:w="70" w:type="dxa"/>
              <w:end w:w="90" w:type="dxa"/>
            </w:tcMar>
            <w:shd w:fill="F5F7F8"/>
          </w:tcPr>
          <w:p>
            <w:pPr>
              <w:spacing w:before="0" w:after="0" w:line="240" w:lineRule="auto"/>
            </w:pPr>
            <w:hyperlink r:id="rId50">
              <w:r>
                <w:rPr>
                  <w:color w:val="0F6B78"/>
                  <w:u w:val="single"/>
                </w:rPr>
                <w:t>Open official source</w:t>
              </w:r>
            </w:hyperlink>
          </w:p>
        </w:tc>
      </w:tr>
    </w:tbl>
    <w:p>
      <w:pPr>
        <w:pStyle w:val="Heading2"/>
        <w:keepNext/>
      </w:pPr>
      <w:r>
        <w:t>D.20 Dual use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40" w:name="SRC_SAN_007"/>
            <w:pPr>
              <w:spacing w:before="0" w:after="0" w:line="240" w:lineRule="auto"/>
            </w:pPr>
            <w:bookmarkEnd w:id="1140"/>
            <w:r>
              <w:rPr>
                <w:b/>
                <w:color w:val="16324F"/>
                <w:sz w:val="14"/>
              </w:rPr>
              <w:t>SRC-SAN-007</w:t>
            </w:r>
          </w:p>
        </w:tc>
        <w:tc>
          <w:tcPr>
            <w:tcW w:type="dxa" w:w="6408"/>
            <w:tcMar>
              <w:top w:w="70" w:type="dxa"/>
              <w:start w:w="90" w:type="dxa"/>
              <w:bottom w:w="70" w:type="dxa"/>
              <w:end w:w="90" w:type="dxa"/>
            </w:tcMar>
          </w:tcPr>
          <w:p>
            <w:pPr>
              <w:spacing w:before="0" w:after="0" w:line="240" w:lineRule="auto"/>
            </w:pPr>
            <w:r>
              <w:rPr>
                <w:b/>
                <w:color w:val="24313D"/>
                <w:sz w:val="14"/>
              </w:rPr>
              <w:t>Wassenaar Arrangement — Dual-Use and Munitions Lists 2025</w:t>
            </w:r>
          </w:p>
          <w:p>
            <w:pPr>
              <w:spacing w:before="0" w:after="0" w:line="240" w:lineRule="auto"/>
            </w:pPr>
            <w:r>
              <w:rPr>
                <w:color w:val="52616B"/>
                <w:sz w:val="13"/>
              </w:rPr>
              <w:t>Participating states • 2025 with 2026 correction • Control-list reference; national implementation controls licensing</w:t>
            </w:r>
          </w:p>
        </w:tc>
        <w:tc>
          <w:tcPr>
            <w:tcW w:type="dxa" w:w="1728"/>
            <w:tcMar>
              <w:top w:w="70" w:type="dxa"/>
              <w:start w:w="90" w:type="dxa"/>
              <w:bottom w:w="70" w:type="dxa"/>
              <w:end w:w="90" w:type="dxa"/>
            </w:tcMar>
          </w:tcPr>
          <w:p>
            <w:pPr>
              <w:spacing w:before="0" w:after="0" w:line="240" w:lineRule="auto"/>
            </w:pPr>
            <w:hyperlink r:id="rId51">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41" w:name="SRC_SAN_008"/>
            <w:pPr>
              <w:spacing w:before="0" w:after="0" w:line="240" w:lineRule="auto"/>
            </w:pPr>
            <w:bookmarkEnd w:id="1141"/>
            <w:r>
              <w:rPr>
                <w:b/>
                <w:color w:val="16324F"/>
                <w:sz w:val="14"/>
              </w:rPr>
              <w:t>SRC-SAN-008</w:t>
            </w:r>
          </w:p>
        </w:tc>
        <w:tc>
          <w:tcPr>
            <w:tcW w:type="dxa" w:w="6408"/>
            <w:tcMar>
              <w:top w:w="70" w:type="dxa"/>
              <w:start w:w="90" w:type="dxa"/>
              <w:bottom w:w="70" w:type="dxa"/>
              <w:end w:w="90" w:type="dxa"/>
            </w:tcMar>
            <w:shd w:fill="F5F7F8"/>
          </w:tcPr>
          <w:p>
            <w:pPr>
              <w:spacing w:before="0" w:after="0" w:line="240" w:lineRule="auto"/>
            </w:pPr>
            <w:r>
              <w:rPr>
                <w:b/>
                <w:color w:val="24313D"/>
                <w:sz w:val="14"/>
              </w:rPr>
              <w:t>Missile Technology Control Regime — MTCR Guidelines</w:t>
            </w:r>
          </w:p>
          <w:p>
            <w:pPr>
              <w:spacing w:before="0" w:after="0" w:line="240" w:lineRule="auto"/>
            </w:pPr>
            <w:r>
              <w:rPr>
                <w:color w:val="52616B"/>
                <w:sz w:val="13"/>
              </w:rPr>
              <w:t>Participating states • Current • Missile-related dual-use control taxonomy; national implementation controls licensing</w:t>
            </w:r>
          </w:p>
        </w:tc>
        <w:tc>
          <w:tcPr>
            <w:tcW w:type="dxa" w:w="1728"/>
            <w:tcMar>
              <w:top w:w="70" w:type="dxa"/>
              <w:start w:w="90" w:type="dxa"/>
              <w:bottom w:w="70" w:type="dxa"/>
              <w:end w:w="90" w:type="dxa"/>
            </w:tcMar>
            <w:shd w:fill="F5F7F8"/>
          </w:tcPr>
          <w:p>
            <w:pPr>
              <w:spacing w:before="0" w:after="0" w:line="240" w:lineRule="auto"/>
            </w:pPr>
            <w:hyperlink r:id="rId52">
              <w:r>
                <w:rPr>
                  <w:color w:val="0F6B78"/>
                  <w:u w:val="single"/>
                </w:rPr>
                <w:t>Open official source</w:t>
              </w:r>
            </w:hyperlink>
          </w:p>
        </w:tc>
      </w:tr>
      <w:tr>
        <w:trPr>
          <w:cantSplit/>
        </w:trPr>
        <w:tc>
          <w:tcPr>
            <w:tcW w:type="dxa" w:w="1368"/>
            <w:tcMar>
              <w:top w:w="70" w:type="dxa"/>
              <w:start w:w="90" w:type="dxa"/>
              <w:bottom w:w="70" w:type="dxa"/>
              <w:end w:w="90" w:type="dxa"/>
            </w:tcMar>
          </w:tcPr>
          <w:p>
            <w:bookmarkStart w:id="1142" w:name="SRC_SAN_009"/>
            <w:pPr>
              <w:spacing w:before="0" w:after="0" w:line="240" w:lineRule="auto"/>
            </w:pPr>
            <w:bookmarkEnd w:id="1142"/>
            <w:r>
              <w:rPr>
                <w:b/>
                <w:color w:val="16324F"/>
                <w:sz w:val="14"/>
              </w:rPr>
              <w:t>SRC-SAN-009</w:t>
            </w:r>
          </w:p>
        </w:tc>
        <w:tc>
          <w:tcPr>
            <w:tcW w:type="dxa" w:w="6408"/>
            <w:tcMar>
              <w:top w:w="70" w:type="dxa"/>
              <w:start w:w="90" w:type="dxa"/>
              <w:bottom w:w="70" w:type="dxa"/>
              <w:end w:w="90" w:type="dxa"/>
            </w:tcMar>
          </w:tcPr>
          <w:p>
            <w:pPr>
              <w:spacing w:before="0" w:after="0" w:line="240" w:lineRule="auto"/>
            </w:pPr>
            <w:r>
              <w:rPr>
                <w:b/>
                <w:color w:val="24313D"/>
                <w:sz w:val="14"/>
              </w:rPr>
              <w:t>Australia Group — Common control lists</w:t>
            </w:r>
          </w:p>
          <w:p>
            <w:pPr>
              <w:spacing w:before="0" w:after="0" w:line="240" w:lineRule="auto"/>
            </w:pPr>
            <w:r>
              <w:rPr>
                <w:color w:val="52616B"/>
                <w:sz w:val="13"/>
              </w:rPr>
              <w:t>Participating states • Current • Chemical/biological dual-use taxonomy; national implementation controls licensing</w:t>
            </w:r>
          </w:p>
        </w:tc>
        <w:tc>
          <w:tcPr>
            <w:tcW w:type="dxa" w:w="1728"/>
            <w:tcMar>
              <w:top w:w="70" w:type="dxa"/>
              <w:start w:w="90" w:type="dxa"/>
              <w:bottom w:w="70" w:type="dxa"/>
              <w:end w:w="90" w:type="dxa"/>
            </w:tcMar>
          </w:tcPr>
          <w:p>
            <w:pPr>
              <w:spacing w:before="0" w:after="0" w:line="240" w:lineRule="auto"/>
            </w:pPr>
            <w:hyperlink r:id="rId53">
              <w:r>
                <w:rPr>
                  <w:color w:val="0F6B78"/>
                  <w:u w:val="single"/>
                </w:rPr>
                <w:t>Open official source</w:t>
              </w:r>
            </w:hyperlink>
          </w:p>
        </w:tc>
      </w:tr>
    </w:tbl>
    <w:p>
      <w:pPr>
        <w:pStyle w:val="Heading2"/>
        <w:keepNext/>
      </w:pPr>
      <w:r>
        <w:t>D.21 Cultural goods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43" w:name="SRC_SAN_010"/>
            <w:pPr>
              <w:spacing w:before="0" w:after="0" w:line="240" w:lineRule="auto"/>
            </w:pPr>
            <w:bookmarkEnd w:id="1143"/>
            <w:r>
              <w:rPr>
                <w:b/>
                <w:color w:val="16324F"/>
                <w:sz w:val="14"/>
              </w:rPr>
              <w:t>SRC-SAN-010</w:t>
            </w:r>
          </w:p>
        </w:tc>
        <w:tc>
          <w:tcPr>
            <w:tcW w:type="dxa" w:w="6408"/>
            <w:tcMar>
              <w:top w:w="70" w:type="dxa"/>
              <w:start w:w="90" w:type="dxa"/>
              <w:bottom w:w="70" w:type="dxa"/>
              <w:end w:w="90" w:type="dxa"/>
            </w:tcMar>
          </w:tcPr>
          <w:p>
            <w:pPr>
              <w:spacing w:before="0" w:after="0" w:line="240" w:lineRule="auto"/>
            </w:pPr>
            <w:r>
              <w:rPr>
                <w:b/>
                <w:color w:val="24313D"/>
                <w:sz w:val="14"/>
              </w:rPr>
              <w:t>UNESCO — 1970 Cultural Property Convention</w:t>
            </w:r>
          </w:p>
          <w:p>
            <w:pPr>
              <w:spacing w:before="0" w:after="0" w:line="240" w:lineRule="auto"/>
            </w:pPr>
            <w:r>
              <w:rPr>
                <w:color w:val="52616B"/>
                <w:sz w:val="13"/>
              </w:rPr>
              <w:t>Global • Convention/current parties • Cultural-property provenance and permit workflow</w:t>
            </w:r>
          </w:p>
        </w:tc>
        <w:tc>
          <w:tcPr>
            <w:tcW w:type="dxa" w:w="1728"/>
            <w:tcMar>
              <w:top w:w="70" w:type="dxa"/>
              <w:start w:w="90" w:type="dxa"/>
              <w:bottom w:w="70" w:type="dxa"/>
              <w:end w:w="90" w:type="dxa"/>
            </w:tcMar>
          </w:tcPr>
          <w:p>
            <w:pPr>
              <w:spacing w:before="0" w:after="0" w:line="240" w:lineRule="auto"/>
            </w:pPr>
            <w:hyperlink r:id="rId54">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44" w:name="SRC_SAN_011"/>
            <w:pPr>
              <w:spacing w:before="0" w:after="0" w:line="240" w:lineRule="auto"/>
            </w:pPr>
            <w:bookmarkEnd w:id="1144"/>
            <w:r>
              <w:rPr>
                <w:b/>
                <w:color w:val="16324F"/>
                <w:sz w:val="14"/>
              </w:rPr>
              <w:t>SRC-SAN-011</w:t>
            </w:r>
          </w:p>
        </w:tc>
        <w:tc>
          <w:tcPr>
            <w:tcW w:type="dxa" w:w="6408"/>
            <w:tcMar>
              <w:top w:w="70" w:type="dxa"/>
              <w:start w:w="90" w:type="dxa"/>
              <w:bottom w:w="70" w:type="dxa"/>
              <w:end w:w="90" w:type="dxa"/>
            </w:tcMar>
            <w:shd w:fill="F5F7F8"/>
          </w:tcPr>
          <w:p>
            <w:pPr>
              <w:spacing w:before="0" w:after="0" w:line="240" w:lineRule="auto"/>
            </w:pPr>
            <w:r>
              <w:rPr>
                <w:b/>
                <w:color w:val="24313D"/>
                <w:sz w:val="14"/>
              </w:rPr>
              <w:t>INTERPOL — Stolen Works of Art Database</w:t>
            </w:r>
          </w:p>
          <w:p>
            <w:pPr>
              <w:spacing w:before="0" w:after="0" w:line="240" w:lineRule="auto"/>
            </w:pPr>
            <w:r>
              <w:rPr>
                <w:color w:val="52616B"/>
                <w:sz w:val="13"/>
              </w:rPr>
              <w:t>Global • Live • External screening/escalation for art and cultural goods</w:t>
            </w:r>
          </w:p>
        </w:tc>
        <w:tc>
          <w:tcPr>
            <w:tcW w:type="dxa" w:w="1728"/>
            <w:tcMar>
              <w:top w:w="70" w:type="dxa"/>
              <w:start w:w="90" w:type="dxa"/>
              <w:bottom w:w="70" w:type="dxa"/>
              <w:end w:w="90" w:type="dxa"/>
            </w:tcMar>
            <w:shd w:fill="F5F7F8"/>
          </w:tcPr>
          <w:p>
            <w:pPr>
              <w:spacing w:before="0" w:after="0" w:line="240" w:lineRule="auto"/>
            </w:pPr>
            <w:hyperlink r:id="rId55">
              <w:r>
                <w:rPr>
                  <w:color w:val="0F6B78"/>
                  <w:u w:val="single"/>
                </w:rPr>
                <w:t>Open official source</w:t>
              </w:r>
            </w:hyperlink>
          </w:p>
        </w:tc>
      </w:tr>
    </w:tbl>
    <w:p>
      <w:pPr>
        <w:pStyle w:val="Heading2"/>
        <w:keepNext/>
      </w:pPr>
      <w:r>
        <w:t>D.22 Wildlife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45" w:name="SRC_SAN_012"/>
            <w:pPr>
              <w:spacing w:before="0" w:after="0" w:line="240" w:lineRule="auto"/>
            </w:pPr>
            <w:bookmarkEnd w:id="1145"/>
            <w:r>
              <w:rPr>
                <w:b/>
                <w:color w:val="16324F"/>
                <w:sz w:val="14"/>
              </w:rPr>
              <w:t>SRC-SAN-012</w:t>
            </w:r>
          </w:p>
        </w:tc>
        <w:tc>
          <w:tcPr>
            <w:tcW w:type="dxa" w:w="6408"/>
            <w:tcMar>
              <w:top w:w="70" w:type="dxa"/>
              <w:start w:w="90" w:type="dxa"/>
              <w:bottom w:w="70" w:type="dxa"/>
              <w:end w:w="90" w:type="dxa"/>
            </w:tcMar>
          </w:tcPr>
          <w:p>
            <w:pPr>
              <w:spacing w:before="0" w:after="0" w:line="240" w:lineRule="auto"/>
            </w:pPr>
            <w:r>
              <w:rPr>
                <w:b/>
                <w:color w:val="24313D"/>
                <w:sz w:val="14"/>
              </w:rPr>
              <w:t>CITES Secretariat — CITES Trade Database and species controls</w:t>
            </w:r>
          </w:p>
          <w:p>
            <w:pPr>
              <w:spacing w:before="0" w:after="0" w:line="240" w:lineRule="auto"/>
            </w:pPr>
            <w:r>
              <w:rPr>
                <w:color w:val="52616B"/>
                <w:sz w:val="13"/>
              </w:rPr>
              <w:t>CITES parties • Live • Species/material screening and permit evidence for products containing protected wildlife</w:t>
            </w:r>
          </w:p>
        </w:tc>
        <w:tc>
          <w:tcPr>
            <w:tcW w:type="dxa" w:w="1728"/>
            <w:tcMar>
              <w:top w:w="70" w:type="dxa"/>
              <w:start w:w="90" w:type="dxa"/>
              <w:bottom w:w="70" w:type="dxa"/>
              <w:end w:w="90" w:type="dxa"/>
            </w:tcMar>
          </w:tcPr>
          <w:p>
            <w:pPr>
              <w:spacing w:before="0" w:after="0" w:line="240" w:lineRule="auto"/>
            </w:pPr>
            <w:hyperlink r:id="rId56">
              <w:r>
                <w:rPr>
                  <w:color w:val="0F6B78"/>
                  <w:u w:val="single"/>
                </w:rPr>
                <w:t>Open official source</w:t>
              </w:r>
            </w:hyperlink>
          </w:p>
        </w:tc>
      </w:tr>
    </w:tbl>
    <w:p>
      <w:pPr>
        <w:pStyle w:val="Heading2"/>
        <w:keepNext/>
      </w:pPr>
      <w:r>
        <w:t>D.23 Precious goods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46" w:name="SRC_SAN_013"/>
            <w:pPr>
              <w:spacing w:before="0" w:after="0" w:line="240" w:lineRule="auto"/>
            </w:pPr>
            <w:bookmarkEnd w:id="1146"/>
            <w:r>
              <w:rPr>
                <w:b/>
                <w:color w:val="16324F"/>
                <w:sz w:val="14"/>
              </w:rPr>
              <w:t>SRC-SAN-013</w:t>
            </w:r>
          </w:p>
        </w:tc>
        <w:tc>
          <w:tcPr>
            <w:tcW w:type="dxa" w:w="6408"/>
            <w:tcMar>
              <w:top w:w="70" w:type="dxa"/>
              <w:start w:w="90" w:type="dxa"/>
              <w:bottom w:w="70" w:type="dxa"/>
              <w:end w:w="90" w:type="dxa"/>
            </w:tcMar>
          </w:tcPr>
          <w:p>
            <w:pPr>
              <w:spacing w:before="0" w:after="0" w:line="240" w:lineRule="auto"/>
            </w:pPr>
            <w:r>
              <w:rPr>
                <w:b/>
                <w:color w:val="24313D"/>
                <w:sz w:val="14"/>
              </w:rPr>
              <w:t>Kimberley Process — Kimberley Process Certification Scheme</w:t>
            </w:r>
          </w:p>
          <w:p>
            <w:pPr>
              <w:spacing w:before="0" w:after="0" w:line="240" w:lineRule="auto"/>
            </w:pPr>
            <w:r>
              <w:rPr>
                <w:color w:val="52616B"/>
                <w:sz w:val="13"/>
              </w:rPr>
              <w:t>Kimberley Process participants • Current • Rough-diamond participant, certificate and tamper-evident controls</w:t>
            </w:r>
          </w:p>
        </w:tc>
        <w:tc>
          <w:tcPr>
            <w:tcW w:type="dxa" w:w="1728"/>
            <w:tcMar>
              <w:top w:w="70" w:type="dxa"/>
              <w:start w:w="90" w:type="dxa"/>
              <w:bottom w:w="70" w:type="dxa"/>
              <w:end w:w="90" w:type="dxa"/>
            </w:tcMar>
          </w:tcPr>
          <w:p>
            <w:pPr>
              <w:spacing w:before="0" w:after="0" w:line="240" w:lineRule="auto"/>
            </w:pPr>
            <w:hyperlink r:id="rId57">
              <w:r>
                <w:rPr>
                  <w:color w:val="0F6B78"/>
                  <w:u w:val="single"/>
                </w:rPr>
                <w:t>Open official source</w:t>
              </w:r>
            </w:hyperlink>
          </w:p>
        </w:tc>
      </w:tr>
    </w:tbl>
    <w:p>
      <w:pPr>
        <w:pStyle w:val="Heading2"/>
        <w:keepNext/>
      </w:pPr>
      <w:r>
        <w:t>D.24 Food/SPS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47" w:name="SRC_COM_001"/>
            <w:pPr>
              <w:spacing w:before="0" w:after="0" w:line="240" w:lineRule="auto"/>
            </w:pPr>
            <w:bookmarkEnd w:id="1147"/>
            <w:r>
              <w:rPr>
                <w:b/>
                <w:color w:val="16324F"/>
                <w:sz w:val="14"/>
              </w:rPr>
              <w:t>SRC-COM-001</w:t>
            </w:r>
          </w:p>
        </w:tc>
        <w:tc>
          <w:tcPr>
            <w:tcW w:type="dxa" w:w="6408"/>
            <w:tcMar>
              <w:top w:w="70" w:type="dxa"/>
              <w:start w:w="90" w:type="dxa"/>
              <w:bottom w:w="70" w:type="dxa"/>
              <w:end w:w="90" w:type="dxa"/>
            </w:tcMar>
          </w:tcPr>
          <w:p>
            <w:pPr>
              <w:spacing w:before="0" w:after="0" w:line="240" w:lineRule="auto"/>
            </w:pPr>
            <w:r>
              <w:rPr>
                <w:b/>
                <w:color w:val="24313D"/>
                <w:sz w:val="14"/>
              </w:rPr>
              <w:t>World Trade Organization — SPS notification system</w:t>
            </w:r>
          </w:p>
          <w:p>
            <w:pPr>
              <w:spacing w:before="0" w:after="0" w:line="240" w:lineRule="auto"/>
            </w:pPr>
            <w:r>
              <w:rPr>
                <w:color w:val="52616B"/>
                <w:sz w:val="13"/>
              </w:rPr>
              <w:t>WTO members • Live • Country pack changes for food, animal and plant health controls</w:t>
            </w:r>
          </w:p>
        </w:tc>
        <w:tc>
          <w:tcPr>
            <w:tcW w:type="dxa" w:w="1728"/>
            <w:tcMar>
              <w:top w:w="70" w:type="dxa"/>
              <w:start w:w="90" w:type="dxa"/>
              <w:bottom w:w="70" w:type="dxa"/>
              <w:end w:w="90" w:type="dxa"/>
            </w:tcMar>
          </w:tcPr>
          <w:p>
            <w:pPr>
              <w:spacing w:before="0" w:after="0" w:line="240" w:lineRule="auto"/>
            </w:pPr>
            <w:hyperlink r:id="rId58">
              <w:r>
                <w:rPr>
                  <w:color w:val="0F6B78"/>
                  <w:u w:val="single"/>
                </w:rPr>
                <w:t>Open official source</w:t>
              </w:r>
            </w:hyperlink>
          </w:p>
        </w:tc>
      </w:tr>
    </w:tbl>
    <w:p>
      <w:pPr>
        <w:pStyle w:val="Heading2"/>
        <w:keepNext/>
      </w:pPr>
      <w:r>
        <w:t>D.25 Food</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48" w:name="SRC_COM_002"/>
            <w:pPr>
              <w:spacing w:before="0" w:after="0" w:line="240" w:lineRule="auto"/>
            </w:pPr>
            <w:bookmarkEnd w:id="1148"/>
            <w:r>
              <w:rPr>
                <w:b/>
                <w:color w:val="16324F"/>
                <w:sz w:val="14"/>
              </w:rPr>
              <w:t>SRC-COM-002</w:t>
            </w:r>
          </w:p>
        </w:tc>
        <w:tc>
          <w:tcPr>
            <w:tcW w:type="dxa" w:w="6408"/>
            <w:tcMar>
              <w:top w:w="70" w:type="dxa"/>
              <w:start w:w="90" w:type="dxa"/>
              <w:bottom w:w="70" w:type="dxa"/>
              <w:end w:w="90" w:type="dxa"/>
            </w:tcMar>
          </w:tcPr>
          <w:p>
            <w:pPr>
              <w:spacing w:before="0" w:after="0" w:line="240" w:lineRule="auto"/>
            </w:pPr>
            <w:r>
              <w:rPr>
                <w:b/>
                <w:color w:val="24313D"/>
                <w:sz w:val="14"/>
              </w:rPr>
              <w:t>FAO/WHO Codex Alimentarius — Codex standards list</w:t>
            </w:r>
          </w:p>
          <w:p>
            <w:pPr>
              <w:spacing w:before="0" w:after="0" w:line="240" w:lineRule="auto"/>
            </w:pPr>
            <w:r>
              <w:rPr>
                <w:color w:val="52616B"/>
                <w:sz w:val="13"/>
              </w:rPr>
              <w:t>Global • Current • Product standards, labelling and hygiene reference; national adoption varies</w:t>
            </w:r>
          </w:p>
        </w:tc>
        <w:tc>
          <w:tcPr>
            <w:tcW w:type="dxa" w:w="1728"/>
            <w:tcMar>
              <w:top w:w="70" w:type="dxa"/>
              <w:start w:w="90" w:type="dxa"/>
              <w:bottom w:w="70" w:type="dxa"/>
              <w:end w:w="90" w:type="dxa"/>
            </w:tcMar>
          </w:tcPr>
          <w:p>
            <w:pPr>
              <w:spacing w:before="0" w:after="0" w:line="240" w:lineRule="auto"/>
            </w:pPr>
            <w:hyperlink r:id="rId59">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49" w:name="SRC_COM_006"/>
            <w:pPr>
              <w:spacing w:before="0" w:after="0" w:line="240" w:lineRule="auto"/>
            </w:pPr>
            <w:bookmarkEnd w:id="1149"/>
            <w:r>
              <w:rPr>
                <w:b/>
                <w:color w:val="16324F"/>
                <w:sz w:val="14"/>
              </w:rPr>
              <w:t>SRC-COM-006</w:t>
            </w:r>
          </w:p>
        </w:tc>
        <w:tc>
          <w:tcPr>
            <w:tcW w:type="dxa" w:w="6408"/>
            <w:tcMar>
              <w:top w:w="70" w:type="dxa"/>
              <w:start w:w="90" w:type="dxa"/>
              <w:bottom w:w="70" w:type="dxa"/>
              <w:end w:w="90" w:type="dxa"/>
            </w:tcMar>
            <w:shd w:fill="F5F7F8"/>
          </w:tcPr>
          <w:p>
            <w:pPr>
              <w:spacing w:before="0" w:after="0" w:line="240" w:lineRule="auto"/>
            </w:pPr>
            <w:r>
              <w:rPr>
                <w:b/>
                <w:color w:val="24313D"/>
                <w:sz w:val="14"/>
              </w:rPr>
              <w:t>U.S. Food and Drug Administration — Foreign Supplier Verification Programs</w:t>
            </w:r>
          </w:p>
          <w:p>
            <w:pPr>
              <w:spacing w:before="0" w:after="0" w:line="240" w:lineRule="auto"/>
            </w:pPr>
            <w:r>
              <w:rPr>
                <w:color w:val="52616B"/>
                <w:sz w:val="13"/>
              </w:rPr>
              <w:t>United States destination • Current • Importer/FSVP data and shipment hold where required</w:t>
            </w:r>
          </w:p>
        </w:tc>
        <w:tc>
          <w:tcPr>
            <w:tcW w:type="dxa" w:w="1728"/>
            <w:tcMar>
              <w:top w:w="70" w:type="dxa"/>
              <w:start w:w="90" w:type="dxa"/>
              <w:bottom w:w="70" w:type="dxa"/>
              <w:end w:w="90" w:type="dxa"/>
            </w:tcMar>
            <w:shd w:fill="F5F7F8"/>
          </w:tcPr>
          <w:p>
            <w:pPr>
              <w:spacing w:before="0" w:after="0" w:line="240" w:lineRule="auto"/>
            </w:pPr>
            <w:hyperlink r:id="rId60">
              <w:r>
                <w:rPr>
                  <w:color w:val="0F6B78"/>
                  <w:u w:val="single"/>
                </w:rPr>
                <w:t>Open official source</w:t>
              </w:r>
            </w:hyperlink>
          </w:p>
        </w:tc>
      </w:tr>
      <w:tr>
        <w:trPr>
          <w:cantSplit/>
        </w:trPr>
        <w:tc>
          <w:tcPr>
            <w:tcW w:type="dxa" w:w="1368"/>
            <w:tcMar>
              <w:top w:w="70" w:type="dxa"/>
              <w:start w:w="90" w:type="dxa"/>
              <w:bottom w:w="70" w:type="dxa"/>
              <w:end w:w="90" w:type="dxa"/>
            </w:tcMar>
          </w:tcPr>
          <w:p>
            <w:bookmarkStart w:id="1150" w:name="SRC_COM_007"/>
            <w:pPr>
              <w:spacing w:before="0" w:after="0" w:line="240" w:lineRule="auto"/>
            </w:pPr>
            <w:bookmarkEnd w:id="1150"/>
            <w:r>
              <w:rPr>
                <w:b/>
                <w:color w:val="16324F"/>
                <w:sz w:val="14"/>
              </w:rPr>
              <w:t>SRC-COM-007</w:t>
            </w:r>
          </w:p>
        </w:tc>
        <w:tc>
          <w:tcPr>
            <w:tcW w:type="dxa" w:w="6408"/>
            <w:tcMar>
              <w:top w:w="70" w:type="dxa"/>
              <w:start w:w="90" w:type="dxa"/>
              <w:bottom w:w="70" w:type="dxa"/>
              <w:end w:w="90" w:type="dxa"/>
            </w:tcMar>
          </w:tcPr>
          <w:p>
            <w:pPr>
              <w:spacing w:before="0" w:after="0" w:line="240" w:lineRule="auto"/>
            </w:pPr>
            <w:r>
              <w:rPr>
                <w:b/>
                <w:color w:val="24313D"/>
                <w:sz w:val="14"/>
              </w:rPr>
              <w:t>U.S. Food and Drug Administration — Prior Notice of Imported Foods</w:t>
            </w:r>
          </w:p>
          <w:p>
            <w:pPr>
              <w:spacing w:before="0" w:after="0" w:line="240" w:lineRule="auto"/>
            </w:pPr>
            <w:r>
              <w:rPr>
                <w:color w:val="52616B"/>
                <w:sz w:val="13"/>
              </w:rPr>
              <w:t>United States destination • Current • Prior-notice identifier/evidence requirement via approved external filer or carrier workflow</w:t>
            </w:r>
          </w:p>
        </w:tc>
        <w:tc>
          <w:tcPr>
            <w:tcW w:type="dxa" w:w="1728"/>
            <w:tcMar>
              <w:top w:w="70" w:type="dxa"/>
              <w:start w:w="90" w:type="dxa"/>
              <w:bottom w:w="70" w:type="dxa"/>
              <w:end w:w="90" w:type="dxa"/>
            </w:tcMar>
          </w:tcPr>
          <w:p>
            <w:pPr>
              <w:spacing w:before="0" w:after="0" w:line="240" w:lineRule="auto"/>
            </w:pPr>
            <w:hyperlink r:id="rId61">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51" w:name="SRC_COM_009"/>
            <w:pPr>
              <w:spacing w:before="0" w:after="0" w:line="240" w:lineRule="auto"/>
            </w:pPr>
            <w:bookmarkEnd w:id="1151"/>
            <w:r>
              <w:rPr>
                <w:b/>
                <w:color w:val="16324F"/>
                <w:sz w:val="14"/>
              </w:rPr>
              <w:t>SRC-COM-009</w:t>
            </w:r>
          </w:p>
        </w:tc>
        <w:tc>
          <w:tcPr>
            <w:tcW w:type="dxa" w:w="6408"/>
            <w:tcMar>
              <w:top w:w="70" w:type="dxa"/>
              <w:start w:w="90" w:type="dxa"/>
              <w:bottom w:w="70" w:type="dxa"/>
              <w:end w:w="90" w:type="dxa"/>
            </w:tcMar>
            <w:shd w:fill="F5F7F8"/>
          </w:tcPr>
          <w:p>
            <w:pPr>
              <w:spacing w:before="0" w:after="0" w:line="240" w:lineRule="auto"/>
            </w:pPr>
            <w:r>
              <w:rPr>
                <w:b/>
                <w:color w:val="24313D"/>
                <w:sz w:val="14"/>
              </w:rPr>
              <w:t>European Commission — Imported products—official controls</w:t>
            </w:r>
          </w:p>
          <w:p>
            <w:pPr>
              <w:spacing w:before="0" w:after="0" w:line="240" w:lineRule="auto"/>
            </w:pPr>
            <w:r>
              <w:rPr>
                <w:color w:val="52616B"/>
                <w:sz w:val="13"/>
              </w:rPr>
              <w:t>European Union destination • Current • EU food/animal/product official-control and border-control-post routing</w:t>
            </w:r>
          </w:p>
        </w:tc>
        <w:tc>
          <w:tcPr>
            <w:tcW w:type="dxa" w:w="1728"/>
            <w:tcMar>
              <w:top w:w="70" w:type="dxa"/>
              <w:start w:w="90" w:type="dxa"/>
              <w:bottom w:w="70" w:type="dxa"/>
              <w:end w:w="90" w:type="dxa"/>
            </w:tcMar>
            <w:shd w:fill="F5F7F8"/>
          </w:tcPr>
          <w:p>
            <w:pPr>
              <w:spacing w:before="0" w:after="0" w:line="240" w:lineRule="auto"/>
            </w:pPr>
            <w:hyperlink r:id="rId62">
              <w:r>
                <w:rPr>
                  <w:color w:val="0F6B78"/>
                  <w:u w:val="single"/>
                </w:rPr>
                <w:t>Open official source</w:t>
              </w:r>
            </w:hyperlink>
          </w:p>
        </w:tc>
      </w:tr>
    </w:tbl>
    <w:p>
      <w:pPr>
        <w:pStyle w:val="Heading2"/>
        <w:keepNext/>
      </w:pPr>
      <w:r>
        <w:t>D.26 Pharma/cold chain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52" w:name="SRC_COM_003"/>
            <w:pPr>
              <w:spacing w:before="0" w:after="0" w:line="240" w:lineRule="auto"/>
            </w:pPr>
            <w:bookmarkEnd w:id="1152"/>
            <w:r>
              <w:rPr>
                <w:b/>
                <w:color w:val="16324F"/>
                <w:sz w:val="14"/>
              </w:rPr>
              <w:t>SRC-COM-003</w:t>
            </w:r>
          </w:p>
        </w:tc>
        <w:tc>
          <w:tcPr>
            <w:tcW w:type="dxa" w:w="6408"/>
            <w:tcMar>
              <w:top w:w="70" w:type="dxa"/>
              <w:start w:w="90" w:type="dxa"/>
              <w:bottom w:w="70" w:type="dxa"/>
              <w:end w:w="90" w:type="dxa"/>
            </w:tcMar>
          </w:tcPr>
          <w:p>
            <w:pPr>
              <w:spacing w:before="0" w:after="0" w:line="240" w:lineRule="auto"/>
            </w:pPr>
            <w:r>
              <w:rPr>
                <w:b/>
                <w:color w:val="24313D"/>
                <w:sz w:val="14"/>
              </w:rPr>
              <w:t>World Health Organization — Good storage and distribution practices</w:t>
            </w:r>
          </w:p>
          <w:p>
            <w:pPr>
              <w:spacing w:before="0" w:after="0" w:line="240" w:lineRule="auto"/>
            </w:pPr>
            <w:r>
              <w:rPr>
                <w:color w:val="52616B"/>
                <w:sz w:val="13"/>
              </w:rPr>
              <w:t>Global • WHO TRS 1025 Annex 7 • Warehouse quality system, storage, distribution, complaints, returns and recalls</w:t>
            </w:r>
          </w:p>
        </w:tc>
        <w:tc>
          <w:tcPr>
            <w:tcW w:type="dxa" w:w="1728"/>
            <w:tcMar>
              <w:top w:w="70" w:type="dxa"/>
              <w:start w:w="90" w:type="dxa"/>
              <w:bottom w:w="70" w:type="dxa"/>
              <w:end w:w="90" w:type="dxa"/>
            </w:tcMar>
          </w:tcPr>
          <w:p>
            <w:pPr>
              <w:spacing w:before="0" w:after="0" w:line="240" w:lineRule="auto"/>
            </w:pPr>
            <w:hyperlink r:id="rId63">
              <w:r>
                <w:rPr>
                  <w:color w:val="0F6B78"/>
                  <w:u w:val="single"/>
                </w:rPr>
                <w:t>Open official source</w:t>
              </w:r>
            </w:hyperlink>
          </w:p>
        </w:tc>
      </w:tr>
    </w:tbl>
    <w:p>
      <w:pPr>
        <w:pStyle w:val="Heading2"/>
        <w:keepNext/>
      </w:pPr>
      <w:r>
        <w:t>D.27 Cold chain</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53" w:name="SRC_COM_004"/>
            <w:pPr>
              <w:spacing w:before="0" w:after="0" w:line="240" w:lineRule="auto"/>
            </w:pPr>
            <w:bookmarkEnd w:id="1153"/>
            <w:r>
              <w:rPr>
                <w:b/>
                <w:color w:val="16324F"/>
                <w:sz w:val="14"/>
              </w:rPr>
              <w:t>SRC-COM-004</w:t>
            </w:r>
          </w:p>
        </w:tc>
        <w:tc>
          <w:tcPr>
            <w:tcW w:type="dxa" w:w="6408"/>
            <w:tcMar>
              <w:top w:w="70" w:type="dxa"/>
              <w:start w:w="90" w:type="dxa"/>
              <w:bottom w:w="70" w:type="dxa"/>
              <w:end w:w="90" w:type="dxa"/>
            </w:tcMar>
          </w:tcPr>
          <w:p>
            <w:pPr>
              <w:spacing w:before="0" w:after="0" w:line="240" w:lineRule="auto"/>
            </w:pPr>
            <w:r>
              <w:rPr>
                <w:b/>
                <w:color w:val="24313D"/>
                <w:sz w:val="14"/>
              </w:rPr>
              <w:t>World Health Organization — Model guidance for time- and temperature-sensitive pharmaceutical products</w:t>
            </w:r>
          </w:p>
          <w:p>
            <w:pPr>
              <w:spacing w:before="0" w:after="0" w:line="240" w:lineRule="auto"/>
            </w:pPr>
            <w:r>
              <w:rPr>
                <w:color w:val="52616B"/>
                <w:sz w:val="13"/>
              </w:rPr>
              <w:t>Global • WHO TRS 961 Annex 9 • Temperature mapping, monitoring, excursions, packaging and transport qualification</w:t>
            </w:r>
          </w:p>
        </w:tc>
        <w:tc>
          <w:tcPr>
            <w:tcW w:type="dxa" w:w="1728"/>
            <w:tcMar>
              <w:top w:w="70" w:type="dxa"/>
              <w:start w:w="90" w:type="dxa"/>
              <w:bottom w:w="70" w:type="dxa"/>
              <w:end w:w="90" w:type="dxa"/>
            </w:tcMar>
          </w:tcPr>
          <w:p>
            <w:pPr>
              <w:spacing w:before="0" w:after="0" w:line="240" w:lineRule="auto"/>
            </w:pPr>
            <w:hyperlink r:id="rId64">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54" w:name="SRC_COM_011"/>
            <w:pPr>
              <w:spacing w:before="0" w:after="0" w:line="240" w:lineRule="auto"/>
            </w:pPr>
            <w:bookmarkEnd w:id="1154"/>
            <w:r>
              <w:rPr>
                <w:b/>
                <w:color w:val="16324F"/>
                <w:sz w:val="14"/>
              </w:rPr>
              <w:t>SRC-COM-011</w:t>
            </w:r>
          </w:p>
        </w:tc>
        <w:tc>
          <w:tcPr>
            <w:tcW w:type="dxa" w:w="6408"/>
            <w:tcMar>
              <w:top w:w="70" w:type="dxa"/>
              <w:start w:w="90" w:type="dxa"/>
              <w:bottom w:w="70" w:type="dxa"/>
              <w:end w:w="90" w:type="dxa"/>
            </w:tcMar>
            <w:shd w:fill="F5F7F8"/>
          </w:tcPr>
          <w:p>
            <w:pPr>
              <w:spacing w:before="0" w:after="0" w:line="240" w:lineRule="auto"/>
            </w:pPr>
            <w:r>
              <w:rPr>
                <w:b/>
                <w:color w:val="24313D"/>
                <w:sz w:val="14"/>
              </w:rPr>
              <w:t>International Air Transport Association — Temperature Control Regulations</w:t>
            </w:r>
          </w:p>
          <w:p>
            <w:pPr>
              <w:spacing w:before="0" w:after="0" w:line="240" w:lineRule="auto"/>
            </w:pPr>
            <w:r>
              <w:rPr>
                <w:color w:val="52616B"/>
                <w:sz w:val="13"/>
              </w:rPr>
              <w:t>Global/air • Current edition • Air temperature-control operational baseline; licensed content and carrier variations apply</w:t>
            </w:r>
          </w:p>
        </w:tc>
        <w:tc>
          <w:tcPr>
            <w:tcW w:type="dxa" w:w="1728"/>
            <w:tcMar>
              <w:top w:w="70" w:type="dxa"/>
              <w:start w:w="90" w:type="dxa"/>
              <w:bottom w:w="70" w:type="dxa"/>
              <w:end w:w="90" w:type="dxa"/>
            </w:tcMar>
            <w:shd w:fill="F5F7F8"/>
          </w:tcPr>
          <w:p>
            <w:pPr>
              <w:spacing w:before="0" w:after="0" w:line="240" w:lineRule="auto"/>
            </w:pPr>
            <w:hyperlink r:id="rId65">
              <w:r>
                <w:rPr>
                  <w:color w:val="0F6B78"/>
                  <w:u w:val="single"/>
                </w:rPr>
                <w:t>Open official source</w:t>
              </w:r>
            </w:hyperlink>
          </w:p>
        </w:tc>
      </w:tr>
    </w:tbl>
    <w:p>
      <w:pPr>
        <w:pStyle w:val="Heading2"/>
        <w:keepNext/>
      </w:pPr>
      <w:r>
        <w:t>D.28 Medical devices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55" w:name="SRC_COM_005"/>
            <w:pPr>
              <w:spacing w:before="0" w:after="0" w:line="240" w:lineRule="auto"/>
            </w:pPr>
            <w:bookmarkEnd w:id="1155"/>
            <w:r>
              <w:rPr>
                <w:b/>
                <w:color w:val="16324F"/>
                <w:sz w:val="14"/>
              </w:rPr>
              <w:t>SRC-COM-005</w:t>
            </w:r>
          </w:p>
        </w:tc>
        <w:tc>
          <w:tcPr>
            <w:tcW w:type="dxa" w:w="6408"/>
            <w:tcMar>
              <w:top w:w="70" w:type="dxa"/>
              <w:start w:w="90" w:type="dxa"/>
              <w:bottom w:w="70" w:type="dxa"/>
              <w:end w:w="90" w:type="dxa"/>
            </w:tcMar>
          </w:tcPr>
          <w:p>
            <w:pPr>
              <w:spacing w:before="0" w:after="0" w:line="240" w:lineRule="auto"/>
            </w:pPr>
            <w:r>
              <w:rPr>
                <w:b/>
                <w:color w:val="24313D"/>
                <w:sz w:val="14"/>
              </w:rPr>
              <w:t>International Medical Device Regulators Forum — Unique Device Identification guidance</w:t>
            </w:r>
          </w:p>
          <w:p>
            <w:pPr>
              <w:spacing w:before="0" w:after="0" w:line="240" w:lineRule="auto"/>
            </w:pPr>
            <w:r>
              <w:rPr>
                <w:color w:val="52616B"/>
                <w:sz w:val="13"/>
              </w:rPr>
              <w:t>Global/national implementation • IMDRF/UDI WG/N7FINAL:2013 • UDI data capture and regulatory identifier mapping</w:t>
            </w:r>
          </w:p>
        </w:tc>
        <w:tc>
          <w:tcPr>
            <w:tcW w:type="dxa" w:w="1728"/>
            <w:tcMar>
              <w:top w:w="70" w:type="dxa"/>
              <w:start w:w="90" w:type="dxa"/>
              <w:bottom w:w="70" w:type="dxa"/>
              <w:end w:w="90" w:type="dxa"/>
            </w:tcMar>
          </w:tcPr>
          <w:p>
            <w:pPr>
              <w:spacing w:before="0" w:after="0" w:line="240" w:lineRule="auto"/>
            </w:pPr>
            <w:hyperlink r:id="rId66">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56" w:name="SRC_COM_008"/>
            <w:pPr>
              <w:spacing w:before="0" w:after="0" w:line="240" w:lineRule="auto"/>
            </w:pPr>
            <w:bookmarkEnd w:id="1156"/>
            <w:r>
              <w:rPr>
                <w:b/>
                <w:color w:val="16324F"/>
                <w:sz w:val="14"/>
              </w:rPr>
              <w:t>SRC-COM-008</w:t>
            </w:r>
          </w:p>
        </w:tc>
        <w:tc>
          <w:tcPr>
            <w:tcW w:type="dxa" w:w="6408"/>
            <w:tcMar>
              <w:top w:w="70" w:type="dxa"/>
              <w:start w:w="90" w:type="dxa"/>
              <w:bottom w:w="70" w:type="dxa"/>
              <w:end w:w="90" w:type="dxa"/>
            </w:tcMar>
            <w:shd w:fill="F5F7F8"/>
          </w:tcPr>
          <w:p>
            <w:pPr>
              <w:spacing w:before="0" w:after="0" w:line="240" w:lineRule="auto"/>
            </w:pPr>
            <w:r>
              <w:rPr>
                <w:b/>
                <w:color w:val="24313D"/>
                <w:sz w:val="14"/>
              </w:rPr>
              <w:t>U.S. Food and Drug Administration — Importing Medical Devices</w:t>
            </w:r>
          </w:p>
          <w:p>
            <w:pPr>
              <w:spacing w:before="0" w:after="0" w:line="240" w:lineRule="auto"/>
            </w:pPr>
            <w:r>
              <w:rPr>
                <w:color w:val="52616B"/>
                <w:sz w:val="13"/>
              </w:rPr>
              <w:t>United States destination • Current • Registration/listing/product-code/import data validation</w:t>
            </w:r>
          </w:p>
        </w:tc>
        <w:tc>
          <w:tcPr>
            <w:tcW w:type="dxa" w:w="1728"/>
            <w:tcMar>
              <w:top w:w="70" w:type="dxa"/>
              <w:start w:w="90" w:type="dxa"/>
              <w:bottom w:w="70" w:type="dxa"/>
              <w:end w:w="90" w:type="dxa"/>
            </w:tcMar>
            <w:shd w:fill="F5F7F8"/>
          </w:tcPr>
          <w:p>
            <w:pPr>
              <w:spacing w:before="0" w:after="0" w:line="240" w:lineRule="auto"/>
            </w:pPr>
            <w:hyperlink r:id="rId67">
              <w:r>
                <w:rPr>
                  <w:color w:val="0F6B78"/>
                  <w:u w:val="single"/>
                </w:rPr>
                <w:t>Open official source</w:t>
              </w:r>
            </w:hyperlink>
          </w:p>
        </w:tc>
      </w:tr>
    </w:tbl>
    <w:p>
      <w:pPr>
        <w:pStyle w:val="Heading2"/>
        <w:keepNext/>
      </w:pPr>
      <w:r>
        <w:t>D.29 Medicinal products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57" w:name="SRC_COM_010"/>
            <w:pPr>
              <w:spacing w:before="0" w:after="0" w:line="240" w:lineRule="auto"/>
            </w:pPr>
            <w:bookmarkEnd w:id="1157"/>
            <w:r>
              <w:rPr>
                <w:b/>
                <w:color w:val="16324F"/>
                <w:sz w:val="14"/>
              </w:rPr>
              <w:t>SRC-COM-010</w:t>
            </w:r>
          </w:p>
        </w:tc>
        <w:tc>
          <w:tcPr>
            <w:tcW w:type="dxa" w:w="6408"/>
            <w:tcMar>
              <w:top w:w="70" w:type="dxa"/>
              <w:start w:w="90" w:type="dxa"/>
              <w:bottom w:w="70" w:type="dxa"/>
              <w:end w:w="90" w:type="dxa"/>
            </w:tcMar>
          </w:tcPr>
          <w:p>
            <w:pPr>
              <w:spacing w:before="0" w:after="0" w:line="240" w:lineRule="auto"/>
            </w:pPr>
            <w:r>
              <w:rPr>
                <w:b/>
                <w:color w:val="24313D"/>
                <w:sz w:val="14"/>
              </w:rPr>
              <w:t>European Commission — Good Distribution Practice Guidelines</w:t>
            </w:r>
          </w:p>
          <w:p>
            <w:pPr>
              <w:spacing w:before="0" w:after="0" w:line="240" w:lineRule="auto"/>
            </w:pPr>
            <w:r>
              <w:rPr>
                <w:color w:val="52616B"/>
                <w:sz w:val="13"/>
              </w:rPr>
              <w:t>European Economic Area • Current consolidated guidance • EU GDP quality, responsible-person, supplier/customer, transport, returns and falsification controls</w:t>
            </w:r>
          </w:p>
        </w:tc>
        <w:tc>
          <w:tcPr>
            <w:tcW w:type="dxa" w:w="1728"/>
            <w:tcMar>
              <w:top w:w="70" w:type="dxa"/>
              <w:start w:w="90" w:type="dxa"/>
              <w:bottom w:w="70" w:type="dxa"/>
              <w:end w:w="90" w:type="dxa"/>
            </w:tcMar>
          </w:tcPr>
          <w:p>
            <w:pPr>
              <w:spacing w:before="0" w:after="0" w:line="240" w:lineRule="auto"/>
            </w:pPr>
            <w:hyperlink r:id="rId68">
              <w:r>
                <w:rPr>
                  <w:color w:val="0F6B78"/>
                  <w:u w:val="single"/>
                </w:rPr>
                <w:t>Open official source</w:t>
              </w:r>
            </w:hyperlink>
          </w:p>
        </w:tc>
      </w:tr>
    </w:tbl>
    <w:p>
      <w:pPr>
        <w:pStyle w:val="Heading2"/>
        <w:keepNext/>
      </w:pPr>
      <w:r>
        <w:t>D.30 Tobacco</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58" w:name="SRC_COM_012"/>
            <w:pPr>
              <w:spacing w:before="0" w:after="0" w:line="240" w:lineRule="auto"/>
            </w:pPr>
            <w:bookmarkEnd w:id="1158"/>
            <w:r>
              <w:rPr>
                <w:b/>
                <w:color w:val="16324F"/>
                <w:sz w:val="14"/>
              </w:rPr>
              <w:t>SRC-COM-012</w:t>
            </w:r>
          </w:p>
        </w:tc>
        <w:tc>
          <w:tcPr>
            <w:tcW w:type="dxa" w:w="6408"/>
            <w:tcMar>
              <w:top w:w="70" w:type="dxa"/>
              <w:start w:w="90" w:type="dxa"/>
              <w:bottom w:w="70" w:type="dxa"/>
              <w:end w:w="90" w:type="dxa"/>
            </w:tcMar>
          </w:tcPr>
          <w:p>
            <w:pPr>
              <w:spacing w:before="0" w:after="0" w:line="240" w:lineRule="auto"/>
            </w:pPr>
            <w:r>
              <w:rPr>
                <w:b/>
                <w:color w:val="24313D"/>
                <w:sz w:val="14"/>
              </w:rPr>
              <w:t>World Health Organization FCTC — Protocol to Eliminate Illicit Trade in Tobacco Products</w:t>
            </w:r>
          </w:p>
          <w:p>
            <w:pPr>
              <w:spacing w:before="0" w:after="0" w:line="240" w:lineRule="auto"/>
            </w:pPr>
            <w:r>
              <w:rPr>
                <w:color w:val="52616B"/>
                <w:sz w:val="13"/>
              </w:rPr>
              <w:t>Protocol parties • Current parties • Licensing, tracking/tracing and supply-chain due diligence reference</w:t>
            </w:r>
          </w:p>
        </w:tc>
        <w:tc>
          <w:tcPr>
            <w:tcW w:type="dxa" w:w="1728"/>
            <w:tcMar>
              <w:top w:w="70" w:type="dxa"/>
              <w:start w:w="90" w:type="dxa"/>
              <w:bottom w:w="70" w:type="dxa"/>
              <w:end w:w="90" w:type="dxa"/>
            </w:tcMar>
          </w:tcPr>
          <w:p>
            <w:pPr>
              <w:spacing w:before="0" w:after="0" w:line="240" w:lineRule="auto"/>
            </w:pPr>
            <w:hyperlink r:id="rId69">
              <w:r>
                <w:rPr>
                  <w:color w:val="0F6B78"/>
                  <w:u w:val="single"/>
                </w:rPr>
                <w:t>Open official source</w:t>
              </w:r>
            </w:hyperlink>
          </w:p>
        </w:tc>
      </w:tr>
    </w:tbl>
    <w:p>
      <w:pPr>
        <w:pStyle w:val="Heading2"/>
        <w:keepNext/>
      </w:pPr>
      <w:r>
        <w:t>D.31 Excise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59" w:name="SRC_COM_013"/>
            <w:pPr>
              <w:spacing w:before="0" w:after="0" w:line="240" w:lineRule="auto"/>
            </w:pPr>
            <w:bookmarkEnd w:id="1159"/>
            <w:r>
              <w:rPr>
                <w:b/>
                <w:color w:val="16324F"/>
                <w:sz w:val="14"/>
              </w:rPr>
              <w:t>SRC-COM-013</w:t>
            </w:r>
          </w:p>
        </w:tc>
        <w:tc>
          <w:tcPr>
            <w:tcW w:type="dxa" w:w="6408"/>
            <w:tcMar>
              <w:top w:w="70" w:type="dxa"/>
              <w:start w:w="90" w:type="dxa"/>
              <w:bottom w:w="70" w:type="dxa"/>
              <w:end w:w="90" w:type="dxa"/>
            </w:tcMar>
          </w:tcPr>
          <w:p>
            <w:pPr>
              <w:spacing w:before="0" w:after="0" w:line="240" w:lineRule="auto"/>
            </w:pPr>
            <w:r>
              <w:rPr>
                <w:b/>
                <w:color w:val="24313D"/>
                <w:sz w:val="14"/>
              </w:rPr>
              <w:t>European Commission — Excise Movement and Control System</w:t>
            </w:r>
          </w:p>
          <w:p>
            <w:pPr>
              <w:spacing w:before="0" w:after="0" w:line="240" w:lineRule="auto"/>
            </w:pPr>
            <w:r>
              <w:rPr>
                <w:color w:val="52616B"/>
                <w:sz w:val="13"/>
              </w:rPr>
              <w:t>European Union • Current • Excise movement references and external approval/document evidence</w:t>
            </w:r>
          </w:p>
        </w:tc>
        <w:tc>
          <w:tcPr>
            <w:tcW w:type="dxa" w:w="1728"/>
            <w:tcMar>
              <w:top w:w="70" w:type="dxa"/>
              <w:start w:w="90" w:type="dxa"/>
              <w:bottom w:w="70" w:type="dxa"/>
              <w:end w:w="90" w:type="dxa"/>
            </w:tcMar>
          </w:tcPr>
          <w:p>
            <w:pPr>
              <w:spacing w:before="0" w:after="0" w:line="240" w:lineRule="auto"/>
            </w:pPr>
            <w:hyperlink r:id="rId70">
              <w:r>
                <w:rPr>
                  <w:color w:val="0F6B78"/>
                  <w:u w:val="single"/>
                </w:rPr>
                <w:t>Open official source</w:t>
              </w:r>
            </w:hyperlink>
          </w:p>
        </w:tc>
      </w:tr>
    </w:tbl>
    <w:p>
      <w:pPr>
        <w:pStyle w:val="Heading2"/>
        <w:keepNext/>
      </w:pPr>
      <w:r>
        <w:t>D.32 Alcohol</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60" w:name="SRC_COM_014"/>
            <w:pPr>
              <w:spacing w:before="0" w:after="0" w:line="240" w:lineRule="auto"/>
            </w:pPr>
            <w:bookmarkEnd w:id="1160"/>
            <w:r>
              <w:rPr>
                <w:b/>
                <w:color w:val="16324F"/>
                <w:sz w:val="14"/>
              </w:rPr>
              <w:t>SRC-COM-014</w:t>
            </w:r>
          </w:p>
        </w:tc>
        <w:tc>
          <w:tcPr>
            <w:tcW w:type="dxa" w:w="6408"/>
            <w:tcMar>
              <w:top w:w="70" w:type="dxa"/>
              <w:start w:w="90" w:type="dxa"/>
              <w:bottom w:w="70" w:type="dxa"/>
              <w:end w:w="90" w:type="dxa"/>
            </w:tcMar>
          </w:tcPr>
          <w:p>
            <w:pPr>
              <w:spacing w:before="0" w:after="0" w:line="240" w:lineRule="auto"/>
            </w:pPr>
            <w:r>
              <w:rPr>
                <w:b/>
                <w:color w:val="24313D"/>
                <w:sz w:val="14"/>
              </w:rPr>
              <w:t>Alcohol and Tobacco Tax and Trade Bureau — COLAs Online</w:t>
            </w:r>
          </w:p>
          <w:p>
            <w:pPr>
              <w:spacing w:before="0" w:after="0" w:line="240" w:lineRule="auto"/>
            </w:pPr>
            <w:r>
              <w:rPr>
                <w:color w:val="52616B"/>
                <w:sz w:val="13"/>
              </w:rPr>
              <w:t>United States • Current • Label-approval evidence for applicable alcohol flows</w:t>
            </w:r>
          </w:p>
        </w:tc>
        <w:tc>
          <w:tcPr>
            <w:tcW w:type="dxa" w:w="1728"/>
            <w:tcMar>
              <w:top w:w="70" w:type="dxa"/>
              <w:start w:w="90" w:type="dxa"/>
              <w:bottom w:w="70" w:type="dxa"/>
              <w:end w:w="90" w:type="dxa"/>
            </w:tcMar>
          </w:tcPr>
          <w:p>
            <w:pPr>
              <w:spacing w:before="0" w:after="0" w:line="240" w:lineRule="auto"/>
            </w:pPr>
            <w:hyperlink r:id="rId71">
              <w:r>
                <w:rPr>
                  <w:color w:val="0F6B78"/>
                  <w:u w:val="single"/>
                </w:rPr>
                <w:t>Open official source</w:t>
              </w:r>
            </w:hyperlink>
          </w:p>
        </w:tc>
      </w:tr>
    </w:tbl>
    <w:p>
      <w:pPr>
        <w:pStyle w:val="Heading2"/>
        <w:keepNext/>
      </w:pPr>
      <w:r>
        <w:t>D.33 Electronic trade documents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61" w:name="SRC_ELC_001"/>
            <w:pPr>
              <w:spacing w:before="0" w:after="0" w:line="240" w:lineRule="auto"/>
            </w:pPr>
            <w:bookmarkEnd w:id="1161"/>
            <w:r>
              <w:rPr>
                <w:b/>
                <w:color w:val="16324F"/>
                <w:sz w:val="14"/>
              </w:rPr>
              <w:t>SRC-ELC-001</w:t>
            </w:r>
          </w:p>
        </w:tc>
        <w:tc>
          <w:tcPr>
            <w:tcW w:type="dxa" w:w="6408"/>
            <w:tcMar>
              <w:top w:w="70" w:type="dxa"/>
              <w:start w:w="90" w:type="dxa"/>
              <w:bottom w:w="70" w:type="dxa"/>
              <w:end w:w="90" w:type="dxa"/>
            </w:tcMar>
          </w:tcPr>
          <w:p>
            <w:pPr>
              <w:spacing w:before="0" w:after="0" w:line="240" w:lineRule="auto"/>
            </w:pPr>
            <w:r>
              <w:rPr>
                <w:b/>
                <w:color w:val="24313D"/>
                <w:sz w:val="14"/>
              </w:rPr>
              <w:t>UNCITRAL — Model Law on Electronic Transferable Records</w:t>
            </w:r>
          </w:p>
          <w:p>
            <w:pPr>
              <w:spacing w:before="0" w:after="0" w:line="240" w:lineRule="auto"/>
            </w:pPr>
            <w:r>
              <w:rPr>
                <w:color w:val="52616B"/>
                <w:sz w:val="13"/>
              </w:rPr>
              <w:t>Global/national enactment • 2017/current enactments • Electronic transferable-record capability and jurisdictional equivalence checks</w:t>
            </w:r>
          </w:p>
        </w:tc>
        <w:tc>
          <w:tcPr>
            <w:tcW w:type="dxa" w:w="1728"/>
            <w:tcMar>
              <w:top w:w="70" w:type="dxa"/>
              <w:start w:w="90" w:type="dxa"/>
              <w:bottom w:w="70" w:type="dxa"/>
              <w:end w:w="90" w:type="dxa"/>
            </w:tcMar>
          </w:tcPr>
          <w:p>
            <w:pPr>
              <w:spacing w:before="0" w:after="0" w:line="240" w:lineRule="auto"/>
            </w:pPr>
            <w:hyperlink r:id="rId72">
              <w:r>
                <w:rPr>
                  <w:color w:val="0F6B78"/>
                  <w:u w:val="single"/>
                </w:rPr>
                <w:t>Open official source</w:t>
              </w:r>
            </w:hyperlink>
          </w:p>
        </w:tc>
      </w:tr>
    </w:tbl>
    <w:p>
      <w:pPr>
        <w:pStyle w:val="Heading2"/>
        <w:keepNext/>
      </w:pPr>
      <w:r>
        <w:t>D.34 Electronic signatures</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62" w:name="SRC_ELC_002"/>
            <w:pPr>
              <w:spacing w:before="0" w:after="0" w:line="240" w:lineRule="auto"/>
            </w:pPr>
            <w:bookmarkEnd w:id="1162"/>
            <w:r>
              <w:rPr>
                <w:b/>
                <w:color w:val="16324F"/>
                <w:sz w:val="14"/>
              </w:rPr>
              <w:t>SRC-ELC-002</w:t>
            </w:r>
          </w:p>
        </w:tc>
        <w:tc>
          <w:tcPr>
            <w:tcW w:type="dxa" w:w="6408"/>
            <w:tcMar>
              <w:top w:w="70" w:type="dxa"/>
              <w:start w:w="90" w:type="dxa"/>
              <w:bottom w:w="70" w:type="dxa"/>
              <w:end w:w="90" w:type="dxa"/>
            </w:tcMar>
          </w:tcPr>
          <w:p>
            <w:pPr>
              <w:spacing w:before="0" w:after="0" w:line="240" w:lineRule="auto"/>
            </w:pPr>
            <w:r>
              <w:rPr>
                <w:b/>
                <w:color w:val="24313D"/>
                <w:sz w:val="14"/>
              </w:rPr>
              <w:t>UNCITRAL — Model Law on Electronic Signatures</w:t>
            </w:r>
          </w:p>
          <w:p>
            <w:pPr>
              <w:spacing w:before="0" w:after="0" w:line="240" w:lineRule="auto"/>
            </w:pPr>
            <w:r>
              <w:rPr>
                <w:color w:val="52616B"/>
                <w:sz w:val="13"/>
              </w:rPr>
              <w:t>Global/national enactment • 2001/current enactments • Signature assurance and legal-validity country-pack requirement</w:t>
            </w:r>
          </w:p>
        </w:tc>
        <w:tc>
          <w:tcPr>
            <w:tcW w:type="dxa" w:w="1728"/>
            <w:tcMar>
              <w:top w:w="70" w:type="dxa"/>
              <w:start w:w="90" w:type="dxa"/>
              <w:bottom w:w="70" w:type="dxa"/>
              <w:end w:w="90" w:type="dxa"/>
            </w:tcMar>
          </w:tcPr>
          <w:p>
            <w:pPr>
              <w:spacing w:before="0" w:after="0" w:line="240" w:lineRule="auto"/>
            </w:pPr>
            <w:hyperlink r:id="rId73">
              <w:r>
                <w:rPr>
                  <w:color w:val="0F6B78"/>
                  <w:u w:val="single"/>
                </w:rPr>
                <w:t>Open official source</w:t>
              </w:r>
            </w:hyperlink>
          </w:p>
        </w:tc>
      </w:tr>
    </w:tbl>
    <w:p>
      <w:pPr>
        <w:pStyle w:val="Heading2"/>
        <w:keepNext/>
      </w:pPr>
      <w:r>
        <w:t>D.35 Privacy</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63" w:name="SRC_PRV_001"/>
            <w:pPr>
              <w:spacing w:before="0" w:after="0" w:line="240" w:lineRule="auto"/>
            </w:pPr>
            <w:bookmarkEnd w:id="1163"/>
            <w:r>
              <w:rPr>
                <w:b/>
                <w:color w:val="16324F"/>
                <w:sz w:val="14"/>
              </w:rPr>
              <w:t>SRC-PRV-001</w:t>
            </w:r>
          </w:p>
        </w:tc>
        <w:tc>
          <w:tcPr>
            <w:tcW w:type="dxa" w:w="6408"/>
            <w:tcMar>
              <w:top w:w="70" w:type="dxa"/>
              <w:start w:w="90" w:type="dxa"/>
              <w:bottom w:w="70" w:type="dxa"/>
              <w:end w:w="90" w:type="dxa"/>
            </w:tcMar>
          </w:tcPr>
          <w:p>
            <w:pPr>
              <w:spacing w:before="0" w:after="0" w:line="240" w:lineRule="auto"/>
            </w:pPr>
            <w:r>
              <w:rPr>
                <w:b/>
                <w:color w:val="24313D"/>
                <w:sz w:val="14"/>
              </w:rPr>
              <w:t>UN Trade and Development — Global Cyberlaw Tracker</w:t>
            </w:r>
          </w:p>
          <w:p>
            <w:pPr>
              <w:spacing w:before="0" w:after="0" w:line="240" w:lineRule="auto"/>
            </w:pPr>
            <w:r>
              <w:rPr>
                <w:color w:val="52616B"/>
                <w:sz w:val="13"/>
              </w:rPr>
              <w:t>Global • Live • Country-pack discovery for privacy, cybercrime, consumer and electronic-transactions laws</w:t>
            </w:r>
          </w:p>
        </w:tc>
        <w:tc>
          <w:tcPr>
            <w:tcW w:type="dxa" w:w="1728"/>
            <w:tcMar>
              <w:top w:w="70" w:type="dxa"/>
              <w:start w:w="90" w:type="dxa"/>
              <w:bottom w:w="70" w:type="dxa"/>
              <w:end w:w="90" w:type="dxa"/>
            </w:tcMar>
          </w:tcPr>
          <w:p>
            <w:pPr>
              <w:spacing w:before="0" w:after="0" w:line="240" w:lineRule="auto"/>
            </w:pPr>
            <w:hyperlink r:id="rId74">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64" w:name="SRC_PRV_002"/>
            <w:pPr>
              <w:spacing w:before="0" w:after="0" w:line="240" w:lineRule="auto"/>
            </w:pPr>
            <w:bookmarkEnd w:id="1164"/>
            <w:r>
              <w:rPr>
                <w:b/>
                <w:color w:val="16324F"/>
                <w:sz w:val="14"/>
              </w:rPr>
              <w:t>SRC-PRV-002</w:t>
            </w:r>
          </w:p>
        </w:tc>
        <w:tc>
          <w:tcPr>
            <w:tcW w:type="dxa" w:w="6408"/>
            <w:tcMar>
              <w:top w:w="70" w:type="dxa"/>
              <w:start w:w="90" w:type="dxa"/>
              <w:bottom w:w="70" w:type="dxa"/>
              <w:end w:w="90" w:type="dxa"/>
            </w:tcMar>
            <w:shd w:fill="F5F7F8"/>
          </w:tcPr>
          <w:p>
            <w:pPr>
              <w:spacing w:before="0" w:after="0" w:line="240" w:lineRule="auto"/>
            </w:pPr>
            <w:r>
              <w:rPr>
                <w:b/>
                <w:color w:val="24313D"/>
                <w:sz w:val="14"/>
              </w:rPr>
              <w:t>European Union — General Data Protection Regulation</w:t>
            </w:r>
          </w:p>
          <w:p>
            <w:pPr>
              <w:spacing w:before="0" w:after="0" w:line="240" w:lineRule="auto"/>
            </w:pPr>
            <w:r>
              <w:rPr>
                <w:color w:val="52616B"/>
                <w:sz w:val="13"/>
              </w:rPr>
              <w:t>European Economic Area • Current consolidated law • Controller/processor, rights, security, breach and cross-border transfer controls</w:t>
            </w:r>
          </w:p>
        </w:tc>
        <w:tc>
          <w:tcPr>
            <w:tcW w:type="dxa" w:w="1728"/>
            <w:tcMar>
              <w:top w:w="70" w:type="dxa"/>
              <w:start w:w="90" w:type="dxa"/>
              <w:bottom w:w="70" w:type="dxa"/>
              <w:end w:w="90" w:type="dxa"/>
            </w:tcMar>
            <w:shd w:fill="F5F7F8"/>
          </w:tcPr>
          <w:p>
            <w:pPr>
              <w:spacing w:before="0" w:after="0" w:line="240" w:lineRule="auto"/>
            </w:pPr>
            <w:hyperlink r:id="rId75">
              <w:r>
                <w:rPr>
                  <w:color w:val="0F6B78"/>
                  <w:u w:val="single"/>
                </w:rPr>
                <w:t>Open official source</w:t>
              </w:r>
            </w:hyperlink>
          </w:p>
        </w:tc>
      </w:tr>
      <w:tr>
        <w:trPr>
          <w:cantSplit/>
        </w:trPr>
        <w:tc>
          <w:tcPr>
            <w:tcW w:type="dxa" w:w="1368"/>
            <w:tcMar>
              <w:top w:w="70" w:type="dxa"/>
              <w:start w:w="90" w:type="dxa"/>
              <w:bottom w:w="70" w:type="dxa"/>
              <w:end w:w="90" w:type="dxa"/>
            </w:tcMar>
          </w:tcPr>
          <w:p>
            <w:bookmarkStart w:id="1165" w:name="SRC_PRV_003"/>
            <w:pPr>
              <w:spacing w:before="0" w:after="0" w:line="240" w:lineRule="auto"/>
            </w:pPr>
            <w:bookmarkEnd w:id="1165"/>
            <w:r>
              <w:rPr>
                <w:b/>
                <w:color w:val="16324F"/>
                <w:sz w:val="14"/>
              </w:rPr>
              <w:t>SRC-PRV-003</w:t>
            </w:r>
          </w:p>
        </w:tc>
        <w:tc>
          <w:tcPr>
            <w:tcW w:type="dxa" w:w="6408"/>
            <w:tcMar>
              <w:top w:w="70" w:type="dxa"/>
              <w:start w:w="90" w:type="dxa"/>
              <w:bottom w:w="70" w:type="dxa"/>
              <w:end w:w="90" w:type="dxa"/>
            </w:tcMar>
          </w:tcPr>
          <w:p>
            <w:pPr>
              <w:spacing w:before="0" w:after="0" w:line="240" w:lineRule="auto"/>
            </w:pPr>
            <w:r>
              <w:rPr>
                <w:b/>
                <w:color w:val="24313D"/>
                <w:sz w:val="14"/>
              </w:rPr>
              <w:t>Council of Europe — Convention 108 parties</w:t>
            </w:r>
          </w:p>
          <w:p>
            <w:pPr>
              <w:spacing w:before="0" w:after="0" w:line="240" w:lineRule="auto"/>
            </w:pPr>
            <w:r>
              <w:rPr>
                <w:color w:val="52616B"/>
                <w:sz w:val="13"/>
              </w:rPr>
              <w:t>Convention parties • Live • International privacy-law coverage and transfer context</w:t>
            </w:r>
          </w:p>
        </w:tc>
        <w:tc>
          <w:tcPr>
            <w:tcW w:type="dxa" w:w="1728"/>
            <w:tcMar>
              <w:top w:w="70" w:type="dxa"/>
              <w:start w:w="90" w:type="dxa"/>
              <w:bottom w:w="70" w:type="dxa"/>
              <w:end w:w="90" w:type="dxa"/>
            </w:tcMar>
          </w:tcPr>
          <w:p>
            <w:pPr>
              <w:spacing w:before="0" w:after="0" w:line="240" w:lineRule="auto"/>
            </w:pPr>
            <w:hyperlink r:id="rId76">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66" w:name="SRC_PRV_004"/>
            <w:pPr>
              <w:spacing w:before="0" w:after="0" w:line="240" w:lineRule="auto"/>
            </w:pPr>
            <w:bookmarkEnd w:id="1166"/>
            <w:r>
              <w:rPr>
                <w:b/>
                <w:color w:val="16324F"/>
                <w:sz w:val="14"/>
              </w:rPr>
              <w:t>SRC-PRV-004</w:t>
            </w:r>
          </w:p>
        </w:tc>
        <w:tc>
          <w:tcPr>
            <w:tcW w:type="dxa" w:w="6408"/>
            <w:tcMar>
              <w:top w:w="70" w:type="dxa"/>
              <w:start w:w="90" w:type="dxa"/>
              <w:bottom w:w="70" w:type="dxa"/>
              <w:end w:w="90" w:type="dxa"/>
            </w:tcMar>
            <w:shd w:fill="F5F7F8"/>
          </w:tcPr>
          <w:p>
            <w:pPr>
              <w:spacing w:before="0" w:after="0" w:line="240" w:lineRule="auto"/>
            </w:pPr>
            <w:r>
              <w:rPr>
                <w:b/>
                <w:color w:val="24313D"/>
                <w:sz w:val="14"/>
              </w:rPr>
              <w:t>OECD — Privacy Guidelines</w:t>
            </w:r>
          </w:p>
          <w:p>
            <w:pPr>
              <w:spacing w:before="0" w:after="0" w:line="240" w:lineRule="auto"/>
            </w:pPr>
            <w:r>
              <w:rPr>
                <w:color w:val="52616B"/>
                <w:sz w:val="13"/>
              </w:rPr>
              <w:t>Global reference • 2013/current • Privacy-program principles and transborder-flow controls</w:t>
            </w:r>
          </w:p>
        </w:tc>
        <w:tc>
          <w:tcPr>
            <w:tcW w:type="dxa" w:w="1728"/>
            <w:tcMar>
              <w:top w:w="70" w:type="dxa"/>
              <w:start w:w="90" w:type="dxa"/>
              <w:bottom w:w="70" w:type="dxa"/>
              <w:end w:w="90" w:type="dxa"/>
            </w:tcMar>
            <w:shd w:fill="F5F7F8"/>
          </w:tcPr>
          <w:p>
            <w:pPr>
              <w:spacing w:before="0" w:after="0" w:line="240" w:lineRule="auto"/>
            </w:pPr>
            <w:hyperlink r:id="rId77">
              <w:r>
                <w:rPr>
                  <w:color w:val="0F6B78"/>
                  <w:u w:val="single"/>
                </w:rPr>
                <w:t>Open official source</w:t>
              </w:r>
            </w:hyperlink>
          </w:p>
        </w:tc>
      </w:tr>
      <w:tr>
        <w:trPr>
          <w:cantSplit/>
        </w:trPr>
        <w:tc>
          <w:tcPr>
            <w:tcW w:type="dxa" w:w="1368"/>
            <w:tcMar>
              <w:top w:w="70" w:type="dxa"/>
              <w:start w:w="90" w:type="dxa"/>
              <w:bottom w:w="70" w:type="dxa"/>
              <w:end w:w="90" w:type="dxa"/>
            </w:tcMar>
          </w:tcPr>
          <w:p>
            <w:bookmarkStart w:id="1167" w:name="SRC_PRV_005"/>
            <w:pPr>
              <w:spacing w:before="0" w:after="0" w:line="240" w:lineRule="auto"/>
            </w:pPr>
            <w:bookmarkEnd w:id="1167"/>
            <w:r>
              <w:rPr>
                <w:b/>
                <w:color w:val="16324F"/>
                <w:sz w:val="14"/>
              </w:rPr>
              <w:t>SRC-PRV-005</w:t>
            </w:r>
          </w:p>
        </w:tc>
        <w:tc>
          <w:tcPr>
            <w:tcW w:type="dxa" w:w="6408"/>
            <w:tcMar>
              <w:top w:w="70" w:type="dxa"/>
              <w:start w:w="90" w:type="dxa"/>
              <w:bottom w:w="70" w:type="dxa"/>
              <w:end w:w="90" w:type="dxa"/>
            </w:tcMar>
          </w:tcPr>
          <w:p>
            <w:pPr>
              <w:spacing w:before="0" w:after="0" w:line="240" w:lineRule="auto"/>
            </w:pPr>
            <w:r>
              <w:rPr>
                <w:b/>
                <w:color w:val="24313D"/>
                <w:sz w:val="14"/>
              </w:rPr>
              <w:t>Ministry of Electronics and Information Technology — Digital Personal Data Protection Rules 2025</w:t>
            </w:r>
          </w:p>
          <w:p>
            <w:pPr>
              <w:spacing w:before="0" w:after="0" w:line="240" w:lineRule="auto"/>
            </w:pPr>
            <w:r>
              <w:rPr>
                <w:color w:val="52616B"/>
                <w:sz w:val="13"/>
              </w:rPr>
              <w:t>India • Staggered from 2025-11-13 • India privacy obligations and future-effective rule scheduling</w:t>
            </w:r>
          </w:p>
        </w:tc>
        <w:tc>
          <w:tcPr>
            <w:tcW w:type="dxa" w:w="1728"/>
            <w:tcMar>
              <w:top w:w="70" w:type="dxa"/>
              <w:start w:w="90" w:type="dxa"/>
              <w:bottom w:w="70" w:type="dxa"/>
              <w:end w:w="90" w:type="dxa"/>
            </w:tcMar>
          </w:tcPr>
          <w:p>
            <w:pPr>
              <w:spacing w:before="0" w:after="0" w:line="240" w:lineRule="auto"/>
            </w:pPr>
            <w:hyperlink r:id="rId78">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68" w:name="SRC_PRV_006"/>
            <w:pPr>
              <w:spacing w:before="0" w:after="0" w:line="240" w:lineRule="auto"/>
            </w:pPr>
            <w:bookmarkEnd w:id="1168"/>
            <w:r>
              <w:rPr>
                <w:b/>
                <w:color w:val="16324F"/>
                <w:sz w:val="14"/>
              </w:rPr>
              <w:t>SRC-PRV-006</w:t>
            </w:r>
          </w:p>
        </w:tc>
        <w:tc>
          <w:tcPr>
            <w:tcW w:type="dxa" w:w="6408"/>
            <w:tcMar>
              <w:top w:w="70" w:type="dxa"/>
              <w:start w:w="90" w:type="dxa"/>
              <w:bottom w:w="70" w:type="dxa"/>
              <w:end w:w="90" w:type="dxa"/>
            </w:tcMar>
            <w:shd w:fill="F5F7F8"/>
          </w:tcPr>
          <w:p>
            <w:pPr>
              <w:spacing w:before="0" w:after="0" w:line="240" w:lineRule="auto"/>
            </w:pPr>
            <w:r>
              <w:rPr>
                <w:b/>
                <w:color w:val="24313D"/>
                <w:sz w:val="14"/>
              </w:rPr>
              <w:t>Personal Information Protection Commission — Act on the Protection of Personal Information</w:t>
            </w:r>
          </w:p>
          <w:p>
            <w:pPr>
              <w:spacing w:before="0" w:after="0" w:line="240" w:lineRule="auto"/>
            </w:pPr>
            <w:r>
              <w:rPr>
                <w:color w:val="52616B"/>
                <w:sz w:val="13"/>
              </w:rPr>
              <w:t>Japan • Current English translation • Japan privacy and overseas-transfer controls</w:t>
            </w:r>
          </w:p>
        </w:tc>
        <w:tc>
          <w:tcPr>
            <w:tcW w:type="dxa" w:w="1728"/>
            <w:tcMar>
              <w:top w:w="70" w:type="dxa"/>
              <w:start w:w="90" w:type="dxa"/>
              <w:bottom w:w="70" w:type="dxa"/>
              <w:end w:w="90" w:type="dxa"/>
            </w:tcMar>
            <w:shd w:fill="F5F7F8"/>
          </w:tcPr>
          <w:p>
            <w:pPr>
              <w:spacing w:before="0" w:after="0" w:line="240" w:lineRule="auto"/>
            </w:pPr>
            <w:hyperlink r:id="rId79">
              <w:r>
                <w:rPr>
                  <w:color w:val="0F6B78"/>
                  <w:u w:val="single"/>
                </w:rPr>
                <w:t>Open official source</w:t>
              </w:r>
            </w:hyperlink>
          </w:p>
        </w:tc>
      </w:tr>
      <w:tr>
        <w:trPr>
          <w:cantSplit/>
        </w:trPr>
        <w:tc>
          <w:tcPr>
            <w:tcW w:type="dxa" w:w="1368"/>
            <w:tcMar>
              <w:top w:w="70" w:type="dxa"/>
              <w:start w:w="90" w:type="dxa"/>
              <w:bottom w:w="70" w:type="dxa"/>
              <w:end w:w="90" w:type="dxa"/>
            </w:tcMar>
          </w:tcPr>
          <w:p>
            <w:bookmarkStart w:id="1169" w:name="SRC_PRV_007"/>
            <w:pPr>
              <w:spacing w:before="0" w:after="0" w:line="240" w:lineRule="auto"/>
            </w:pPr>
            <w:bookmarkEnd w:id="1169"/>
            <w:r>
              <w:rPr>
                <w:b/>
                <w:color w:val="16324F"/>
                <w:sz w:val="14"/>
              </w:rPr>
              <w:t>SRC-PRV-007</w:t>
            </w:r>
          </w:p>
        </w:tc>
        <w:tc>
          <w:tcPr>
            <w:tcW w:type="dxa" w:w="6408"/>
            <w:tcMar>
              <w:top w:w="70" w:type="dxa"/>
              <w:start w:w="90" w:type="dxa"/>
              <w:bottom w:w="70" w:type="dxa"/>
              <w:end w:w="90" w:type="dxa"/>
            </w:tcMar>
          </w:tcPr>
          <w:p>
            <w:pPr>
              <w:spacing w:before="0" w:after="0" w:line="240" w:lineRule="auto"/>
            </w:pPr>
            <w:r>
              <w:rPr>
                <w:b/>
                <w:color w:val="24313D"/>
                <w:sz w:val="14"/>
              </w:rPr>
              <w:t>Personal Data Protection Commission — PDPA data-protection obligations</w:t>
            </w:r>
          </w:p>
          <w:p>
            <w:pPr>
              <w:spacing w:before="0" w:after="0" w:line="240" w:lineRule="auto"/>
            </w:pPr>
            <w:r>
              <w:rPr>
                <w:color w:val="52616B"/>
                <w:sz w:val="13"/>
              </w:rPr>
              <w:t>Singapore • Current • Singapore privacy obligations and transfer limitation</w:t>
            </w:r>
          </w:p>
        </w:tc>
        <w:tc>
          <w:tcPr>
            <w:tcW w:type="dxa" w:w="1728"/>
            <w:tcMar>
              <w:top w:w="70" w:type="dxa"/>
              <w:start w:w="90" w:type="dxa"/>
              <w:bottom w:w="70" w:type="dxa"/>
              <w:end w:w="90" w:type="dxa"/>
            </w:tcMar>
          </w:tcPr>
          <w:p>
            <w:pPr>
              <w:spacing w:before="0" w:after="0" w:line="240" w:lineRule="auto"/>
            </w:pPr>
            <w:hyperlink r:id="rId80">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70" w:name="SRC_PRV_008"/>
            <w:pPr>
              <w:spacing w:before="0" w:after="0" w:line="240" w:lineRule="auto"/>
            </w:pPr>
            <w:bookmarkEnd w:id="1170"/>
            <w:r>
              <w:rPr>
                <w:b/>
                <w:color w:val="16324F"/>
                <w:sz w:val="14"/>
              </w:rPr>
              <w:t>SRC-PRV-008</w:t>
            </w:r>
          </w:p>
        </w:tc>
        <w:tc>
          <w:tcPr>
            <w:tcW w:type="dxa" w:w="6408"/>
            <w:tcMar>
              <w:top w:w="70" w:type="dxa"/>
              <w:start w:w="90" w:type="dxa"/>
              <w:bottom w:w="70" w:type="dxa"/>
              <w:end w:w="90" w:type="dxa"/>
            </w:tcMar>
            <w:shd w:fill="F5F7F8"/>
          </w:tcPr>
          <w:p>
            <w:pPr>
              <w:spacing w:before="0" w:after="0" w:line="240" w:lineRule="auto"/>
            </w:pPr>
            <w:r>
              <w:rPr>
                <w:b/>
                <w:color w:val="24313D"/>
                <w:sz w:val="14"/>
              </w:rPr>
              <w:t>Office of the Australian Information Commissioner — APP 8—cross-border disclosure</w:t>
            </w:r>
          </w:p>
          <w:p>
            <w:pPr>
              <w:spacing w:before="0" w:after="0" w:line="240" w:lineRule="auto"/>
            </w:pPr>
            <w:r>
              <w:rPr>
                <w:color w:val="52616B"/>
                <w:sz w:val="13"/>
              </w:rPr>
              <w:t>Australia • Current • Australia cross-border accountability controls</w:t>
            </w:r>
          </w:p>
        </w:tc>
        <w:tc>
          <w:tcPr>
            <w:tcW w:type="dxa" w:w="1728"/>
            <w:tcMar>
              <w:top w:w="70" w:type="dxa"/>
              <w:start w:w="90" w:type="dxa"/>
              <w:bottom w:w="70" w:type="dxa"/>
              <w:end w:w="90" w:type="dxa"/>
            </w:tcMar>
            <w:shd w:fill="F5F7F8"/>
          </w:tcPr>
          <w:p>
            <w:pPr>
              <w:spacing w:before="0" w:after="0" w:line="240" w:lineRule="auto"/>
            </w:pPr>
            <w:hyperlink r:id="rId81">
              <w:r>
                <w:rPr>
                  <w:color w:val="0F6B78"/>
                  <w:u w:val="single"/>
                </w:rPr>
                <w:t>Open official source</w:t>
              </w:r>
            </w:hyperlink>
          </w:p>
        </w:tc>
      </w:tr>
      <w:tr>
        <w:trPr>
          <w:cantSplit/>
        </w:trPr>
        <w:tc>
          <w:tcPr>
            <w:tcW w:type="dxa" w:w="1368"/>
            <w:tcMar>
              <w:top w:w="70" w:type="dxa"/>
              <w:start w:w="90" w:type="dxa"/>
              <w:bottom w:w="70" w:type="dxa"/>
              <w:end w:w="90" w:type="dxa"/>
            </w:tcMar>
          </w:tcPr>
          <w:p>
            <w:bookmarkStart w:id="1171" w:name="SRC_PRV_009"/>
            <w:pPr>
              <w:spacing w:before="0" w:after="0" w:line="240" w:lineRule="auto"/>
            </w:pPr>
            <w:bookmarkEnd w:id="1171"/>
            <w:r>
              <w:rPr>
                <w:b/>
                <w:color w:val="16324F"/>
                <w:sz w:val="14"/>
              </w:rPr>
              <w:t>SRC-PRV-009</w:t>
            </w:r>
          </w:p>
        </w:tc>
        <w:tc>
          <w:tcPr>
            <w:tcW w:type="dxa" w:w="6408"/>
            <w:tcMar>
              <w:top w:w="70" w:type="dxa"/>
              <w:start w:w="90" w:type="dxa"/>
              <w:bottom w:w="70" w:type="dxa"/>
              <w:end w:w="90" w:type="dxa"/>
            </w:tcMar>
          </w:tcPr>
          <w:p>
            <w:pPr>
              <w:spacing w:before="0" w:after="0" w:line="240" w:lineRule="auto"/>
            </w:pPr>
            <w:r>
              <w:rPr>
                <w:b/>
                <w:color w:val="24313D"/>
                <w:sz w:val="14"/>
              </w:rPr>
              <w:t>National People's Congress translation hosted by Supreme People's Procuratorate — Personal Information Protection Law</w:t>
            </w:r>
          </w:p>
          <w:p>
            <w:pPr>
              <w:spacing w:before="0" w:after="0" w:line="240" w:lineRule="auto"/>
            </w:pPr>
            <w:r>
              <w:rPr>
                <w:color w:val="52616B"/>
                <w:sz w:val="13"/>
              </w:rPr>
              <w:t>China • Effective 2021-11-01 • China processing, localization/security-assessment and transfer workflow</w:t>
            </w:r>
          </w:p>
        </w:tc>
        <w:tc>
          <w:tcPr>
            <w:tcW w:type="dxa" w:w="1728"/>
            <w:tcMar>
              <w:top w:w="70" w:type="dxa"/>
              <w:start w:w="90" w:type="dxa"/>
              <w:bottom w:w="70" w:type="dxa"/>
              <w:end w:w="90" w:type="dxa"/>
            </w:tcMar>
          </w:tcPr>
          <w:p>
            <w:pPr>
              <w:spacing w:before="0" w:after="0" w:line="240" w:lineRule="auto"/>
            </w:pPr>
            <w:hyperlink r:id="rId82">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72" w:name="SRC_PRV_010"/>
            <w:pPr>
              <w:spacing w:before="0" w:after="0" w:line="240" w:lineRule="auto"/>
            </w:pPr>
            <w:bookmarkEnd w:id="1172"/>
            <w:r>
              <w:rPr>
                <w:b/>
                <w:color w:val="16324F"/>
                <w:sz w:val="14"/>
              </w:rPr>
              <w:t>SRC-PRV-010</w:t>
            </w:r>
          </w:p>
        </w:tc>
        <w:tc>
          <w:tcPr>
            <w:tcW w:type="dxa" w:w="6408"/>
            <w:tcMar>
              <w:top w:w="70" w:type="dxa"/>
              <w:start w:w="90" w:type="dxa"/>
              <w:bottom w:w="70" w:type="dxa"/>
              <w:end w:w="90" w:type="dxa"/>
            </w:tcMar>
            <w:shd w:fill="F5F7F8"/>
          </w:tcPr>
          <w:p>
            <w:pPr>
              <w:spacing w:before="0" w:after="0" w:line="240" w:lineRule="auto"/>
            </w:pPr>
            <w:r>
              <w:rPr>
                <w:b/>
                <w:color w:val="24313D"/>
                <w:sz w:val="14"/>
              </w:rPr>
              <w:t>Brazilian Data Protection Authority — Resolution CD/ANPD No. 19 on international transfers</w:t>
            </w:r>
          </w:p>
          <w:p>
            <w:pPr>
              <w:spacing w:before="0" w:after="0" w:line="240" w:lineRule="auto"/>
            </w:pPr>
            <w:r>
              <w:rPr>
                <w:color w:val="52616B"/>
                <w:sz w:val="13"/>
              </w:rPr>
              <w:t>Brazil • 2024 • Brazil transfer mechanisms and contractual controls</w:t>
            </w:r>
          </w:p>
        </w:tc>
        <w:tc>
          <w:tcPr>
            <w:tcW w:type="dxa" w:w="1728"/>
            <w:tcMar>
              <w:top w:w="70" w:type="dxa"/>
              <w:start w:w="90" w:type="dxa"/>
              <w:bottom w:w="70" w:type="dxa"/>
              <w:end w:w="90" w:type="dxa"/>
            </w:tcMar>
            <w:shd w:fill="F5F7F8"/>
          </w:tcPr>
          <w:p>
            <w:pPr>
              <w:spacing w:before="0" w:after="0" w:line="240" w:lineRule="auto"/>
            </w:pPr>
            <w:hyperlink r:id="rId83">
              <w:r>
                <w:rPr>
                  <w:color w:val="0F6B78"/>
                  <w:u w:val="single"/>
                </w:rPr>
                <w:t>Open official source</w:t>
              </w:r>
            </w:hyperlink>
          </w:p>
        </w:tc>
      </w:tr>
      <w:tr>
        <w:trPr>
          <w:cantSplit/>
        </w:trPr>
        <w:tc>
          <w:tcPr>
            <w:tcW w:type="dxa" w:w="1368"/>
            <w:tcMar>
              <w:top w:w="70" w:type="dxa"/>
              <w:start w:w="90" w:type="dxa"/>
              <w:bottom w:w="70" w:type="dxa"/>
              <w:end w:w="90" w:type="dxa"/>
            </w:tcMar>
          </w:tcPr>
          <w:p>
            <w:bookmarkStart w:id="1173" w:name="SRC_PRV_011"/>
            <w:pPr>
              <w:spacing w:before="0" w:after="0" w:line="240" w:lineRule="auto"/>
            </w:pPr>
            <w:bookmarkEnd w:id="1173"/>
            <w:r>
              <w:rPr>
                <w:b/>
                <w:color w:val="16324F"/>
                <w:sz w:val="14"/>
              </w:rPr>
              <w:t>SRC-PRV-011</w:t>
            </w:r>
          </w:p>
        </w:tc>
        <w:tc>
          <w:tcPr>
            <w:tcW w:type="dxa" w:w="6408"/>
            <w:tcMar>
              <w:top w:w="70" w:type="dxa"/>
              <w:start w:w="90" w:type="dxa"/>
              <w:bottom w:w="70" w:type="dxa"/>
              <w:end w:w="90" w:type="dxa"/>
            </w:tcMar>
          </w:tcPr>
          <w:p>
            <w:pPr>
              <w:spacing w:before="0" w:after="0" w:line="240" w:lineRule="auto"/>
            </w:pPr>
            <w:r>
              <w:rPr>
                <w:b/>
                <w:color w:val="24313D"/>
                <w:sz w:val="14"/>
              </w:rPr>
              <w:t>Office of the Privacy Commissioner of Canada — PIPEDA processing across borders guidance</w:t>
            </w:r>
          </w:p>
          <w:p>
            <w:pPr>
              <w:spacing w:before="0" w:after="0" w:line="240" w:lineRule="auto"/>
            </w:pPr>
            <w:r>
              <w:rPr>
                <w:color w:val="52616B"/>
                <w:sz w:val="13"/>
              </w:rPr>
              <w:t>Canada • Current • Canada accountability, notice, contract and access controls</w:t>
            </w:r>
          </w:p>
        </w:tc>
        <w:tc>
          <w:tcPr>
            <w:tcW w:type="dxa" w:w="1728"/>
            <w:tcMar>
              <w:top w:w="70" w:type="dxa"/>
              <w:start w:w="90" w:type="dxa"/>
              <w:bottom w:w="70" w:type="dxa"/>
              <w:end w:w="90" w:type="dxa"/>
            </w:tcMar>
          </w:tcPr>
          <w:p>
            <w:pPr>
              <w:spacing w:before="0" w:after="0" w:line="240" w:lineRule="auto"/>
            </w:pPr>
            <w:hyperlink r:id="rId84">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74" w:name="SRC_PRV_012"/>
            <w:pPr>
              <w:spacing w:before="0" w:after="0" w:line="240" w:lineRule="auto"/>
            </w:pPr>
            <w:bookmarkEnd w:id="1174"/>
            <w:r>
              <w:rPr>
                <w:b/>
                <w:color w:val="16324F"/>
                <w:sz w:val="14"/>
              </w:rPr>
              <w:t>SRC-PRV-012</w:t>
            </w:r>
          </w:p>
        </w:tc>
        <w:tc>
          <w:tcPr>
            <w:tcW w:type="dxa" w:w="6408"/>
            <w:tcMar>
              <w:top w:w="70" w:type="dxa"/>
              <w:start w:w="90" w:type="dxa"/>
              <w:bottom w:w="70" w:type="dxa"/>
              <w:end w:w="90" w:type="dxa"/>
            </w:tcMar>
            <w:shd w:fill="F5F7F8"/>
          </w:tcPr>
          <w:p>
            <w:pPr>
              <w:spacing w:before="0" w:after="0" w:line="240" w:lineRule="auto"/>
            </w:pPr>
            <w:r>
              <w:rPr>
                <w:b/>
                <w:color w:val="24313D"/>
                <w:sz w:val="14"/>
              </w:rPr>
              <w:t>California Privacy Protection Agency — CCPA statute</w:t>
            </w:r>
          </w:p>
          <w:p>
            <w:pPr>
              <w:spacing w:before="0" w:after="0" w:line="240" w:lineRule="auto"/>
            </w:pPr>
            <w:r>
              <w:rPr>
                <w:color w:val="52616B"/>
                <w:sz w:val="13"/>
              </w:rPr>
              <w:t>California/United States • Effective 2026-01-01 edition • California consumer rights, contracts, requests and sensitive data controls</w:t>
            </w:r>
          </w:p>
        </w:tc>
        <w:tc>
          <w:tcPr>
            <w:tcW w:type="dxa" w:w="1728"/>
            <w:tcMar>
              <w:top w:w="70" w:type="dxa"/>
              <w:start w:w="90" w:type="dxa"/>
              <w:bottom w:w="70" w:type="dxa"/>
              <w:end w:w="90" w:type="dxa"/>
            </w:tcMar>
            <w:shd w:fill="F5F7F8"/>
          </w:tcPr>
          <w:p>
            <w:pPr>
              <w:spacing w:before="0" w:after="0" w:line="240" w:lineRule="auto"/>
            </w:pPr>
            <w:hyperlink r:id="rId85">
              <w:r>
                <w:rPr>
                  <w:color w:val="0F6B78"/>
                  <w:u w:val="single"/>
                </w:rPr>
                <w:t>Open official source</w:t>
              </w:r>
            </w:hyperlink>
          </w:p>
        </w:tc>
      </w:tr>
      <w:tr>
        <w:trPr>
          <w:cantSplit/>
        </w:trPr>
        <w:tc>
          <w:tcPr>
            <w:tcW w:type="dxa" w:w="1368"/>
            <w:tcMar>
              <w:top w:w="70" w:type="dxa"/>
              <w:start w:w="90" w:type="dxa"/>
              <w:bottom w:w="70" w:type="dxa"/>
              <w:end w:w="90" w:type="dxa"/>
            </w:tcMar>
          </w:tcPr>
          <w:p>
            <w:bookmarkStart w:id="1175" w:name="SRC_PRV_013"/>
            <w:pPr>
              <w:spacing w:before="0" w:after="0" w:line="240" w:lineRule="auto"/>
            </w:pPr>
            <w:bookmarkEnd w:id="1175"/>
            <w:r>
              <w:rPr>
                <w:b/>
                <w:color w:val="16324F"/>
                <w:sz w:val="14"/>
              </w:rPr>
              <w:t>SRC-PRV-013</w:t>
            </w:r>
          </w:p>
        </w:tc>
        <w:tc>
          <w:tcPr>
            <w:tcW w:type="dxa" w:w="6408"/>
            <w:tcMar>
              <w:top w:w="70" w:type="dxa"/>
              <w:start w:w="90" w:type="dxa"/>
              <w:bottom w:w="70" w:type="dxa"/>
              <w:end w:w="90" w:type="dxa"/>
            </w:tcMar>
          </w:tcPr>
          <w:p>
            <w:pPr>
              <w:spacing w:before="0" w:after="0" w:line="240" w:lineRule="auto"/>
            </w:pPr>
            <w:r>
              <w:rPr>
                <w:b/>
                <w:color w:val="24313D"/>
                <w:sz w:val="14"/>
              </w:rPr>
              <w:t>Information Regulator — Protection of Personal Information Act</w:t>
            </w:r>
          </w:p>
          <w:p>
            <w:pPr>
              <w:spacing w:before="0" w:after="0" w:line="240" w:lineRule="auto"/>
            </w:pPr>
            <w:r>
              <w:rPr>
                <w:color w:val="52616B"/>
                <w:sz w:val="13"/>
              </w:rPr>
              <w:t>South Africa • Current • South Africa privacy, operator and cross-border transfer controls</w:t>
            </w:r>
          </w:p>
        </w:tc>
        <w:tc>
          <w:tcPr>
            <w:tcW w:type="dxa" w:w="1728"/>
            <w:tcMar>
              <w:top w:w="70" w:type="dxa"/>
              <w:start w:w="90" w:type="dxa"/>
              <w:bottom w:w="70" w:type="dxa"/>
              <w:end w:w="90" w:type="dxa"/>
            </w:tcMar>
          </w:tcPr>
          <w:p>
            <w:pPr>
              <w:spacing w:before="0" w:after="0" w:line="240" w:lineRule="auto"/>
            </w:pPr>
            <w:hyperlink r:id="rId86">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76" w:name="SRC_PRV_014"/>
            <w:pPr>
              <w:spacing w:before="0" w:after="0" w:line="240" w:lineRule="auto"/>
            </w:pPr>
            <w:bookmarkEnd w:id="1176"/>
            <w:r>
              <w:rPr>
                <w:b/>
                <w:color w:val="16324F"/>
                <w:sz w:val="14"/>
              </w:rPr>
              <w:t>SRC-PRV-014</w:t>
            </w:r>
          </w:p>
        </w:tc>
        <w:tc>
          <w:tcPr>
            <w:tcW w:type="dxa" w:w="6408"/>
            <w:tcMar>
              <w:top w:w="70" w:type="dxa"/>
              <w:start w:w="90" w:type="dxa"/>
              <w:bottom w:w="70" w:type="dxa"/>
              <w:end w:w="90" w:type="dxa"/>
            </w:tcMar>
            <w:shd w:fill="F5F7F8"/>
          </w:tcPr>
          <w:p>
            <w:pPr>
              <w:spacing w:before="0" w:after="0" w:line="240" w:lineRule="auto"/>
            </w:pPr>
            <w:r>
              <w:rPr>
                <w:b/>
                <w:color w:val="24313D"/>
                <w:sz w:val="14"/>
              </w:rPr>
              <w:t>Nigeria Data Protection Commission — Nigeria Data Protection Act / GAID</w:t>
            </w:r>
          </w:p>
          <w:p>
            <w:pPr>
              <w:spacing w:before="0" w:after="0" w:line="240" w:lineRule="auto"/>
            </w:pPr>
            <w:r>
              <w:rPr>
                <w:color w:val="52616B"/>
                <w:sz w:val="13"/>
              </w:rPr>
              <w:t>Nigeria • 2025 guidance • Nigeria controller/processor and transfer controls</w:t>
            </w:r>
          </w:p>
        </w:tc>
        <w:tc>
          <w:tcPr>
            <w:tcW w:type="dxa" w:w="1728"/>
            <w:tcMar>
              <w:top w:w="70" w:type="dxa"/>
              <w:start w:w="90" w:type="dxa"/>
              <w:bottom w:w="70" w:type="dxa"/>
              <w:end w:w="90" w:type="dxa"/>
            </w:tcMar>
            <w:shd w:fill="F5F7F8"/>
          </w:tcPr>
          <w:p>
            <w:pPr>
              <w:spacing w:before="0" w:after="0" w:line="240" w:lineRule="auto"/>
            </w:pPr>
            <w:hyperlink r:id="rId87">
              <w:r>
                <w:rPr>
                  <w:color w:val="0F6B78"/>
                  <w:u w:val="single"/>
                </w:rPr>
                <w:t>Open official source</w:t>
              </w:r>
            </w:hyperlink>
          </w:p>
        </w:tc>
      </w:tr>
      <w:tr>
        <w:trPr>
          <w:cantSplit/>
        </w:trPr>
        <w:tc>
          <w:tcPr>
            <w:tcW w:type="dxa" w:w="1368"/>
            <w:tcMar>
              <w:top w:w="70" w:type="dxa"/>
              <w:start w:w="90" w:type="dxa"/>
              <w:bottom w:w="70" w:type="dxa"/>
              <w:end w:w="90" w:type="dxa"/>
            </w:tcMar>
          </w:tcPr>
          <w:p>
            <w:bookmarkStart w:id="1177" w:name="SRC_PRV_015"/>
            <w:pPr>
              <w:spacing w:before="0" w:after="0" w:line="240" w:lineRule="auto"/>
            </w:pPr>
            <w:bookmarkEnd w:id="1177"/>
            <w:r>
              <w:rPr>
                <w:b/>
                <w:color w:val="16324F"/>
                <w:sz w:val="14"/>
              </w:rPr>
              <w:t>SRC-PRV-015</w:t>
            </w:r>
          </w:p>
        </w:tc>
        <w:tc>
          <w:tcPr>
            <w:tcW w:type="dxa" w:w="6408"/>
            <w:tcMar>
              <w:top w:w="70" w:type="dxa"/>
              <w:start w:w="90" w:type="dxa"/>
              <w:bottom w:w="70" w:type="dxa"/>
              <w:end w:w="90" w:type="dxa"/>
            </w:tcMar>
          </w:tcPr>
          <w:p>
            <w:pPr>
              <w:spacing w:before="0" w:after="0" w:line="240" w:lineRule="auto"/>
            </w:pPr>
            <w:r>
              <w:rPr>
                <w:b/>
                <w:color w:val="24313D"/>
                <w:sz w:val="14"/>
              </w:rPr>
              <w:t>Saudi Data and AI Authority — Personal data transfer outside the Kingdom regulation</w:t>
            </w:r>
          </w:p>
          <w:p>
            <w:pPr>
              <w:spacing w:before="0" w:after="0" w:line="240" w:lineRule="auto"/>
            </w:pPr>
            <w:r>
              <w:rPr>
                <w:color w:val="52616B"/>
                <w:sz w:val="13"/>
              </w:rPr>
              <w:t>Saudi Arabia • Current • Saudi cross-border-transfer assessments and safeguards</w:t>
            </w:r>
          </w:p>
        </w:tc>
        <w:tc>
          <w:tcPr>
            <w:tcW w:type="dxa" w:w="1728"/>
            <w:tcMar>
              <w:top w:w="70" w:type="dxa"/>
              <w:start w:w="90" w:type="dxa"/>
              <w:bottom w:w="70" w:type="dxa"/>
              <w:end w:w="90" w:type="dxa"/>
            </w:tcMar>
          </w:tcPr>
          <w:p>
            <w:pPr>
              <w:spacing w:before="0" w:after="0" w:line="240" w:lineRule="auto"/>
            </w:pPr>
            <w:hyperlink r:id="rId88">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78" w:name="SRC_PRV_016"/>
            <w:pPr>
              <w:spacing w:before="0" w:after="0" w:line="240" w:lineRule="auto"/>
            </w:pPr>
            <w:bookmarkEnd w:id="1178"/>
            <w:r>
              <w:rPr>
                <w:b/>
                <w:color w:val="16324F"/>
                <w:sz w:val="14"/>
              </w:rPr>
              <w:t>SRC-PRV-016</w:t>
            </w:r>
          </w:p>
        </w:tc>
        <w:tc>
          <w:tcPr>
            <w:tcW w:type="dxa" w:w="6408"/>
            <w:tcMar>
              <w:top w:w="70" w:type="dxa"/>
              <w:start w:w="90" w:type="dxa"/>
              <w:bottom w:w="70" w:type="dxa"/>
              <w:end w:w="90" w:type="dxa"/>
            </w:tcMar>
            <w:shd w:fill="F5F7F8"/>
          </w:tcPr>
          <w:p>
            <w:pPr>
              <w:spacing w:before="0" w:after="0" w:line="240" w:lineRule="auto"/>
            </w:pPr>
            <w:r>
              <w:rPr>
                <w:b/>
                <w:color w:val="24313D"/>
                <w:sz w:val="14"/>
              </w:rPr>
              <w:t>UAE Government — Data protection laws overview</w:t>
            </w:r>
          </w:p>
          <w:p>
            <w:pPr>
              <w:spacing w:before="0" w:after="0" w:line="240" w:lineRule="auto"/>
            </w:pPr>
            <w:r>
              <w:rPr>
                <w:color w:val="52616B"/>
                <w:sz w:val="13"/>
              </w:rPr>
              <w:t>United Arab Emirates • Current • Federal and free-zone privacy-law routing</w:t>
            </w:r>
          </w:p>
        </w:tc>
        <w:tc>
          <w:tcPr>
            <w:tcW w:type="dxa" w:w="1728"/>
            <w:tcMar>
              <w:top w:w="70" w:type="dxa"/>
              <w:start w:w="90" w:type="dxa"/>
              <w:bottom w:w="70" w:type="dxa"/>
              <w:end w:w="90" w:type="dxa"/>
            </w:tcMar>
            <w:shd w:fill="F5F7F8"/>
          </w:tcPr>
          <w:p>
            <w:pPr>
              <w:spacing w:before="0" w:after="0" w:line="240" w:lineRule="auto"/>
            </w:pPr>
            <w:hyperlink r:id="rId89">
              <w:r>
                <w:rPr>
                  <w:color w:val="0F6B78"/>
                  <w:u w:val="single"/>
                </w:rPr>
                <w:t>Open official source</w:t>
              </w:r>
            </w:hyperlink>
          </w:p>
        </w:tc>
      </w:tr>
    </w:tbl>
    <w:p>
      <w:pPr>
        <w:pStyle w:val="Heading2"/>
        <w:keepNext/>
      </w:pPr>
      <w:r>
        <w:t>D.36 Customs/e-commerce</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79" w:name="SRC_USA_001"/>
            <w:pPr>
              <w:spacing w:before="0" w:after="0" w:line="240" w:lineRule="auto"/>
            </w:pPr>
            <w:bookmarkEnd w:id="1179"/>
            <w:r>
              <w:rPr>
                <w:b/>
                <w:color w:val="16324F"/>
                <w:sz w:val="14"/>
              </w:rPr>
              <w:t>SRC-USA-001</w:t>
            </w:r>
          </w:p>
        </w:tc>
        <w:tc>
          <w:tcPr>
            <w:tcW w:type="dxa" w:w="6408"/>
            <w:tcMar>
              <w:top w:w="70" w:type="dxa"/>
              <w:start w:w="90" w:type="dxa"/>
              <w:bottom w:w="70" w:type="dxa"/>
              <w:end w:w="90" w:type="dxa"/>
            </w:tcMar>
          </w:tcPr>
          <w:p>
            <w:pPr>
              <w:spacing w:before="0" w:after="0" w:line="240" w:lineRule="auto"/>
            </w:pPr>
            <w:r>
              <w:rPr>
                <w:b/>
                <w:color w:val="24313D"/>
                <w:sz w:val="14"/>
              </w:rPr>
              <w:t>U.S. Customs and Border Protection / Federal Register — Indefinite suspension of de minimis for mail and new postal informal entry</w:t>
            </w:r>
          </w:p>
          <w:p>
            <w:pPr>
              <w:spacing w:before="0" w:after="0" w:line="240" w:lineRule="auto"/>
            </w:pPr>
            <w:r>
              <w:rPr>
                <w:color w:val="52616B"/>
                <w:sz w:val="13"/>
              </w:rPr>
              <w:t>United States • Effective 2026-07-24; compliance 2026-10-22 • Current postal-entry routing, thresholds and formal-entry triggers</w:t>
            </w:r>
          </w:p>
        </w:tc>
        <w:tc>
          <w:tcPr>
            <w:tcW w:type="dxa" w:w="1728"/>
            <w:tcMar>
              <w:top w:w="70" w:type="dxa"/>
              <w:start w:w="90" w:type="dxa"/>
              <w:bottom w:w="70" w:type="dxa"/>
              <w:end w:w="90" w:type="dxa"/>
            </w:tcMar>
          </w:tcPr>
          <w:p>
            <w:pPr>
              <w:spacing w:before="0" w:after="0" w:line="240" w:lineRule="auto"/>
            </w:pPr>
            <w:hyperlink r:id="rId90">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80" w:name="SRC_USA_002"/>
            <w:pPr>
              <w:spacing w:before="0" w:after="0" w:line="240" w:lineRule="auto"/>
            </w:pPr>
            <w:bookmarkEnd w:id="1180"/>
            <w:r>
              <w:rPr>
                <w:b/>
                <w:color w:val="16324F"/>
                <w:sz w:val="14"/>
              </w:rPr>
              <w:t>SRC-USA-002</w:t>
            </w:r>
          </w:p>
        </w:tc>
        <w:tc>
          <w:tcPr>
            <w:tcW w:type="dxa" w:w="6408"/>
            <w:tcMar>
              <w:top w:w="70" w:type="dxa"/>
              <w:start w:w="90" w:type="dxa"/>
              <w:bottom w:w="70" w:type="dxa"/>
              <w:end w:w="90" w:type="dxa"/>
            </w:tcMar>
            <w:shd w:fill="F5F7F8"/>
          </w:tcPr>
          <w:p>
            <w:pPr>
              <w:spacing w:before="0" w:after="0" w:line="240" w:lineRule="auto"/>
            </w:pPr>
            <w:r>
              <w:rPr>
                <w:b/>
                <w:color w:val="24313D"/>
                <w:sz w:val="14"/>
              </w:rPr>
              <w:t>The White House — Executive Order 14324</w:t>
            </w:r>
          </w:p>
          <w:p>
            <w:pPr>
              <w:spacing w:before="0" w:after="0" w:line="240" w:lineRule="auto"/>
            </w:pPr>
            <w:r>
              <w:rPr>
                <w:color w:val="52616B"/>
                <w:sz w:val="13"/>
              </w:rPr>
              <w:t>United States • 2025/current continuation must be checked • Global de minimis suspension history and authority; current implementation governed by later actions/rules</w:t>
            </w:r>
          </w:p>
        </w:tc>
        <w:tc>
          <w:tcPr>
            <w:tcW w:type="dxa" w:w="1728"/>
            <w:tcMar>
              <w:top w:w="70" w:type="dxa"/>
              <w:start w:w="90" w:type="dxa"/>
              <w:bottom w:w="70" w:type="dxa"/>
              <w:end w:w="90" w:type="dxa"/>
            </w:tcMar>
            <w:shd w:fill="F5F7F8"/>
          </w:tcPr>
          <w:p>
            <w:pPr>
              <w:spacing w:before="0" w:after="0" w:line="240" w:lineRule="auto"/>
            </w:pPr>
            <w:hyperlink r:id="rId91">
              <w:r>
                <w:rPr>
                  <w:color w:val="0F6B78"/>
                  <w:u w:val="single"/>
                </w:rPr>
                <w:t>Open official source</w:t>
              </w:r>
            </w:hyperlink>
          </w:p>
        </w:tc>
      </w:tr>
      <w:tr>
        <w:trPr>
          <w:cantSplit/>
        </w:trPr>
        <w:tc>
          <w:tcPr>
            <w:tcW w:type="dxa" w:w="1368"/>
            <w:tcMar>
              <w:top w:w="70" w:type="dxa"/>
              <w:start w:w="90" w:type="dxa"/>
              <w:bottom w:w="70" w:type="dxa"/>
              <w:end w:w="90" w:type="dxa"/>
            </w:tcMar>
          </w:tcPr>
          <w:p>
            <w:bookmarkStart w:id="1181" w:name="SRC_EU_002"/>
            <w:pPr>
              <w:spacing w:before="0" w:after="0" w:line="240" w:lineRule="auto"/>
            </w:pPr>
            <w:bookmarkEnd w:id="1181"/>
            <w:r>
              <w:rPr>
                <w:b/>
                <w:color w:val="16324F"/>
                <w:sz w:val="14"/>
              </w:rPr>
              <w:t>SRC-EU-002</w:t>
            </w:r>
          </w:p>
        </w:tc>
        <w:tc>
          <w:tcPr>
            <w:tcW w:type="dxa" w:w="6408"/>
            <w:tcMar>
              <w:top w:w="70" w:type="dxa"/>
              <w:start w:w="90" w:type="dxa"/>
              <w:bottom w:w="70" w:type="dxa"/>
              <w:end w:w="90" w:type="dxa"/>
            </w:tcMar>
          </w:tcPr>
          <w:p>
            <w:pPr>
              <w:spacing w:before="0" w:after="0" w:line="240" w:lineRule="auto"/>
            </w:pPr>
            <w:r>
              <w:rPr>
                <w:b/>
                <w:color w:val="24313D"/>
                <w:sz w:val="14"/>
              </w:rPr>
              <w:t>European Commission — Temporary flat customs duty for low-value imports</w:t>
            </w:r>
          </w:p>
          <w:p>
            <w:pPr>
              <w:spacing w:before="0" w:after="0" w:line="240" w:lineRule="auto"/>
            </w:pPr>
            <w:r>
              <w:rPr>
                <w:color w:val="52616B"/>
                <w:sz w:val="13"/>
              </w:rPr>
              <w:t>European Union • From 2026-07-01 to planned 2028-07-01 transition • Effective-dated low-value duty, item-level tariff identity and later PID requirements</w:t>
            </w:r>
          </w:p>
        </w:tc>
        <w:tc>
          <w:tcPr>
            <w:tcW w:type="dxa" w:w="1728"/>
            <w:tcMar>
              <w:top w:w="70" w:type="dxa"/>
              <w:start w:w="90" w:type="dxa"/>
              <w:bottom w:w="70" w:type="dxa"/>
              <w:end w:w="90" w:type="dxa"/>
            </w:tcMar>
          </w:tcPr>
          <w:p>
            <w:pPr>
              <w:spacing w:before="0" w:after="0" w:line="240" w:lineRule="auto"/>
            </w:pPr>
            <w:hyperlink r:id="rId92">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82" w:name="SRC_UK_001"/>
            <w:pPr>
              <w:spacing w:before="0" w:after="0" w:line="240" w:lineRule="auto"/>
            </w:pPr>
            <w:bookmarkEnd w:id="1182"/>
            <w:r>
              <w:rPr>
                <w:b/>
                <w:color w:val="16324F"/>
                <w:sz w:val="14"/>
              </w:rPr>
              <w:t>SRC-UK-001</w:t>
            </w:r>
          </w:p>
        </w:tc>
        <w:tc>
          <w:tcPr>
            <w:tcW w:type="dxa" w:w="6408"/>
            <w:tcMar>
              <w:top w:w="70" w:type="dxa"/>
              <w:start w:w="90" w:type="dxa"/>
              <w:bottom w:w="70" w:type="dxa"/>
              <w:end w:w="90" w:type="dxa"/>
            </w:tcMar>
            <w:shd w:fill="F5F7F8"/>
          </w:tcPr>
          <w:p>
            <w:pPr>
              <w:spacing w:before="0" w:after="0" w:line="240" w:lineRule="auto"/>
            </w:pPr>
            <w:r>
              <w:rPr>
                <w:b/>
                <w:color w:val="24313D"/>
                <w:sz w:val="14"/>
              </w:rPr>
              <w:t>HM Treasury / HM Revenue &amp; Customs — Reforming customs treatment of low-value imports</w:t>
            </w:r>
          </w:p>
          <w:p>
            <w:pPr>
              <w:spacing w:before="0" w:after="0" w:line="240" w:lineRule="auto"/>
            </w:pPr>
            <w:r>
              <w:rPr>
                <w:color w:val="52616B"/>
                <w:sz w:val="13"/>
              </w:rPr>
              <w:t>United Kingdom • Published 2026-07-13; implementation by 2028 at latest • Future-effective rule modeling; do not apply proposal as current law before commencement</w:t>
            </w:r>
          </w:p>
        </w:tc>
        <w:tc>
          <w:tcPr>
            <w:tcW w:type="dxa" w:w="1728"/>
            <w:tcMar>
              <w:top w:w="70" w:type="dxa"/>
              <w:start w:w="90" w:type="dxa"/>
              <w:bottom w:w="70" w:type="dxa"/>
              <w:end w:w="90" w:type="dxa"/>
            </w:tcMar>
            <w:shd w:fill="F5F7F8"/>
          </w:tcPr>
          <w:p>
            <w:pPr>
              <w:spacing w:before="0" w:after="0" w:line="240" w:lineRule="auto"/>
            </w:pPr>
            <w:hyperlink r:id="rId93">
              <w:r>
                <w:rPr>
                  <w:color w:val="0F6B78"/>
                  <w:u w:val="single"/>
                </w:rPr>
                <w:t>Open official source</w:t>
              </w:r>
            </w:hyperlink>
          </w:p>
        </w:tc>
      </w:tr>
    </w:tbl>
    <w:p>
      <w:pPr>
        <w:pStyle w:val="Heading2"/>
        <w:keepNext/>
      </w:pPr>
      <w:r>
        <w:t>D.37 Customs/security</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83" w:name="SRC_EU_001"/>
            <w:pPr>
              <w:spacing w:before="0" w:after="0" w:line="240" w:lineRule="auto"/>
            </w:pPr>
            <w:bookmarkEnd w:id="1183"/>
            <w:r>
              <w:rPr>
                <w:b/>
                <w:color w:val="16324F"/>
                <w:sz w:val="14"/>
              </w:rPr>
              <w:t>SRC-EU-001</w:t>
            </w:r>
          </w:p>
        </w:tc>
        <w:tc>
          <w:tcPr>
            <w:tcW w:type="dxa" w:w="6408"/>
            <w:tcMar>
              <w:top w:w="70" w:type="dxa"/>
              <w:start w:w="90" w:type="dxa"/>
              <w:bottom w:w="70" w:type="dxa"/>
              <w:end w:w="90" w:type="dxa"/>
            </w:tcMar>
          </w:tcPr>
          <w:p>
            <w:pPr>
              <w:spacing w:before="0" w:after="0" w:line="240" w:lineRule="auto"/>
            </w:pPr>
            <w:r>
              <w:rPr>
                <w:b/>
                <w:color w:val="24313D"/>
                <w:sz w:val="14"/>
              </w:rPr>
              <w:t>European Commission — Import Control System 2</w:t>
            </w:r>
          </w:p>
          <w:p>
            <w:pPr>
              <w:spacing w:before="0" w:after="0" w:line="240" w:lineRule="auto"/>
            </w:pPr>
            <w:r>
              <w:rPr>
                <w:color w:val="52616B"/>
                <w:sz w:val="13"/>
              </w:rPr>
              <w:t>European Union • Current • ENS, PLACI, referrals and EU entry/transit data validation</w:t>
            </w:r>
          </w:p>
        </w:tc>
        <w:tc>
          <w:tcPr>
            <w:tcW w:type="dxa" w:w="1728"/>
            <w:tcMar>
              <w:top w:w="70" w:type="dxa"/>
              <w:start w:w="90" w:type="dxa"/>
              <w:bottom w:w="70" w:type="dxa"/>
              <w:end w:w="90" w:type="dxa"/>
            </w:tcMar>
          </w:tcPr>
          <w:p>
            <w:pPr>
              <w:spacing w:before="0" w:after="0" w:line="240" w:lineRule="auto"/>
            </w:pPr>
            <w:hyperlink r:id="rId94">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84" w:name="SRC_UK_004"/>
            <w:pPr>
              <w:spacing w:before="0" w:after="0" w:line="240" w:lineRule="auto"/>
            </w:pPr>
            <w:bookmarkEnd w:id="1184"/>
            <w:r>
              <w:rPr>
                <w:b/>
                <w:color w:val="16324F"/>
                <w:sz w:val="14"/>
              </w:rPr>
              <w:t>SRC-UK-004</w:t>
            </w:r>
          </w:p>
        </w:tc>
        <w:tc>
          <w:tcPr>
            <w:tcW w:type="dxa" w:w="6408"/>
            <w:tcMar>
              <w:top w:w="70" w:type="dxa"/>
              <w:start w:w="90" w:type="dxa"/>
              <w:bottom w:w="70" w:type="dxa"/>
              <w:end w:w="90" w:type="dxa"/>
            </w:tcMar>
            <w:shd w:fill="F5F7F8"/>
          </w:tcPr>
          <w:p>
            <w:pPr>
              <w:spacing w:before="0" w:after="0" w:line="240" w:lineRule="auto"/>
            </w:pPr>
            <w:r>
              <w:rPr>
                <w:b/>
                <w:color w:val="24313D"/>
                <w:sz w:val="14"/>
              </w:rPr>
              <w:t>HM Revenue &amp; Customs — Safety and security declarations</w:t>
            </w:r>
          </w:p>
          <w:p>
            <w:pPr>
              <w:spacing w:before="0" w:after="0" w:line="240" w:lineRule="auto"/>
            </w:pPr>
            <w:r>
              <w:rPr>
                <w:color w:val="52616B"/>
                <w:sz w:val="13"/>
              </w:rPr>
              <w:t>United Kingdom • Current • ENS/EXS requirement and evidence validation</w:t>
            </w:r>
          </w:p>
        </w:tc>
        <w:tc>
          <w:tcPr>
            <w:tcW w:type="dxa" w:w="1728"/>
            <w:tcMar>
              <w:top w:w="70" w:type="dxa"/>
              <w:start w:w="90" w:type="dxa"/>
              <w:bottom w:w="70" w:type="dxa"/>
              <w:end w:w="90" w:type="dxa"/>
            </w:tcMar>
            <w:shd w:fill="F5F7F8"/>
          </w:tcPr>
          <w:p>
            <w:pPr>
              <w:spacing w:before="0" w:after="0" w:line="240" w:lineRule="auto"/>
            </w:pPr>
            <w:hyperlink r:id="rId95">
              <w:r>
                <w:rPr>
                  <w:color w:val="0F6B78"/>
                  <w:u w:val="single"/>
                </w:rPr>
                <w:t>Open official source</w:t>
              </w:r>
            </w:hyperlink>
          </w:p>
        </w:tc>
      </w:tr>
    </w:tbl>
    <w:p>
      <w:pPr>
        <w:pStyle w:val="Heading2"/>
        <w:keepNext/>
      </w:pPr>
      <w:r>
        <w:t>D.38 VAT</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85" w:name="SRC_EU_003"/>
            <w:pPr>
              <w:spacing w:before="0" w:after="0" w:line="240" w:lineRule="auto"/>
            </w:pPr>
            <w:bookmarkEnd w:id="1185"/>
            <w:r>
              <w:rPr>
                <w:b/>
                <w:color w:val="16324F"/>
                <w:sz w:val="14"/>
              </w:rPr>
              <w:t>SRC-EU-003</w:t>
            </w:r>
          </w:p>
        </w:tc>
        <w:tc>
          <w:tcPr>
            <w:tcW w:type="dxa" w:w="6408"/>
            <w:tcMar>
              <w:top w:w="70" w:type="dxa"/>
              <w:start w:w="90" w:type="dxa"/>
              <w:bottom w:w="70" w:type="dxa"/>
              <w:end w:w="90" w:type="dxa"/>
            </w:tcMar>
          </w:tcPr>
          <w:p>
            <w:pPr>
              <w:spacing w:before="0" w:after="0" w:line="240" w:lineRule="auto"/>
            </w:pPr>
            <w:r>
              <w:rPr>
                <w:b/>
                <w:color w:val="24313D"/>
                <w:sz w:val="14"/>
              </w:rPr>
              <w:t>European Commission — Import One Stop Shop factsheet</w:t>
            </w:r>
          </w:p>
          <w:p>
            <w:pPr>
              <w:spacing w:before="0" w:after="0" w:line="240" w:lineRule="auto"/>
            </w:pPr>
            <w:r>
              <w:rPr>
                <w:color w:val="52616B"/>
                <w:sz w:val="13"/>
              </w:rPr>
              <w:t>European Union • Current • IOSS identifiers, VAT collection and carrier/customs data handling</w:t>
            </w:r>
          </w:p>
        </w:tc>
        <w:tc>
          <w:tcPr>
            <w:tcW w:type="dxa" w:w="1728"/>
            <w:tcMar>
              <w:top w:w="70" w:type="dxa"/>
              <w:start w:w="90" w:type="dxa"/>
              <w:bottom w:w="70" w:type="dxa"/>
              <w:end w:w="90" w:type="dxa"/>
            </w:tcMar>
          </w:tcPr>
          <w:p>
            <w:pPr>
              <w:spacing w:before="0" w:after="0" w:line="240" w:lineRule="auto"/>
            </w:pPr>
            <w:hyperlink r:id="rId96">
              <w:r>
                <w:rPr>
                  <w:color w:val="0F6B78"/>
                  <w:u w:val="single"/>
                </w:rPr>
                <w:t>Open official source</w:t>
              </w:r>
            </w:hyperlink>
          </w:p>
        </w:tc>
      </w:tr>
    </w:tbl>
    <w:p>
      <w:pPr>
        <w:pStyle w:val="Heading2"/>
        <w:keepNext/>
      </w:pPr>
      <w:r>
        <w:t>D.39 Customs/tax</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86" w:name="SRC_UK_002"/>
            <w:pPr>
              <w:spacing w:before="0" w:after="0" w:line="240" w:lineRule="auto"/>
            </w:pPr>
            <w:bookmarkEnd w:id="1186"/>
            <w:r>
              <w:rPr>
                <w:b/>
                <w:color w:val="16324F"/>
                <w:sz w:val="14"/>
              </w:rPr>
              <w:t>SRC-UK-002</w:t>
            </w:r>
          </w:p>
        </w:tc>
        <w:tc>
          <w:tcPr>
            <w:tcW w:type="dxa" w:w="6408"/>
            <w:tcMar>
              <w:top w:w="70" w:type="dxa"/>
              <w:start w:w="90" w:type="dxa"/>
              <w:bottom w:w="70" w:type="dxa"/>
              <w:end w:w="90" w:type="dxa"/>
            </w:tcMar>
          </w:tcPr>
          <w:p>
            <w:pPr>
              <w:spacing w:before="0" w:after="0" w:line="240" w:lineRule="auto"/>
            </w:pPr>
            <w:r>
              <w:rPr>
                <w:b/>
                <w:color w:val="24313D"/>
                <w:sz w:val="14"/>
              </w:rPr>
              <w:t>UK Government — Tax and duty on goods sent from abroad</w:t>
            </w:r>
          </w:p>
          <w:p>
            <w:pPr>
              <w:spacing w:before="0" w:after="0" w:line="240" w:lineRule="auto"/>
            </w:pPr>
            <w:r>
              <w:rPr>
                <w:color w:val="52616B"/>
                <w:sz w:val="13"/>
              </w:rPr>
              <w:t>United Kingdom • Current • Current consumer/low-value tax treatment</w:t>
            </w:r>
          </w:p>
        </w:tc>
        <w:tc>
          <w:tcPr>
            <w:tcW w:type="dxa" w:w="1728"/>
            <w:tcMar>
              <w:top w:w="70" w:type="dxa"/>
              <w:start w:w="90" w:type="dxa"/>
              <w:bottom w:w="70" w:type="dxa"/>
              <w:end w:w="90" w:type="dxa"/>
            </w:tcMar>
          </w:tcPr>
          <w:p>
            <w:pPr>
              <w:spacing w:before="0" w:after="0" w:line="240" w:lineRule="auto"/>
            </w:pPr>
            <w:hyperlink r:id="rId97">
              <w:r>
                <w:rPr>
                  <w:color w:val="0F6B78"/>
                  <w:u w:val="single"/>
                </w:rPr>
                <w:t>Open official source</w:t>
              </w:r>
            </w:hyperlink>
          </w:p>
        </w:tc>
      </w:tr>
    </w:tbl>
    <w:p>
      <w:pPr>
        <w:pStyle w:val="Heading2"/>
        <w:keepNext/>
      </w:pPr>
      <w:r>
        <w:t>D.40 Tariff</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87" w:name="SRC_UK_005"/>
            <w:pPr>
              <w:spacing w:before="0" w:after="0" w:line="240" w:lineRule="auto"/>
            </w:pPr>
            <w:bookmarkEnd w:id="1187"/>
            <w:r>
              <w:rPr>
                <w:b/>
                <w:color w:val="16324F"/>
                <w:sz w:val="14"/>
              </w:rPr>
              <w:t>SRC-UK-005</w:t>
            </w:r>
          </w:p>
        </w:tc>
        <w:tc>
          <w:tcPr>
            <w:tcW w:type="dxa" w:w="6408"/>
            <w:tcMar>
              <w:top w:w="70" w:type="dxa"/>
              <w:start w:w="90" w:type="dxa"/>
              <w:bottom w:w="70" w:type="dxa"/>
              <w:end w:w="90" w:type="dxa"/>
            </w:tcMar>
          </w:tcPr>
          <w:p>
            <w:pPr>
              <w:spacing w:before="0" w:after="0" w:line="240" w:lineRule="auto"/>
            </w:pPr>
            <w:r>
              <w:rPr>
                <w:b/>
                <w:color w:val="24313D"/>
                <w:sz w:val="14"/>
              </w:rPr>
              <w:t>HM Revenue &amp; Customs — UK Trade Tariff</w:t>
            </w:r>
          </w:p>
          <w:p>
            <w:pPr>
              <w:spacing w:before="0" w:after="0" w:line="240" w:lineRule="auto"/>
            </w:pPr>
            <w:r>
              <w:rPr>
                <w:color w:val="52616B"/>
                <w:sz w:val="13"/>
              </w:rPr>
              <w:t>United Kingdom • Live • Commodity code, measures, duty and VAT lookup source</w:t>
            </w:r>
          </w:p>
        </w:tc>
        <w:tc>
          <w:tcPr>
            <w:tcW w:type="dxa" w:w="1728"/>
            <w:tcMar>
              <w:top w:w="70" w:type="dxa"/>
              <w:start w:w="90" w:type="dxa"/>
              <w:bottom w:w="70" w:type="dxa"/>
              <w:end w:w="90" w:type="dxa"/>
            </w:tcMar>
          </w:tcPr>
          <w:p>
            <w:pPr>
              <w:spacing w:before="0" w:after="0" w:line="240" w:lineRule="auto"/>
            </w:pPr>
            <w:hyperlink r:id="rId98">
              <w:r>
                <w:rPr>
                  <w:color w:val="0F6B78"/>
                  <w:u w:val="single"/>
                </w:rPr>
                <w:t>Open official source</w:t>
              </w:r>
            </w:hyperlink>
          </w:p>
        </w:tc>
      </w:tr>
    </w:tbl>
    <w:p>
      <w:pPr>
        <w:pStyle w:val="Heading2"/>
        <w:keepNext/>
      </w:pPr>
      <w:r>
        <w:t>D.41 Carrier API</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1368"/>
        <w:gridCol w:w="6408"/>
        <w:gridCol w:w="1728"/>
      </w:tblGrid>
      <w:tr>
        <w:trPr>
          <w:tblHeader w:val="true"/>
        </w:trPr>
        <w:tc>
          <w:tcPr>
            <w:tcW w:type="dxa" w:w="1368"/>
            <w:shd w:fill="0F6B78"/>
            <w:tcMar>
              <w:top w:w="70" w:type="dxa"/>
              <w:start w:w="90" w:type="dxa"/>
              <w:bottom w:w="70" w:type="dxa"/>
              <w:end w:w="90" w:type="dxa"/>
            </w:tcMar>
          </w:tcPr>
          <w:p>
            <w:r>
              <w:rPr>
                <w:b/>
                <w:color w:val="FFFFFF"/>
                <w:sz w:val="14"/>
              </w:rPr>
              <w:t>Source ID</w:t>
            </w:r>
          </w:p>
        </w:tc>
        <w:tc>
          <w:tcPr>
            <w:tcW w:type="dxa" w:w="6408"/>
            <w:shd w:fill="0F6B78"/>
            <w:tcMar>
              <w:top w:w="70" w:type="dxa"/>
              <w:start w:w="90" w:type="dxa"/>
              <w:bottom w:w="70" w:type="dxa"/>
              <w:end w:w="90" w:type="dxa"/>
            </w:tcMar>
          </w:tcPr>
          <w:p>
            <w:r>
              <w:rPr>
                <w:b/>
                <w:color w:val="FFFFFF"/>
                <w:sz w:val="14"/>
              </w:rPr>
              <w:t>Authority / instrument / status</w:t>
            </w:r>
          </w:p>
        </w:tc>
        <w:tc>
          <w:tcPr>
            <w:tcW w:type="dxa" w:w="1728"/>
            <w:shd w:fill="0F6B78"/>
            <w:tcMar>
              <w:top w:w="70" w:type="dxa"/>
              <w:start w:w="90" w:type="dxa"/>
              <w:bottom w:w="70" w:type="dxa"/>
              <w:end w:w="90" w:type="dxa"/>
            </w:tcMar>
          </w:tcPr>
          <w:p>
            <w:r>
              <w:rPr>
                <w:b/>
                <w:color w:val="FFFFFF"/>
                <w:sz w:val="14"/>
              </w:rPr>
              <w:t>Official link</w:t>
            </w:r>
          </w:p>
        </w:tc>
      </w:tr>
      <w:tr>
        <w:trPr>
          <w:cantSplit/>
        </w:trPr>
        <w:tc>
          <w:tcPr>
            <w:tcW w:type="dxa" w:w="1368"/>
            <w:tcMar>
              <w:top w:w="70" w:type="dxa"/>
              <w:start w:w="90" w:type="dxa"/>
              <w:bottom w:w="70" w:type="dxa"/>
              <w:end w:w="90" w:type="dxa"/>
            </w:tcMar>
          </w:tcPr>
          <w:p>
            <w:bookmarkStart w:id="1188" w:name="SRC_CAR_001"/>
            <w:pPr>
              <w:spacing w:before="0" w:after="0" w:line="240" w:lineRule="auto"/>
            </w:pPr>
            <w:bookmarkEnd w:id="1188"/>
            <w:r>
              <w:rPr>
                <w:b/>
                <w:color w:val="16324F"/>
                <w:sz w:val="14"/>
              </w:rPr>
              <w:t>SRC-CAR-001</w:t>
            </w:r>
          </w:p>
        </w:tc>
        <w:tc>
          <w:tcPr>
            <w:tcW w:type="dxa" w:w="6408"/>
            <w:tcMar>
              <w:top w:w="70" w:type="dxa"/>
              <w:start w:w="90" w:type="dxa"/>
              <w:bottom w:w="70" w:type="dxa"/>
              <w:end w:w="90" w:type="dxa"/>
            </w:tcMar>
          </w:tcPr>
          <w:p>
            <w:pPr>
              <w:spacing w:before="0" w:after="0" w:line="240" w:lineRule="auto"/>
            </w:pPr>
            <w:r>
              <w:rPr>
                <w:b/>
                <w:color w:val="24313D"/>
                <w:sz w:val="14"/>
              </w:rPr>
              <w:t>DHL Express — MyDHL API</w:t>
            </w:r>
          </w:p>
          <w:p>
            <w:pPr>
              <w:spacing w:before="0" w:after="0" w:line="240" w:lineRule="auto"/>
            </w:pPr>
            <w:r>
              <w:rPr>
                <w:color w:val="52616B"/>
                <w:sz w:val="13"/>
              </w:rPr>
              <w:t>Global/service availability • Current • Rates, capabilities, shipment, pickup, tracking and customs-document integration contract</w:t>
            </w:r>
          </w:p>
        </w:tc>
        <w:tc>
          <w:tcPr>
            <w:tcW w:type="dxa" w:w="1728"/>
            <w:tcMar>
              <w:top w:w="70" w:type="dxa"/>
              <w:start w:w="90" w:type="dxa"/>
              <w:bottom w:w="70" w:type="dxa"/>
              <w:end w:w="90" w:type="dxa"/>
            </w:tcMar>
          </w:tcPr>
          <w:p>
            <w:pPr>
              <w:spacing w:before="0" w:after="0" w:line="240" w:lineRule="auto"/>
            </w:pPr>
            <w:hyperlink r:id="rId99">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89" w:name="SRC_CAR_002"/>
            <w:pPr>
              <w:spacing w:before="0" w:after="0" w:line="240" w:lineRule="auto"/>
            </w:pPr>
            <w:bookmarkEnd w:id="1189"/>
            <w:r>
              <w:rPr>
                <w:b/>
                <w:color w:val="16324F"/>
                <w:sz w:val="14"/>
              </w:rPr>
              <w:t>SRC-CAR-002</w:t>
            </w:r>
          </w:p>
        </w:tc>
        <w:tc>
          <w:tcPr>
            <w:tcW w:type="dxa" w:w="6408"/>
            <w:tcMar>
              <w:top w:w="70" w:type="dxa"/>
              <w:start w:w="90" w:type="dxa"/>
              <w:bottom w:w="70" w:type="dxa"/>
              <w:end w:w="90" w:type="dxa"/>
            </w:tcMar>
            <w:shd w:fill="F5F7F8"/>
          </w:tcPr>
          <w:p>
            <w:pPr>
              <w:spacing w:before="0" w:after="0" w:line="240" w:lineRule="auto"/>
            </w:pPr>
            <w:r>
              <w:rPr>
                <w:b/>
                <w:color w:val="24313D"/>
                <w:sz w:val="14"/>
              </w:rPr>
              <w:t>DHL Express — MyDHL API Reference Data Guide</w:t>
            </w:r>
          </w:p>
          <w:p>
            <w:pPr>
              <w:spacing w:before="0" w:after="0" w:line="240" w:lineRule="auto"/>
            </w:pPr>
            <w:r>
              <w:rPr>
                <w:color w:val="52616B"/>
                <w:sz w:val="13"/>
              </w:rPr>
              <w:t>Global/service availability • v2.11.0 reference • Code-list and reference-data mapping; current version must be rechecked at implementation</w:t>
            </w:r>
          </w:p>
        </w:tc>
        <w:tc>
          <w:tcPr>
            <w:tcW w:type="dxa" w:w="1728"/>
            <w:tcMar>
              <w:top w:w="70" w:type="dxa"/>
              <w:start w:w="90" w:type="dxa"/>
              <w:bottom w:w="70" w:type="dxa"/>
              <w:end w:w="90" w:type="dxa"/>
            </w:tcMar>
            <w:shd w:fill="F5F7F8"/>
          </w:tcPr>
          <w:p>
            <w:pPr>
              <w:spacing w:before="0" w:after="0" w:line="240" w:lineRule="auto"/>
            </w:pPr>
            <w:hyperlink r:id="rId100">
              <w:r>
                <w:rPr>
                  <w:color w:val="0F6B78"/>
                  <w:u w:val="single"/>
                </w:rPr>
                <w:t>Open official source</w:t>
              </w:r>
            </w:hyperlink>
          </w:p>
        </w:tc>
      </w:tr>
      <w:tr>
        <w:trPr>
          <w:cantSplit/>
        </w:trPr>
        <w:tc>
          <w:tcPr>
            <w:tcW w:type="dxa" w:w="1368"/>
            <w:tcMar>
              <w:top w:w="70" w:type="dxa"/>
              <w:start w:w="90" w:type="dxa"/>
              <w:bottom w:w="70" w:type="dxa"/>
              <w:end w:w="90" w:type="dxa"/>
            </w:tcMar>
          </w:tcPr>
          <w:p>
            <w:bookmarkStart w:id="1190" w:name="SRC_CAR_003"/>
            <w:pPr>
              <w:spacing w:before="0" w:after="0" w:line="240" w:lineRule="auto"/>
            </w:pPr>
            <w:bookmarkEnd w:id="1190"/>
            <w:r>
              <w:rPr>
                <w:b/>
                <w:color w:val="16324F"/>
                <w:sz w:val="14"/>
              </w:rPr>
              <w:t>SRC-CAR-003</w:t>
            </w:r>
          </w:p>
        </w:tc>
        <w:tc>
          <w:tcPr>
            <w:tcW w:type="dxa" w:w="6408"/>
            <w:tcMar>
              <w:top w:w="70" w:type="dxa"/>
              <w:start w:w="90" w:type="dxa"/>
              <w:bottom w:w="70" w:type="dxa"/>
              <w:end w:w="90" w:type="dxa"/>
            </w:tcMar>
          </w:tcPr>
          <w:p>
            <w:pPr>
              <w:spacing w:before="0" w:after="0" w:line="240" w:lineRule="auto"/>
            </w:pPr>
            <w:r>
              <w:rPr>
                <w:b/>
                <w:color w:val="24313D"/>
                <w:sz w:val="14"/>
              </w:rPr>
              <w:t>UPS — UPS Developer Portal</w:t>
            </w:r>
          </w:p>
          <w:p>
            <w:pPr>
              <w:spacing w:before="0" w:after="0" w:line="240" w:lineRule="auto"/>
            </w:pPr>
            <w:r>
              <w:rPr>
                <w:color w:val="52616B"/>
                <w:sz w:val="13"/>
              </w:rPr>
              <w:t>Global/service availability • Current • OAuth and catalog discovery for rating, address, shipping, pickup, tracking and trade APIs</w:t>
            </w:r>
          </w:p>
        </w:tc>
        <w:tc>
          <w:tcPr>
            <w:tcW w:type="dxa" w:w="1728"/>
            <w:tcMar>
              <w:top w:w="70" w:type="dxa"/>
              <w:start w:w="90" w:type="dxa"/>
              <w:bottom w:w="70" w:type="dxa"/>
              <w:end w:w="90" w:type="dxa"/>
            </w:tcMar>
          </w:tcPr>
          <w:p>
            <w:pPr>
              <w:spacing w:before="0" w:after="0" w:line="240" w:lineRule="auto"/>
            </w:pPr>
            <w:hyperlink r:id="rId101">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91" w:name="SRC_CAR_004"/>
            <w:pPr>
              <w:spacing w:before="0" w:after="0" w:line="240" w:lineRule="auto"/>
            </w:pPr>
            <w:bookmarkEnd w:id="1191"/>
            <w:r>
              <w:rPr>
                <w:b/>
                <w:color w:val="16324F"/>
                <w:sz w:val="14"/>
              </w:rPr>
              <w:t>SRC-CAR-004</w:t>
            </w:r>
          </w:p>
        </w:tc>
        <w:tc>
          <w:tcPr>
            <w:tcW w:type="dxa" w:w="6408"/>
            <w:tcMar>
              <w:top w:w="70" w:type="dxa"/>
              <w:start w:w="90" w:type="dxa"/>
              <w:bottom w:w="70" w:type="dxa"/>
              <w:end w:w="90" w:type="dxa"/>
            </w:tcMar>
            <w:shd w:fill="F5F7F8"/>
          </w:tcPr>
          <w:p>
            <w:pPr>
              <w:spacing w:before="0" w:after="0" w:line="240" w:lineRule="auto"/>
            </w:pPr>
            <w:r>
              <w:rPr>
                <w:b/>
                <w:color w:val="24313D"/>
                <w:sz w:val="14"/>
              </w:rPr>
              <w:t>UPS — Dangerous Goods developer resources</w:t>
            </w:r>
          </w:p>
          <w:p>
            <w:pPr>
              <w:spacing w:before="0" w:after="0" w:line="240" w:lineRule="auto"/>
            </w:pPr>
            <w:r>
              <w:rPr>
                <w:color w:val="52616B"/>
                <w:sz w:val="13"/>
              </w:rPr>
              <w:t>Service/contract specific • Current • UPS DG contract, service and data requirements; never infer acceptance from ICAO alone</w:t>
            </w:r>
          </w:p>
        </w:tc>
        <w:tc>
          <w:tcPr>
            <w:tcW w:type="dxa" w:w="1728"/>
            <w:tcMar>
              <w:top w:w="70" w:type="dxa"/>
              <w:start w:w="90" w:type="dxa"/>
              <w:bottom w:w="70" w:type="dxa"/>
              <w:end w:w="90" w:type="dxa"/>
            </w:tcMar>
            <w:shd w:fill="F5F7F8"/>
          </w:tcPr>
          <w:p>
            <w:pPr>
              <w:spacing w:before="0" w:after="0" w:line="240" w:lineRule="auto"/>
            </w:pPr>
            <w:hyperlink r:id="rId102">
              <w:r>
                <w:rPr>
                  <w:color w:val="0F6B78"/>
                  <w:u w:val="single"/>
                </w:rPr>
                <w:t>Open official source</w:t>
              </w:r>
            </w:hyperlink>
          </w:p>
        </w:tc>
      </w:tr>
      <w:tr>
        <w:trPr>
          <w:cantSplit/>
        </w:trPr>
        <w:tc>
          <w:tcPr>
            <w:tcW w:type="dxa" w:w="1368"/>
            <w:tcMar>
              <w:top w:w="70" w:type="dxa"/>
              <w:start w:w="90" w:type="dxa"/>
              <w:bottom w:w="70" w:type="dxa"/>
              <w:end w:w="90" w:type="dxa"/>
            </w:tcMar>
          </w:tcPr>
          <w:p>
            <w:bookmarkStart w:id="1192" w:name="SRC_CAR_005"/>
            <w:pPr>
              <w:spacing w:before="0" w:after="0" w:line="240" w:lineRule="auto"/>
            </w:pPr>
            <w:bookmarkEnd w:id="1192"/>
            <w:r>
              <w:rPr>
                <w:b/>
                <w:color w:val="16324F"/>
                <w:sz w:val="14"/>
              </w:rPr>
              <w:t>SRC-CAR-005</w:t>
            </w:r>
          </w:p>
        </w:tc>
        <w:tc>
          <w:tcPr>
            <w:tcW w:type="dxa" w:w="6408"/>
            <w:tcMar>
              <w:top w:w="70" w:type="dxa"/>
              <w:start w:w="90" w:type="dxa"/>
              <w:bottom w:w="70" w:type="dxa"/>
              <w:end w:w="90" w:type="dxa"/>
            </w:tcMar>
          </w:tcPr>
          <w:p>
            <w:pPr>
              <w:spacing w:before="0" w:after="0" w:line="240" w:lineRule="auto"/>
            </w:pPr>
            <w:r>
              <w:rPr>
                <w:b/>
                <w:color w:val="24313D"/>
                <w:sz w:val="14"/>
              </w:rPr>
              <w:t>FedEx — FedEx Developer Portal and API Catalog</w:t>
            </w:r>
          </w:p>
          <w:p>
            <w:pPr>
              <w:spacing w:before="0" w:after="0" w:line="240" w:lineRule="auto"/>
            </w:pPr>
            <w:r>
              <w:rPr>
                <w:color w:val="52616B"/>
                <w:sz w:val="13"/>
              </w:rPr>
              <w:t>Global/service availability • Current • OAuth, address, rate/transit, ship, pickup, return, tracking and webhook integration</w:t>
            </w:r>
          </w:p>
        </w:tc>
        <w:tc>
          <w:tcPr>
            <w:tcW w:type="dxa" w:w="1728"/>
            <w:tcMar>
              <w:top w:w="70" w:type="dxa"/>
              <w:start w:w="90" w:type="dxa"/>
              <w:bottom w:w="70" w:type="dxa"/>
              <w:end w:w="90" w:type="dxa"/>
            </w:tcMar>
          </w:tcPr>
          <w:p>
            <w:pPr>
              <w:spacing w:before="0" w:after="0" w:line="240" w:lineRule="auto"/>
            </w:pPr>
            <w:hyperlink r:id="rId103">
              <w:r>
                <w:rPr>
                  <w:color w:val="0F6B78"/>
                  <w:u w:val="single"/>
                </w:rPr>
                <w:t>Open official source</w:t>
              </w:r>
            </w:hyperlink>
          </w:p>
        </w:tc>
      </w:tr>
      <w:tr>
        <w:trPr>
          <w:cantSplit/>
        </w:trPr>
        <w:tc>
          <w:tcPr>
            <w:tcW w:type="dxa" w:w="1368"/>
            <w:tcMar>
              <w:top w:w="70" w:type="dxa"/>
              <w:start w:w="90" w:type="dxa"/>
              <w:bottom w:w="70" w:type="dxa"/>
              <w:end w:w="90" w:type="dxa"/>
            </w:tcMar>
            <w:shd w:fill="F5F7F8"/>
          </w:tcPr>
          <w:p>
            <w:bookmarkStart w:id="1193" w:name="SRC_CAR_006"/>
            <w:pPr>
              <w:spacing w:before="0" w:after="0" w:line="240" w:lineRule="auto"/>
            </w:pPr>
            <w:bookmarkEnd w:id="1193"/>
            <w:r>
              <w:rPr>
                <w:b/>
                <w:color w:val="16324F"/>
                <w:sz w:val="14"/>
              </w:rPr>
              <w:t>SRC-CAR-006</w:t>
            </w:r>
          </w:p>
        </w:tc>
        <w:tc>
          <w:tcPr>
            <w:tcW w:type="dxa" w:w="6408"/>
            <w:tcMar>
              <w:top w:w="70" w:type="dxa"/>
              <w:start w:w="90" w:type="dxa"/>
              <w:bottom w:w="70" w:type="dxa"/>
              <w:end w:w="90" w:type="dxa"/>
            </w:tcMar>
            <w:shd w:fill="F5F7F8"/>
          </w:tcPr>
          <w:p>
            <w:pPr>
              <w:spacing w:before="0" w:after="0" w:line="240" w:lineRule="auto"/>
            </w:pPr>
            <w:r>
              <w:rPr>
                <w:b/>
                <w:color w:val="24313D"/>
                <w:sz w:val="14"/>
              </w:rPr>
              <w:t>FedEx — Ship API</w:t>
            </w:r>
          </w:p>
          <w:p>
            <w:pPr>
              <w:spacing w:before="0" w:after="0" w:line="240" w:lineRule="auto"/>
            </w:pPr>
            <w:r>
              <w:rPr>
                <w:color w:val="52616B"/>
                <w:sz w:val="13"/>
              </w:rPr>
              <w:t>Global/service availability • Current • Shipment creation, labels, customs data, returns, special services and error mapping</w:t>
            </w:r>
          </w:p>
        </w:tc>
        <w:tc>
          <w:tcPr>
            <w:tcW w:type="dxa" w:w="1728"/>
            <w:tcMar>
              <w:top w:w="70" w:type="dxa"/>
              <w:start w:w="90" w:type="dxa"/>
              <w:bottom w:w="70" w:type="dxa"/>
              <w:end w:w="90" w:type="dxa"/>
            </w:tcMar>
            <w:shd w:fill="F5F7F8"/>
          </w:tcPr>
          <w:p>
            <w:pPr>
              <w:spacing w:before="0" w:after="0" w:line="240" w:lineRule="auto"/>
            </w:pPr>
            <w:hyperlink r:id="rId104">
              <w:r>
                <w:rPr>
                  <w:color w:val="0F6B78"/>
                  <w:u w:val="single"/>
                </w:rPr>
                <w:t>Open official source</w:t>
              </w:r>
            </w:hyperlink>
          </w:p>
        </w:tc>
      </w:tr>
    </w:tbl>
    <w:p>
      <w:r>
        <w:br w:type="page"/>
      </w:r>
    </w:p>
    <w:p>
      <w:pPr>
        <w:pStyle w:val="Heading1"/>
        <w:keepNext/>
      </w:pPr>
      <w:r>
        <w:t>Appendix E. Requirement traceability summary</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3168"/>
        <w:gridCol w:w="792"/>
        <w:gridCol w:w="2376"/>
        <w:gridCol w:w="3168"/>
      </w:tblGrid>
      <w:tr>
        <w:trPr>
          <w:tblHeader w:val="true"/>
        </w:trPr>
        <w:tc>
          <w:tcPr>
            <w:tcW w:type="dxa" w:w="316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Domain</w:t>
            </w:r>
          </w:p>
        </w:tc>
        <w:tc>
          <w:tcPr>
            <w:tcW w:type="dxa" w:w="792"/>
            <w:shd w:fill="0F6B78"/>
            <w:tcMar>
              <w:top w:w="70" w:type="dxa"/>
              <w:start w:w="90" w:type="dxa"/>
              <w:bottom w:w="70" w:type="dxa"/>
              <w:end w:w="90" w:type="dxa"/>
            </w:tcMar>
            <w:vAlign w:val="center"/>
          </w:tcPr>
          <w:p>
            <w:pPr>
              <w:spacing w:before="0" w:after="0" w:line="240" w:lineRule="auto"/>
            </w:pPr>
            <w:r>
              <w:rPr>
                <w:rFonts w:ascii="Aptos" w:hAnsi="Aptos"/>
                <w:b/>
                <w:color w:val="FFFFFF"/>
                <w:sz w:val="15"/>
              </w:rPr>
              <w:t>Count</w:t>
            </w:r>
          </w:p>
        </w:tc>
        <w:tc>
          <w:tcPr>
            <w:tcW w:type="dxa" w:w="2376"/>
            <w:shd w:fill="0F6B78"/>
            <w:tcMar>
              <w:top w:w="70" w:type="dxa"/>
              <w:start w:w="90" w:type="dxa"/>
              <w:bottom w:w="70" w:type="dxa"/>
              <w:end w:w="90" w:type="dxa"/>
            </w:tcMar>
            <w:vAlign w:val="center"/>
          </w:tcPr>
          <w:p>
            <w:pPr>
              <w:spacing w:before="0" w:after="0" w:line="240" w:lineRule="auto"/>
            </w:pPr>
            <w:r>
              <w:rPr>
                <w:rFonts w:ascii="Aptos" w:hAnsi="Aptos"/>
                <w:b/>
                <w:color w:val="FFFFFF"/>
                <w:sz w:val="15"/>
              </w:rPr>
              <w:t>Requirement range/examples</w:t>
            </w:r>
          </w:p>
        </w:tc>
        <w:tc>
          <w:tcPr>
            <w:tcW w:type="dxa" w:w="3168"/>
            <w:shd w:fill="0F6B78"/>
            <w:tcMar>
              <w:top w:w="70" w:type="dxa"/>
              <w:start w:w="90" w:type="dxa"/>
              <w:bottom w:w="70" w:type="dxa"/>
              <w:end w:w="90" w:type="dxa"/>
            </w:tcMar>
            <w:vAlign w:val="center"/>
          </w:tcPr>
          <w:p>
            <w:pPr>
              <w:spacing w:before="0" w:after="0" w:line="240" w:lineRule="auto"/>
            </w:pPr>
            <w:r>
              <w:rPr>
                <w:rFonts w:ascii="Aptos" w:hAnsi="Aptos"/>
                <w:b/>
                <w:color w:val="FFFFFF"/>
                <w:sz w:val="15"/>
              </w:rPr>
              <w:t>Release interpretation</w:t>
            </w:r>
          </w:p>
        </w:tc>
      </w:tr>
      <w:tr>
        <w:trPr>
          <w:cantSplit/>
        </w:trPr>
        <w:tc>
          <w:tcPr>
            <w:tcW w:type="dxa" w:w="3168"/>
            <w:tcMar>
              <w:top w:w="70" w:type="dxa"/>
              <w:start w:w="90" w:type="dxa"/>
              <w:bottom w:w="70" w:type="dxa"/>
              <w:end w:w="90" w:type="dxa"/>
            </w:tcMar>
            <w:vAlign w:val="top"/>
          </w:tcPr>
          <w:p>
            <w:pPr>
              <w:spacing w:before="0" w:after="0" w:line="240" w:lineRule="auto"/>
            </w:pPr>
            <w:r>
              <w:rPr>
                <w:rFonts w:ascii="Aptos" w:hAnsi="Aptos"/>
                <w:b/>
                <w:color w:val="24313D"/>
                <w:sz w:val="15"/>
              </w:rPr>
              <w:t>Governance &amp; legal boundary</w:t>
            </w:r>
          </w:p>
        </w:tc>
        <w:tc>
          <w:tcPr>
            <w:tcW w:type="dxa" w:w="792"/>
            <w:tcMar>
              <w:top w:w="70" w:type="dxa"/>
              <w:start w:w="90" w:type="dxa"/>
              <w:bottom w:w="70" w:type="dxa"/>
              <w:end w:w="90" w:type="dxa"/>
            </w:tcMar>
            <w:vAlign w:val="top"/>
          </w:tcPr>
          <w:p>
            <w:pPr>
              <w:spacing w:before="0" w:after="0" w:line="240" w:lineRule="auto"/>
            </w:pPr>
            <w:r>
              <w:rPr>
                <w:rFonts w:ascii="Aptos" w:hAnsi="Aptos"/>
                <w:color w:val="24313D"/>
                <w:sz w:val="15"/>
              </w:rPr>
              <w:t>15</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5"/>
              </w:rPr>
              <w:t>GOV-001, GOV-002 … GOV-015</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shd w:fill="F5F7F8"/>
          </w:tcPr>
          <w:p>
            <w:pPr>
              <w:spacing w:before="0" w:after="0" w:line="240" w:lineRule="auto"/>
            </w:pPr>
            <w:r>
              <w:rPr>
                <w:rFonts w:ascii="Aptos" w:hAnsi="Aptos"/>
                <w:b/>
                <w:color w:val="24313D"/>
                <w:sz w:val="15"/>
              </w:rPr>
              <w:t>Tenant, identity &amp; access</w:t>
            </w:r>
          </w:p>
        </w:tc>
        <w:tc>
          <w:tcPr>
            <w:tcW w:type="dxa" w:w="792"/>
            <w:tcMar>
              <w:top w:w="70" w:type="dxa"/>
              <w:start w:w="90" w:type="dxa"/>
              <w:bottom w:w="70" w:type="dxa"/>
              <w:end w:w="90" w:type="dxa"/>
            </w:tcMar>
            <w:vAlign w:val="top"/>
            <w:shd w:fill="F5F7F8"/>
          </w:tcPr>
          <w:p>
            <w:pPr>
              <w:spacing w:before="0" w:after="0" w:line="240" w:lineRule="auto"/>
            </w:pPr>
            <w:r>
              <w:rPr>
                <w:rFonts w:ascii="Aptos" w:hAnsi="Aptos"/>
                <w:color w:val="24313D"/>
                <w:sz w:val="15"/>
              </w:rPr>
              <w:t>12</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5"/>
              </w:rPr>
              <w:t>TEN-001, TEN-002 … TEN-012</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tcPr>
          <w:p>
            <w:pPr>
              <w:spacing w:before="0" w:after="0" w:line="240" w:lineRule="auto"/>
            </w:pPr>
            <w:r>
              <w:rPr>
                <w:rFonts w:ascii="Aptos" w:hAnsi="Aptos"/>
                <w:b/>
                <w:color w:val="24313D"/>
                <w:sz w:val="15"/>
              </w:rPr>
              <w:t>Parties, addresses &amp; screening</w:t>
            </w:r>
          </w:p>
        </w:tc>
        <w:tc>
          <w:tcPr>
            <w:tcW w:type="dxa" w:w="792"/>
            <w:tcMar>
              <w:top w:w="70" w:type="dxa"/>
              <w:start w:w="90" w:type="dxa"/>
              <w:bottom w:w="70" w:type="dxa"/>
              <w:end w:w="90" w:type="dxa"/>
            </w:tcMar>
            <w:vAlign w:val="top"/>
          </w:tcPr>
          <w:p>
            <w:pPr>
              <w:spacing w:before="0" w:after="0" w:line="240" w:lineRule="auto"/>
            </w:pPr>
            <w:r>
              <w:rPr>
                <w:rFonts w:ascii="Aptos" w:hAnsi="Aptos"/>
                <w:color w:val="24313D"/>
                <w:sz w:val="15"/>
              </w:rPr>
              <w:t>12</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5"/>
              </w:rPr>
              <w:t>PTY-001, PTY-002 … PTY-012</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shd w:fill="F5F7F8"/>
          </w:tcPr>
          <w:p>
            <w:pPr>
              <w:spacing w:before="0" w:after="0" w:line="240" w:lineRule="auto"/>
            </w:pPr>
            <w:r>
              <w:rPr>
                <w:rFonts w:ascii="Aptos" w:hAnsi="Aptos"/>
                <w:b/>
                <w:color w:val="24313D"/>
                <w:sz w:val="15"/>
              </w:rPr>
              <w:t>Commodity, classification, origin &amp; value</w:t>
            </w:r>
          </w:p>
        </w:tc>
        <w:tc>
          <w:tcPr>
            <w:tcW w:type="dxa" w:w="792"/>
            <w:tcMar>
              <w:top w:w="70" w:type="dxa"/>
              <w:start w:w="90" w:type="dxa"/>
              <w:bottom w:w="70" w:type="dxa"/>
              <w:end w:w="90" w:type="dxa"/>
            </w:tcMar>
            <w:vAlign w:val="top"/>
            <w:shd w:fill="F5F7F8"/>
          </w:tcPr>
          <w:p>
            <w:pPr>
              <w:spacing w:before="0" w:after="0" w:line="240" w:lineRule="auto"/>
            </w:pPr>
            <w:r>
              <w:rPr>
                <w:rFonts w:ascii="Aptos" w:hAnsi="Aptos"/>
                <w:color w:val="24313D"/>
                <w:sz w:val="15"/>
              </w:rPr>
              <w:t>20</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5"/>
              </w:rPr>
              <w:t>COM-001, COM-002 … COM-020</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tcPr>
          <w:p>
            <w:pPr>
              <w:spacing w:before="0" w:after="0" w:line="240" w:lineRule="auto"/>
            </w:pPr>
            <w:r>
              <w:rPr>
                <w:rFonts w:ascii="Aptos" w:hAnsi="Aptos"/>
                <w:b/>
                <w:color w:val="24313D"/>
                <w:sz w:val="15"/>
              </w:rPr>
              <w:t>Lane, customs &amp; documents</w:t>
            </w:r>
          </w:p>
        </w:tc>
        <w:tc>
          <w:tcPr>
            <w:tcW w:type="dxa" w:w="792"/>
            <w:tcMar>
              <w:top w:w="70" w:type="dxa"/>
              <w:start w:w="90" w:type="dxa"/>
              <w:bottom w:w="70" w:type="dxa"/>
              <w:end w:w="90" w:type="dxa"/>
            </w:tcMar>
            <w:vAlign w:val="top"/>
          </w:tcPr>
          <w:p>
            <w:pPr>
              <w:spacing w:before="0" w:after="0" w:line="240" w:lineRule="auto"/>
            </w:pPr>
            <w:r>
              <w:rPr>
                <w:rFonts w:ascii="Aptos" w:hAnsi="Aptos"/>
                <w:color w:val="24313D"/>
                <w:sz w:val="15"/>
              </w:rPr>
              <w:t>22</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5"/>
              </w:rPr>
              <w:t>CUS-001, CUS-002 … CUS-022</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shd w:fill="F5F7F8"/>
          </w:tcPr>
          <w:p>
            <w:pPr>
              <w:spacing w:before="0" w:after="0" w:line="240" w:lineRule="auto"/>
            </w:pPr>
            <w:r>
              <w:rPr>
                <w:rFonts w:ascii="Aptos" w:hAnsi="Aptos"/>
                <w:b/>
                <w:color w:val="24313D"/>
                <w:sz w:val="15"/>
              </w:rPr>
              <w:t>Postal packets</w:t>
            </w:r>
          </w:p>
        </w:tc>
        <w:tc>
          <w:tcPr>
            <w:tcW w:type="dxa" w:w="792"/>
            <w:tcMar>
              <w:top w:w="70" w:type="dxa"/>
              <w:start w:w="90" w:type="dxa"/>
              <w:bottom w:w="70" w:type="dxa"/>
              <w:end w:w="90" w:type="dxa"/>
            </w:tcMar>
            <w:vAlign w:val="top"/>
            <w:shd w:fill="F5F7F8"/>
          </w:tcPr>
          <w:p>
            <w:pPr>
              <w:spacing w:before="0" w:after="0" w:line="240" w:lineRule="auto"/>
            </w:pPr>
            <w:r>
              <w:rPr>
                <w:rFonts w:ascii="Aptos" w:hAnsi="Aptos"/>
                <w:color w:val="24313D"/>
                <w:sz w:val="15"/>
              </w:rPr>
              <w:t>13</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5"/>
              </w:rPr>
              <w:t>POS-001, POS-002 … POS-013</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tcPr>
          <w:p>
            <w:pPr>
              <w:spacing w:before="0" w:after="0" w:line="240" w:lineRule="auto"/>
            </w:pPr>
            <w:r>
              <w:rPr>
                <w:rFonts w:ascii="Aptos" w:hAnsi="Aptos"/>
                <w:b/>
                <w:color w:val="24313D"/>
                <w:sz w:val="15"/>
              </w:rPr>
              <w:t>Air freight</w:t>
            </w:r>
          </w:p>
        </w:tc>
        <w:tc>
          <w:tcPr>
            <w:tcW w:type="dxa" w:w="792"/>
            <w:tcMar>
              <w:top w:w="70" w:type="dxa"/>
              <w:start w:w="90" w:type="dxa"/>
              <w:bottom w:w="70" w:type="dxa"/>
              <w:end w:w="90" w:type="dxa"/>
            </w:tcMar>
            <w:vAlign w:val="top"/>
          </w:tcPr>
          <w:p>
            <w:pPr>
              <w:spacing w:before="0" w:after="0" w:line="240" w:lineRule="auto"/>
            </w:pPr>
            <w:r>
              <w:rPr>
                <w:rFonts w:ascii="Aptos" w:hAnsi="Aptos"/>
                <w:color w:val="24313D"/>
                <w:sz w:val="15"/>
              </w:rPr>
              <w:t>13</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5"/>
              </w:rPr>
              <w:t>AIR-001, AIR-002 … AIR-013</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shd w:fill="F5F7F8"/>
          </w:tcPr>
          <w:p>
            <w:pPr>
              <w:spacing w:before="0" w:after="0" w:line="240" w:lineRule="auto"/>
            </w:pPr>
            <w:r>
              <w:rPr>
                <w:rFonts w:ascii="Aptos" w:hAnsi="Aptos"/>
                <w:b/>
                <w:color w:val="24313D"/>
                <w:sz w:val="15"/>
              </w:rPr>
              <w:t>Dangerous goods &amp; lithium batteries</w:t>
            </w:r>
          </w:p>
        </w:tc>
        <w:tc>
          <w:tcPr>
            <w:tcW w:type="dxa" w:w="792"/>
            <w:tcMar>
              <w:top w:w="70" w:type="dxa"/>
              <w:start w:w="90" w:type="dxa"/>
              <w:bottom w:w="70" w:type="dxa"/>
              <w:end w:w="90" w:type="dxa"/>
            </w:tcMar>
            <w:vAlign w:val="top"/>
            <w:shd w:fill="F5F7F8"/>
          </w:tcPr>
          <w:p>
            <w:pPr>
              <w:spacing w:before="0" w:after="0" w:line="240" w:lineRule="auto"/>
            </w:pPr>
            <w:r>
              <w:rPr>
                <w:rFonts w:ascii="Aptos" w:hAnsi="Aptos"/>
                <w:color w:val="24313D"/>
                <w:sz w:val="15"/>
              </w:rPr>
              <w:t>18</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5"/>
              </w:rPr>
              <w:t>DGR-001, DGR-002 … DGR-018</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tcPr>
          <w:p>
            <w:pPr>
              <w:spacing w:before="0" w:after="0" w:line="240" w:lineRule="auto"/>
            </w:pPr>
            <w:r>
              <w:rPr>
                <w:rFonts w:ascii="Aptos" w:hAnsi="Aptos"/>
                <w:b/>
                <w:color w:val="24313D"/>
                <w:sz w:val="15"/>
              </w:rPr>
              <w:t>Regulated &amp; special commodities</w:t>
            </w:r>
          </w:p>
        </w:tc>
        <w:tc>
          <w:tcPr>
            <w:tcW w:type="dxa" w:w="792"/>
            <w:tcMar>
              <w:top w:w="70" w:type="dxa"/>
              <w:start w:w="90" w:type="dxa"/>
              <w:bottom w:w="70" w:type="dxa"/>
              <w:end w:w="90" w:type="dxa"/>
            </w:tcMar>
            <w:vAlign w:val="top"/>
          </w:tcPr>
          <w:p>
            <w:pPr>
              <w:spacing w:before="0" w:after="0" w:line="240" w:lineRule="auto"/>
            </w:pPr>
            <w:r>
              <w:rPr>
                <w:rFonts w:ascii="Aptos" w:hAnsi="Aptos"/>
                <w:color w:val="24313D"/>
                <w:sz w:val="15"/>
              </w:rPr>
              <w:t>21</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5"/>
              </w:rPr>
              <w:t>SPC-001, SPC-002 … SPC-021</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shd w:fill="F5F7F8"/>
          </w:tcPr>
          <w:p>
            <w:pPr>
              <w:spacing w:before="0" w:after="0" w:line="240" w:lineRule="auto"/>
            </w:pPr>
            <w:r>
              <w:rPr>
                <w:rFonts w:ascii="Aptos" w:hAnsi="Aptos"/>
                <w:b/>
                <w:color w:val="24313D"/>
                <w:sz w:val="15"/>
              </w:rPr>
              <w:t>Warehouse &amp; fulfilment operations</w:t>
            </w:r>
          </w:p>
        </w:tc>
        <w:tc>
          <w:tcPr>
            <w:tcW w:type="dxa" w:w="792"/>
            <w:tcMar>
              <w:top w:w="70" w:type="dxa"/>
              <w:start w:w="90" w:type="dxa"/>
              <w:bottom w:w="70" w:type="dxa"/>
              <w:end w:w="90" w:type="dxa"/>
            </w:tcMar>
            <w:vAlign w:val="top"/>
            <w:shd w:fill="F5F7F8"/>
          </w:tcPr>
          <w:p>
            <w:pPr>
              <w:spacing w:before="0" w:after="0" w:line="240" w:lineRule="auto"/>
            </w:pPr>
            <w:r>
              <w:rPr>
                <w:rFonts w:ascii="Aptos" w:hAnsi="Aptos"/>
                <w:color w:val="24313D"/>
                <w:sz w:val="15"/>
              </w:rPr>
              <w:t>15</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5"/>
              </w:rPr>
              <w:t>WHS-001, WHS-002 … WHS-015</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tcPr>
          <w:p>
            <w:pPr>
              <w:spacing w:before="0" w:after="0" w:line="240" w:lineRule="auto"/>
            </w:pPr>
            <w:r>
              <w:rPr>
                <w:rFonts w:ascii="Aptos" w:hAnsi="Aptos"/>
                <w:b/>
                <w:color w:val="24313D"/>
                <w:sz w:val="15"/>
              </w:rPr>
              <w:t>Partner adapters</w:t>
            </w:r>
          </w:p>
        </w:tc>
        <w:tc>
          <w:tcPr>
            <w:tcW w:type="dxa" w:w="792"/>
            <w:tcMar>
              <w:top w:w="70" w:type="dxa"/>
              <w:start w:w="90" w:type="dxa"/>
              <w:bottom w:w="70" w:type="dxa"/>
              <w:end w:w="90" w:type="dxa"/>
            </w:tcMar>
            <w:vAlign w:val="top"/>
          </w:tcPr>
          <w:p>
            <w:pPr>
              <w:spacing w:before="0" w:after="0" w:line="240" w:lineRule="auto"/>
            </w:pPr>
            <w:r>
              <w:rPr>
                <w:rFonts w:ascii="Aptos" w:hAnsi="Aptos"/>
                <w:color w:val="24313D"/>
                <w:sz w:val="15"/>
              </w:rPr>
              <w:t>22</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5"/>
              </w:rPr>
              <w:t>INT-001, INT-002 … INT-022</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shd w:fill="F5F7F8"/>
          </w:tcPr>
          <w:p>
            <w:pPr>
              <w:spacing w:before="0" w:after="0" w:line="240" w:lineRule="auto"/>
            </w:pPr>
            <w:r>
              <w:rPr>
                <w:rFonts w:ascii="Aptos" w:hAnsi="Aptos"/>
                <w:b/>
                <w:color w:val="24313D"/>
                <w:sz w:val="15"/>
              </w:rPr>
              <w:t>Privacy, residency &amp; security</w:t>
            </w:r>
          </w:p>
        </w:tc>
        <w:tc>
          <w:tcPr>
            <w:tcW w:type="dxa" w:w="792"/>
            <w:tcMar>
              <w:top w:w="70" w:type="dxa"/>
              <w:start w:w="90" w:type="dxa"/>
              <w:bottom w:w="70" w:type="dxa"/>
              <w:end w:w="90" w:type="dxa"/>
            </w:tcMar>
            <w:vAlign w:val="top"/>
            <w:shd w:fill="F5F7F8"/>
          </w:tcPr>
          <w:p>
            <w:pPr>
              <w:spacing w:before="0" w:after="0" w:line="240" w:lineRule="auto"/>
            </w:pPr>
            <w:r>
              <w:rPr>
                <w:rFonts w:ascii="Aptos" w:hAnsi="Aptos"/>
                <w:color w:val="24313D"/>
                <w:sz w:val="15"/>
              </w:rPr>
              <w:t>18</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5"/>
              </w:rPr>
              <w:t>SEC-001, SEC-002 … SEC-018</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tcPr>
          <w:p>
            <w:pPr>
              <w:spacing w:before="0" w:after="0" w:line="240" w:lineRule="auto"/>
            </w:pPr>
            <w:r>
              <w:rPr>
                <w:rFonts w:ascii="Aptos" w:hAnsi="Aptos"/>
                <w:b/>
                <w:color w:val="24313D"/>
                <w:sz w:val="15"/>
              </w:rPr>
              <w:t>Platform, audit &amp; assurance</w:t>
            </w:r>
          </w:p>
        </w:tc>
        <w:tc>
          <w:tcPr>
            <w:tcW w:type="dxa" w:w="792"/>
            <w:tcMar>
              <w:top w:w="70" w:type="dxa"/>
              <w:start w:w="90" w:type="dxa"/>
              <w:bottom w:w="70" w:type="dxa"/>
              <w:end w:w="90" w:type="dxa"/>
            </w:tcMar>
            <w:vAlign w:val="top"/>
          </w:tcPr>
          <w:p>
            <w:pPr>
              <w:spacing w:before="0" w:after="0" w:line="240" w:lineRule="auto"/>
            </w:pPr>
            <w:r>
              <w:rPr>
                <w:rFonts w:ascii="Aptos" w:hAnsi="Aptos"/>
                <w:color w:val="24313D"/>
                <w:sz w:val="15"/>
              </w:rPr>
              <w:t>24</w:t>
            </w:r>
          </w:p>
        </w:tc>
        <w:tc>
          <w:tcPr>
            <w:tcW w:type="dxa" w:w="2376"/>
            <w:tcMar>
              <w:top w:w="70" w:type="dxa"/>
              <w:start w:w="90" w:type="dxa"/>
              <w:bottom w:w="70" w:type="dxa"/>
              <w:end w:w="90" w:type="dxa"/>
            </w:tcMar>
            <w:vAlign w:val="top"/>
          </w:tcPr>
          <w:p>
            <w:pPr>
              <w:spacing w:before="0" w:after="0" w:line="240" w:lineRule="auto"/>
            </w:pPr>
            <w:r>
              <w:rPr>
                <w:rFonts w:ascii="Aptos" w:hAnsi="Aptos"/>
                <w:color w:val="24313D"/>
                <w:sz w:val="15"/>
              </w:rPr>
              <w:t>PLT-001, PLT-002 … PLT-024</w:t>
            </w:r>
          </w:p>
        </w:tc>
        <w:tc>
          <w:tcPr>
            <w:tcW w:type="dxa" w:w="3168"/>
            <w:tcMar>
              <w:top w:w="70" w:type="dxa"/>
              <w:start w:w="90" w:type="dxa"/>
              <w:bottom w:w="70" w:type="dxa"/>
              <w:end w:w="90" w:type="dxa"/>
            </w:tcMar>
            <w:vAlign w:val="top"/>
          </w:tcPr>
          <w:p>
            <w:pPr>
              <w:spacing w:before="0" w:after="0" w:line="240" w:lineRule="auto"/>
            </w:pPr>
            <w:r>
              <w:rPr>
                <w:rFonts w:ascii="Aptos" w:hAnsi="Aptos"/>
                <w:color w:val="24313D"/>
                <w:sz w:val="15"/>
              </w:rPr>
              <w:t>All MUST controls require linked implementation and test evidence</w:t>
            </w:r>
          </w:p>
        </w:tc>
      </w:tr>
      <w:tr>
        <w:trPr>
          <w:cantSplit/>
        </w:trPr>
        <w:tc>
          <w:tcPr>
            <w:tcW w:type="dxa" w:w="3168"/>
            <w:tcMar>
              <w:top w:w="70" w:type="dxa"/>
              <w:start w:w="90" w:type="dxa"/>
              <w:bottom w:w="70" w:type="dxa"/>
              <w:end w:w="90" w:type="dxa"/>
            </w:tcMar>
            <w:vAlign w:val="top"/>
            <w:shd w:fill="F5F7F8"/>
          </w:tcPr>
          <w:p>
            <w:pPr>
              <w:spacing w:before="0" w:after="0" w:line="240" w:lineRule="auto"/>
            </w:pPr>
            <w:r>
              <w:rPr>
                <w:rFonts w:ascii="Aptos" w:hAnsi="Aptos"/>
                <w:b/>
                <w:color w:val="24313D"/>
                <w:sz w:val="15"/>
              </w:rPr>
              <w:t>TOTAL</w:t>
            </w:r>
          </w:p>
        </w:tc>
        <w:tc>
          <w:tcPr>
            <w:tcW w:type="dxa" w:w="792"/>
            <w:tcMar>
              <w:top w:w="70" w:type="dxa"/>
              <w:start w:w="90" w:type="dxa"/>
              <w:bottom w:w="70" w:type="dxa"/>
              <w:end w:w="90" w:type="dxa"/>
            </w:tcMar>
            <w:vAlign w:val="top"/>
            <w:shd w:fill="F5F7F8"/>
          </w:tcPr>
          <w:p>
            <w:pPr>
              <w:spacing w:before="0" w:after="0" w:line="240" w:lineRule="auto"/>
            </w:pPr>
            <w:r>
              <w:rPr>
                <w:rFonts w:ascii="Aptos" w:hAnsi="Aptos"/>
                <w:color w:val="24313D"/>
                <w:sz w:val="15"/>
              </w:rPr>
              <w:t>225</w:t>
            </w:r>
          </w:p>
        </w:tc>
        <w:tc>
          <w:tcPr>
            <w:tcW w:type="dxa" w:w="2376"/>
            <w:tcMar>
              <w:top w:w="70" w:type="dxa"/>
              <w:start w:w="90" w:type="dxa"/>
              <w:bottom w:w="70" w:type="dxa"/>
              <w:end w:w="90" w:type="dxa"/>
            </w:tcMar>
            <w:vAlign w:val="top"/>
            <w:shd w:fill="F5F7F8"/>
          </w:tcPr>
          <w:p>
            <w:pPr>
              <w:spacing w:before="0" w:after="0" w:line="240" w:lineRule="auto"/>
            </w:pPr>
            <w:r>
              <w:rPr>
                <w:rFonts w:ascii="Aptos" w:hAnsi="Aptos"/>
                <w:color w:val="24313D"/>
                <w:sz w:val="15"/>
              </w:rPr>
              <w:t>See Chapter 20 and companion Rule Families sheet</w:t>
            </w:r>
          </w:p>
        </w:tc>
        <w:tc>
          <w:tcPr>
            <w:tcW w:type="dxa" w:w="3168"/>
            <w:tcMar>
              <w:top w:w="70" w:type="dxa"/>
              <w:start w:w="90" w:type="dxa"/>
              <w:bottom w:w="70" w:type="dxa"/>
              <w:end w:w="90" w:type="dxa"/>
            </w:tcMar>
            <w:vAlign w:val="top"/>
            <w:shd w:fill="F5F7F8"/>
          </w:tcPr>
          <w:p>
            <w:pPr>
              <w:spacing w:before="0" w:after="0" w:line="240" w:lineRule="auto"/>
            </w:pPr>
            <w:r>
              <w:rPr>
                <w:rFonts w:ascii="Aptos" w:hAnsi="Aptos"/>
                <w:color w:val="24313D"/>
                <w:sz w:val="15"/>
              </w:rPr>
              <w:t>Release blocked for applicable unproven MUST controls</w:t>
            </w:r>
          </w:p>
        </w:tc>
      </w:tr>
    </w:tbl>
    <w:p>
      <w:pPr>
        <w:pStyle w:val="Heading2"/>
        <w:keepNext/>
      </w:pPr>
      <w:r>
        <w:t>E.1 Companion artifact map</w:t>
      </w:r>
    </w:p>
    <w:tbl>
      <w:tblPr>
        <w:tblW w:type="dxa" w:w="9504"/>
        <w:tblLayout w:type="fixed"/>
        <w:tblLook w:firstColumn="1" w:firstRow="1" w:lastColumn="0" w:lastRow="0" w:noHBand="0" w:noVBand="1" w:val="04A0"/>
        <w:tblBorders>
          <w:top w:val="single" w:sz="4" w:space="0" w:color="CDD5DA"/>
          <w:left w:val="single" w:sz="4" w:space="0" w:color="CDD5DA"/>
          <w:bottom w:val="single" w:sz="4" w:space="0" w:color="CDD5DA"/>
          <w:right w:val="single" w:sz="4" w:space="0" w:color="CDD5DA"/>
          <w:insideH w:val="single" w:sz="4" w:space="0" w:color="CDD5DA"/>
          <w:insideV w:val="single" w:sz="4" w:space="0" w:color="CDD5DA"/>
        </w:tblBorders>
        <w:jc w:val="left"/>
        <w:tblInd w:w="90" w:type="dxa"/>
      </w:tblPr>
      <w:tblGrid>
        <w:gridCol w:w="2592"/>
        <w:gridCol w:w="6912"/>
      </w:tblGrid>
      <w:tr>
        <w:trPr>
          <w:tblHeader w:val="true"/>
        </w:trPr>
        <w:tc>
          <w:tcPr>
            <w:tcW w:type="dxa" w:w="259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Workbook sheet</w:t>
            </w:r>
          </w:p>
        </w:tc>
        <w:tc>
          <w:tcPr>
            <w:tcW w:type="dxa" w:w="6912"/>
            <w:shd w:fill="0F6B78"/>
            <w:tcMar>
              <w:top w:w="70" w:type="dxa"/>
              <w:start w:w="90" w:type="dxa"/>
              <w:bottom w:w="70" w:type="dxa"/>
              <w:end w:w="90" w:type="dxa"/>
            </w:tcMar>
            <w:vAlign w:val="center"/>
          </w:tcPr>
          <w:p>
            <w:pPr>
              <w:spacing w:before="0" w:after="0" w:line="240" w:lineRule="auto"/>
            </w:pPr>
            <w:r>
              <w:rPr>
                <w:rFonts w:ascii="Aptos" w:hAnsi="Aptos"/>
                <w:b/>
                <w:color w:val="FFFFFF"/>
                <w:sz w:val="16"/>
              </w:rPr>
              <w:t>Purpose</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Read Me</w:t>
            </w:r>
          </w:p>
        </w:tc>
        <w:tc>
          <w:tcPr>
            <w:tcW w:type="dxa" w:w="6912"/>
            <w:tcMar>
              <w:top w:w="70" w:type="dxa"/>
              <w:start w:w="90" w:type="dxa"/>
              <w:bottom w:w="70" w:type="dxa"/>
              <w:end w:w="90" w:type="dxa"/>
            </w:tcMar>
            <w:vAlign w:val="top"/>
          </w:tcPr>
          <w:p>
            <w:pPr>
              <w:spacing w:before="0" w:after="0" w:line="240" w:lineRule="auto"/>
            </w:pPr>
            <w:r>
              <w:rPr>
                <w:rFonts w:ascii="Aptos" w:hAnsi="Aptos"/>
                <w:color w:val="24313D"/>
                <w:sz w:val="16"/>
              </w:rPr>
              <w:t>Scope, legal boundary and fail-closed interpretation</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Release Gate</w:t>
            </w:r>
          </w:p>
        </w:tc>
        <w:tc>
          <w:tcPr>
            <w:tcW w:type="dxa" w:w="6912"/>
            <w:tcMar>
              <w:top w:w="70" w:type="dxa"/>
              <w:start w:w="90" w:type="dxa"/>
              <w:bottom w:w="70" w:type="dxa"/>
              <w:end w:w="90" w:type="dxa"/>
            </w:tcMar>
            <w:vAlign w:val="top"/>
            <w:shd w:fill="F5F7F8"/>
          </w:tcPr>
          <w:p>
            <w:pPr>
              <w:spacing w:before="0" w:after="0" w:line="240" w:lineRule="auto"/>
            </w:pPr>
            <w:r>
              <w:rPr>
                <w:rFonts w:ascii="Aptos" w:hAnsi="Aptos"/>
                <w:color w:val="24313D"/>
                <w:sz w:val="16"/>
              </w:rPr>
              <w:t>Formula-based readiness summary</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Country Packs</w:t>
            </w:r>
          </w:p>
        </w:tc>
        <w:tc>
          <w:tcPr>
            <w:tcW w:type="dxa" w:w="6912"/>
            <w:tcMar>
              <w:top w:w="70" w:type="dxa"/>
              <w:start w:w="90" w:type="dxa"/>
              <w:bottom w:w="70" w:type="dxa"/>
              <w:end w:w="90" w:type="dxa"/>
            </w:tcMar>
            <w:vAlign w:val="top"/>
          </w:tcPr>
          <w:p>
            <w:pPr>
              <w:spacing w:before="0" w:after="0" w:line="240" w:lineRule="auto"/>
            </w:pPr>
            <w:r>
              <w:rPr>
                <w:rFonts w:ascii="Aptos" w:hAnsi="Aptos"/>
                <w:color w:val="24313D"/>
                <w:sz w:val="16"/>
              </w:rPr>
              <w:t>All-country/territory work queue and capability state</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Territory Overrides</w:t>
            </w:r>
          </w:p>
        </w:tc>
        <w:tc>
          <w:tcPr>
            <w:tcW w:type="dxa" w:w="6912"/>
            <w:tcMar>
              <w:top w:w="70" w:type="dxa"/>
              <w:start w:w="90" w:type="dxa"/>
              <w:bottom w:w="70" w:type="dxa"/>
              <w:end w:w="90" w:type="dxa"/>
            </w:tcMar>
            <w:vAlign w:val="top"/>
            <w:shd w:fill="F5F7F8"/>
          </w:tcPr>
          <w:p>
            <w:pPr>
              <w:spacing w:before="0" w:after="0" w:line="240" w:lineRule="auto"/>
            </w:pPr>
            <w:r>
              <w:rPr>
                <w:rFonts w:ascii="Aptos" w:hAnsi="Aptos"/>
                <w:color w:val="24313D"/>
                <w:sz w:val="16"/>
              </w:rPr>
              <w:t>Special customs/fiscal/operational areas</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Rule Families</w:t>
            </w:r>
          </w:p>
        </w:tc>
        <w:tc>
          <w:tcPr>
            <w:tcW w:type="dxa" w:w="6912"/>
            <w:tcMar>
              <w:top w:w="70" w:type="dxa"/>
              <w:start w:w="90" w:type="dxa"/>
              <w:bottom w:w="70" w:type="dxa"/>
              <w:end w:w="90" w:type="dxa"/>
            </w:tcMar>
            <w:vAlign w:val="top"/>
          </w:tcPr>
          <w:p>
            <w:pPr>
              <w:spacing w:before="0" w:after="0" w:line="240" w:lineRule="auto"/>
            </w:pPr>
            <w:r>
              <w:rPr>
                <w:rFonts w:ascii="Aptos" w:hAnsi="Aptos"/>
                <w:color w:val="24313D"/>
                <w:sz w:val="16"/>
              </w:rPr>
              <w:t>225 traceable normative requirements and test IDs</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Commodity Controls</w:t>
            </w:r>
          </w:p>
        </w:tc>
        <w:tc>
          <w:tcPr>
            <w:tcW w:type="dxa" w:w="6912"/>
            <w:tcMar>
              <w:top w:w="70" w:type="dxa"/>
              <w:start w:w="90" w:type="dxa"/>
              <w:bottom w:w="70" w:type="dxa"/>
              <w:end w:w="90" w:type="dxa"/>
            </w:tcMar>
            <w:vAlign w:val="top"/>
            <w:shd w:fill="F5F7F8"/>
          </w:tcPr>
          <w:p>
            <w:pPr>
              <w:spacing w:before="0" w:after="0" w:line="240" w:lineRule="auto"/>
            </w:pPr>
            <w:r>
              <w:rPr>
                <w:rFonts w:ascii="Aptos" w:hAnsi="Aptos"/>
                <w:color w:val="24313D"/>
                <w:sz w:val="16"/>
              </w:rPr>
              <w:t>Minimum commodity-family control matrix</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Data Dictionary</w:t>
            </w:r>
          </w:p>
        </w:tc>
        <w:tc>
          <w:tcPr>
            <w:tcW w:type="dxa" w:w="6912"/>
            <w:tcMar>
              <w:top w:w="70" w:type="dxa"/>
              <w:start w:w="90" w:type="dxa"/>
              <w:bottom w:w="70" w:type="dxa"/>
              <w:end w:w="90" w:type="dxa"/>
            </w:tcMar>
            <w:vAlign w:val="top"/>
          </w:tcPr>
          <w:p>
            <w:pPr>
              <w:spacing w:before="0" w:after="0" w:line="240" w:lineRule="auto"/>
            </w:pPr>
            <w:r>
              <w:rPr>
                <w:rFonts w:ascii="Aptos" w:hAnsi="Aptos"/>
                <w:color w:val="24313D"/>
                <w:sz w:val="16"/>
              </w:rPr>
              <w:t>Canonical compliance fields</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Partner Adapters</w:t>
            </w:r>
          </w:p>
        </w:tc>
        <w:tc>
          <w:tcPr>
            <w:tcW w:type="dxa" w:w="6912"/>
            <w:tcMar>
              <w:top w:w="70" w:type="dxa"/>
              <w:start w:w="90" w:type="dxa"/>
              <w:bottom w:w="70" w:type="dxa"/>
              <w:end w:w="90" w:type="dxa"/>
            </w:tcMar>
            <w:vAlign w:val="top"/>
            <w:shd w:fill="F5F7F8"/>
          </w:tcPr>
          <w:p>
            <w:pPr>
              <w:spacing w:before="0" w:after="0" w:line="240" w:lineRule="auto"/>
            </w:pPr>
            <w:r>
              <w:rPr>
                <w:rFonts w:ascii="Aptos" w:hAnsi="Aptos"/>
                <w:color w:val="24313D"/>
                <w:sz w:val="16"/>
              </w:rPr>
              <w:t>DHL/UPS/FedEx/postal/air/regional adapter requirements</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Decision Model</w:t>
            </w:r>
          </w:p>
        </w:tc>
        <w:tc>
          <w:tcPr>
            <w:tcW w:type="dxa" w:w="6912"/>
            <w:tcMar>
              <w:top w:w="70" w:type="dxa"/>
              <w:start w:w="90" w:type="dxa"/>
              <w:bottom w:w="70" w:type="dxa"/>
              <w:end w:w="90" w:type="dxa"/>
            </w:tcMar>
            <w:vAlign w:val="top"/>
          </w:tcPr>
          <w:p>
            <w:pPr>
              <w:spacing w:before="0" w:after="0" w:line="240" w:lineRule="auto"/>
            </w:pPr>
            <w:r>
              <w:rPr>
                <w:rFonts w:ascii="Aptos" w:hAnsi="Aptos"/>
                <w:color w:val="24313D"/>
                <w:sz w:val="16"/>
              </w:rPr>
              <w:t>States, precedence and reason codes</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Source Register</w:t>
            </w:r>
          </w:p>
        </w:tc>
        <w:tc>
          <w:tcPr>
            <w:tcW w:type="dxa" w:w="6912"/>
            <w:tcMar>
              <w:top w:w="70" w:type="dxa"/>
              <w:start w:w="90" w:type="dxa"/>
              <w:bottom w:w="70" w:type="dxa"/>
              <w:end w:w="90" w:type="dxa"/>
            </w:tcMar>
            <w:vAlign w:val="top"/>
            <w:shd w:fill="F5F7F8"/>
          </w:tcPr>
          <w:p>
            <w:pPr>
              <w:spacing w:before="0" w:after="0" w:line="240" w:lineRule="auto"/>
            </w:pPr>
            <w:r>
              <w:rPr>
                <w:rFonts w:ascii="Aptos" w:hAnsi="Aptos"/>
                <w:color w:val="24313D"/>
                <w:sz w:val="16"/>
              </w:rPr>
              <w:t>Official sources, owners, review dates and status</w:t>
            </w:r>
          </w:p>
        </w:tc>
      </w:tr>
      <w:tr>
        <w:trPr>
          <w:cantSplit/>
        </w:trPr>
        <w:tc>
          <w:tcPr>
            <w:tcW w:type="dxa" w:w="2592"/>
            <w:tcMar>
              <w:top w:w="70" w:type="dxa"/>
              <w:start w:w="90" w:type="dxa"/>
              <w:bottom w:w="70" w:type="dxa"/>
              <w:end w:w="90" w:type="dxa"/>
            </w:tcMar>
            <w:vAlign w:val="top"/>
          </w:tcPr>
          <w:p>
            <w:pPr>
              <w:spacing w:before="0" w:after="0" w:line="240" w:lineRule="auto"/>
            </w:pPr>
            <w:r>
              <w:rPr>
                <w:rFonts w:ascii="Aptos" w:hAnsi="Aptos"/>
                <w:b/>
                <w:color w:val="24313D"/>
                <w:sz w:val="16"/>
              </w:rPr>
              <w:t>Release Checklist</w:t>
            </w:r>
          </w:p>
        </w:tc>
        <w:tc>
          <w:tcPr>
            <w:tcW w:type="dxa" w:w="6912"/>
            <w:tcMar>
              <w:top w:w="70" w:type="dxa"/>
              <w:start w:w="90" w:type="dxa"/>
              <w:bottom w:w="70" w:type="dxa"/>
              <w:end w:w="90" w:type="dxa"/>
            </w:tcMar>
            <w:vAlign w:val="top"/>
          </w:tcPr>
          <w:p>
            <w:pPr>
              <w:spacing w:before="0" w:after="0" w:line="240" w:lineRule="auto"/>
            </w:pPr>
            <w:r>
              <w:rPr>
                <w:rFonts w:ascii="Aptos" w:hAnsi="Aptos"/>
                <w:color w:val="24313D"/>
                <w:sz w:val="16"/>
              </w:rPr>
              <w:t>Production acceptance gates</w:t>
            </w:r>
          </w:p>
        </w:tc>
      </w:tr>
      <w:tr>
        <w:trPr>
          <w:cantSplit/>
        </w:trPr>
        <w:tc>
          <w:tcPr>
            <w:tcW w:type="dxa" w:w="2592"/>
            <w:tcMar>
              <w:top w:w="70" w:type="dxa"/>
              <w:start w:w="90" w:type="dxa"/>
              <w:bottom w:w="70" w:type="dxa"/>
              <w:end w:w="90" w:type="dxa"/>
            </w:tcMar>
            <w:vAlign w:val="top"/>
            <w:shd w:fill="F5F7F8"/>
          </w:tcPr>
          <w:p>
            <w:pPr>
              <w:spacing w:before="0" w:after="0" w:line="240" w:lineRule="auto"/>
            </w:pPr>
            <w:r>
              <w:rPr>
                <w:rFonts w:ascii="Aptos" w:hAnsi="Aptos"/>
                <w:b/>
                <w:color w:val="24313D"/>
                <w:sz w:val="16"/>
              </w:rPr>
              <w:t>Change Log</w:t>
            </w:r>
          </w:p>
        </w:tc>
        <w:tc>
          <w:tcPr>
            <w:tcW w:type="dxa" w:w="6912"/>
            <w:tcMar>
              <w:top w:w="70" w:type="dxa"/>
              <w:start w:w="90" w:type="dxa"/>
              <w:bottom w:w="70" w:type="dxa"/>
              <w:end w:w="90" w:type="dxa"/>
            </w:tcMar>
            <w:vAlign w:val="top"/>
            <w:shd w:fill="F5F7F8"/>
          </w:tcPr>
          <w:p>
            <w:pPr>
              <w:spacing w:before="0" w:after="0" w:line="240" w:lineRule="auto"/>
            </w:pPr>
            <w:r>
              <w:rPr>
                <w:rFonts w:ascii="Aptos" w:hAnsi="Aptos"/>
                <w:color w:val="24313D"/>
                <w:sz w:val="16"/>
              </w:rPr>
              <w:t>Governed change record</w:t>
            </w:r>
          </w:p>
        </w:tc>
      </w:tr>
    </w:tbl>
    <w:p>
      <w:pPr>
        <w:pStyle w:val="Heading2"/>
        <w:keepNext/>
      </w:pPr>
      <w:r>
        <w:t>E.2 Final implementation warning</w:t>
      </w:r>
    </w:p>
    <w:tbl>
      <w:tblPr>
        <w:tblW w:type="dxa" w:w="9504"/>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jc w:val="left"/>
        <w:tblInd w:w="140" w:type="dxa"/>
      </w:tblPr>
      <w:tblGrid>
        <w:gridCol w:w="9504"/>
      </w:tblGrid>
      <w:tr>
        <w:trPr>
          <w:tblHeader w:val="true"/>
        </w:trPr>
        <w:tc>
          <w:tcPr>
            <w:tcW w:type="dxa" w:w="9504"/>
            <w:shd w:fill="B42318"/>
            <w:tcMar>
              <w:top w:w="90" w:type="dxa"/>
              <w:start w:w="140" w:type="dxa"/>
              <w:bottom w:w="90" w:type="dxa"/>
              <w:end w:w="140" w:type="dxa"/>
            </w:tcMar>
          </w:tcPr>
          <w:p>
            <w:pPr>
              <w:spacing w:before="0" w:after="0" w:line="240" w:lineRule="auto"/>
            </w:pPr>
            <w:r>
              <w:rPr>
                <w:rFonts w:ascii="Aptos Display" w:hAnsi="Aptos Display"/>
                <w:b/>
                <w:color w:val="FFFFFF"/>
                <w:sz w:val="20"/>
              </w:rPr>
              <w:t>Do not convert this static baseline into a global allow-list</w:t>
            </w:r>
          </w:p>
        </w:tc>
      </w:tr>
      <w:tr>
        <w:tc>
          <w:tcPr>
            <w:tcW w:type="dxa" w:w="9504"/>
            <w:shd w:fill="FDE7E5"/>
            <w:tcMar>
              <w:top w:w="90" w:type="dxa"/>
              <w:start w:w="140" w:type="dxa"/>
              <w:bottom w:w="90" w:type="dxa"/>
              <w:end w:w="140" w:type="dxa"/>
            </w:tcMar>
          </w:tcPr>
          <w:p>
            <w:pPr>
              <w:spacing w:before="0" w:after="0" w:line="252" w:lineRule="auto"/>
            </w:pPr>
            <w:r>
              <w:rPr>
                <w:rFonts w:ascii="Aptos" w:hAnsi="Aptos"/>
                <w:color w:val="24313D"/>
                <w:sz w:val="18"/>
              </w:rPr>
              <w:t>Regulatory, sanctions, tariff, carrier and postal/aviation rules change frequently and may change faster than a document release. Production permission must come from the governed rule service, current partner capability and required human/external approvals. This document and workbook define the control system that keeps that decision current and auditable.</w:t>
            </w:r>
          </w:p>
        </w:tc>
      </w:tr>
    </w:tbl>
    <w:p>
      <w:pPr>
        <w:spacing w:after="0"/>
      </w:pPr>
    </w:p>
    <w:sectPr w:rsidR="00FC693F" w:rsidRPr="0006063C" w:rsidSect="00034616">
      <w:headerReference w:type="default" r:id="rId9"/>
      <w:footerReference w:type="default" r:id="rId10"/>
      <w:pgSz w:w="12240" w:h="15840"/>
      <w:pgMar w:top="1008"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color w:val="87939A"/>
        <w:sz w:val="14"/>
      </w:rPr>
      <w:t xml:space="preserve">CONFIDENTIAL WORKING SPECIFICATION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151"/>
      <w:tblLayout w:type="fixed"/>
      <w:tblLook w:firstColumn="1" w:firstRow="1" w:lastColumn="0" w:lastRow="0" w:noHBand="0" w:noVBand="1" w:val="04A0"/>
      <w:jc w:val="left"/>
      <w:tblInd w:w="90" w:type="dxa"/>
    </w:tblPr>
    <w:tblGrid>
      <w:gridCol w:w="7343"/>
      <w:gridCol w:w="2808"/>
    </w:tblGrid>
    <w:tr>
      <w:trPr>
        <w:tblHeader w:val="true"/>
      </w:trPr>
      <w:tc>
        <w:tcPr>
          <w:tcW w:type="dxa" w:w="7343"/>
          <w:shd w:fill="16324F"/>
          <w:tcMar>
            <w:top w:w="55" w:type="dxa"/>
            <w:start w:w="90" w:type="dxa"/>
            <w:bottom w:w="55" w:type="dxa"/>
            <w:end w:w="90" w:type="dxa"/>
          </w:tcMar>
        </w:tcPr>
        <w:p>
          <w:pPr>
            <w:spacing w:before="0" w:after="0" w:line="240" w:lineRule="auto"/>
          </w:pPr>
          <w:r>
            <w:rPr>
              <w:rFonts w:ascii="Aptos" w:hAnsi="Aptos"/>
              <w:b/>
              <w:color w:val="FFFFFF"/>
              <w:sz w:val="15"/>
            </w:rPr>
            <w:t>3PL SHIPPING COMPLIANCE  •  MASTER SPECIFICATION</w:t>
          </w:r>
        </w:p>
      </w:tc>
      <w:tc>
        <w:tcPr>
          <w:tcW w:type="dxa" w:w="2808"/>
          <w:shd w:fill="0F6B78"/>
          <w:tcMar>
            <w:top w:w="55" w:type="dxa"/>
            <w:start w:w="90" w:type="dxa"/>
            <w:bottom w:w="55" w:type="dxa"/>
            <w:end w:w="90" w:type="dxa"/>
          </w:tcMar>
        </w:tcPr>
        <w:p>
          <w:pPr>
            <w:spacing w:before="0" w:after="0" w:line="240" w:lineRule="auto"/>
            <w:jc w:val="right"/>
          </w:pPr>
          <w:r>
            <w:rPr>
              <w:rFonts w:ascii="Aptos" w:hAnsi="Aptos"/>
              <w:b/>
              <w:color w:val="FFFFFF"/>
              <w:sz w:val="15"/>
            </w:rPr>
            <w:t>v1.0  •  2026-07-25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6B78"/>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E681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4313D"/>
      <w:sz w:val="18"/>
    </w:rPr>
  </w:style>
  <w:style w:type="paragraph" w:styleId="ListBullet2">
    <w:name w:val="List Bullet 2"/>
    <w:basedOn w:val="Normal"/>
    <w:uiPriority w:val="99"/>
    <w:unhideWhenUsed/>
    <w:rsid w:val="00326F90"/>
    <w:pPr>
      <w:numPr>
        <w:numId w:val="2"/>
      </w:numPr>
      <w:contextualSpacing/>
    </w:pPr>
    <w:rPr>
      <w:rFonts w:ascii="Aptos" w:hAnsi="Aptos"/>
      <w:color w:val="24313D"/>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4313D"/>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Title">
    <w:name w:val="Req Title"/>
    <w:pPr>
      <w:keepNext/>
      <w:spacing w:before="100" w:after="20"/>
    </w:pPr>
    <w:rPr>
      <w:rFonts w:ascii="Aptos Display" w:hAnsi="Aptos Display"/>
      <w:b/>
      <w:color w:val="16324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coomd.org/en/topics/facilitation/instrument-and-tools/tools/data-model.aspx" TargetMode="External"/><Relationship Id="rId12" Type="http://schemas.openxmlformats.org/officeDocument/2006/relationships/hyperlink" Target="https://www.wcoomd.org/-/media/wco/public/global/pdf/topics/facilitation/instruments-and-tools/tools/safe-package/safe-framework-2025_en.pdf" TargetMode="External"/><Relationship Id="rId13" Type="http://schemas.openxmlformats.org/officeDocument/2006/relationships/hyperlink" Target="https://www.wcoomd.org/en/Topics/Facilitation/Instrument%20and%20Tools/Conventions/pf_revised_kyoto_conv" TargetMode="External"/><Relationship Id="rId14" Type="http://schemas.openxmlformats.org/officeDocument/2006/relationships/hyperlink" Target="https://www.wcoomd.org/en/Topics/Facilitation/Instrument%20and%20Tools/Frameworks%20of%20Standards/Ecommerce" TargetMode="External"/><Relationship Id="rId15" Type="http://schemas.openxmlformats.org/officeDocument/2006/relationships/hyperlink" Target="https://eur-lex.europa.eu/legal-content/EN/TXT/?uri=consolidation%3A2013R0952%2F20200101_0030010" TargetMode="External"/><Relationship Id="rId16" Type="http://schemas.openxmlformats.org/officeDocument/2006/relationships/hyperlink" Target="https://www.gov.uk/government/collections/customs-declaration-service" TargetMode="External"/><Relationship Id="rId17" Type="http://schemas.openxmlformats.org/officeDocument/2006/relationships/hyperlink" Target="https://www.wcoomd.org/en/topics/nomenclature/instrument-and-tools/hs-nomenclature-2022-edition/hs-nomenclature-2022-edition.aspx?p=1" TargetMode="External"/><Relationship Id="rId18" Type="http://schemas.openxmlformats.org/officeDocument/2006/relationships/hyperlink" Target="https://www.wto.org/english/docs_e/legal_e/tfa_e.htm" TargetMode="External"/><Relationship Id="rId19" Type="http://schemas.openxmlformats.org/officeDocument/2006/relationships/hyperlink" Target="https://tfadatabase.org/en" TargetMode="External"/><Relationship Id="rId20" Type="http://schemas.openxmlformats.org/officeDocument/2006/relationships/hyperlink" Target="https://data.wto.org/en/dataset/ext_roo" TargetMode="External"/><Relationship Id="rId21" Type="http://schemas.openxmlformats.org/officeDocument/2006/relationships/hyperlink" Target="https://importlicensing.wto.org/content/text-agreement" TargetMode="External"/><Relationship Id="rId22" Type="http://schemas.openxmlformats.org/officeDocument/2006/relationships/hyperlink" Target="https://www.learning.wto.org/course/info.php?id=268" TargetMode="External"/><Relationship Id="rId23" Type="http://schemas.openxmlformats.org/officeDocument/2006/relationships/hyperlink" Target="https://unstats.un.org/unsd/methodology/m49/" TargetMode="External"/><Relationship Id="rId24" Type="http://schemas.openxmlformats.org/officeDocument/2006/relationships/hyperlink" Target="https://www.iso.org/iso-3166-country-codes.html" TargetMode="External"/><Relationship Id="rId25" Type="http://schemas.openxmlformats.org/officeDocument/2006/relationships/hyperlink" Target="https://unece.org/info/publications/pub/21828" TargetMode="External"/><Relationship Id="rId26" Type="http://schemas.openxmlformats.org/officeDocument/2006/relationships/hyperlink" Target="https://service.unece.org/trade/uncefact/publication/Transport-Logistics/MMT-RDM/HTML/011.htm" TargetMode="External"/><Relationship Id="rId27" Type="http://schemas.openxmlformats.org/officeDocument/2006/relationships/hyperlink" Target="https://www.upu.int/UPU/media/upu/files/postalSolutions/programmesAndServices/postalSupplyChain/customs/wcoPublicationsAndActivities/WcoUpuGuidelinesEadAndDataQuality2025En.pdf" TargetMode="External"/><Relationship Id="rId28" Type="http://schemas.openxmlformats.org/officeDocument/2006/relationships/hyperlink" Target="https://www.upu.int/UPU/media/upu/files/aboutUpu/acts/05-actsRegulationsConventionAndPostalPayment/POC-REGL-2025-1%E2%94%80Doc-1.pdf" TargetMode="External"/><Relationship Id="rId29" Type="http://schemas.openxmlformats.org/officeDocument/2006/relationships/hyperlink" Target="https://www.upu.int/UPU/media/upu/documents/Standards/20260512-Catalogue-of-UPU-standards.pdf" TargetMode="External"/><Relationship Id="rId30" Type="http://schemas.openxmlformats.org/officeDocument/2006/relationships/hyperlink" Target="https://www.upu.int/fr/Solutions-postales/Programmes-et-services/Services-physiques/Formules-de-la-poste-aux-lettres" TargetMode="External"/><Relationship Id="rId31" Type="http://schemas.openxmlformats.org/officeDocument/2006/relationships/hyperlink" Target="https://www.icao.int/dangerous-goods" TargetMode="External"/><Relationship Id="rId32" Type="http://schemas.openxmlformats.org/officeDocument/2006/relationships/hyperlink" Target="https://www.icao.int/publications/doc-series/doc-9284" TargetMode="External"/><Relationship Id="rId33" Type="http://schemas.openxmlformats.org/officeDocument/2006/relationships/hyperlink" Target="https://www.icao.int/sites/default/files/DangerousGoods/RevisionsIncorporatedIn2025_2026EditionOfTechnicalInstructionsForTheSafeTransportOfDangerousGoodsByAir.pdf" TargetMode="External"/><Relationship Id="rId34" Type="http://schemas.openxmlformats.org/officeDocument/2006/relationships/hyperlink" Target="https://unece.org/transport/dangerous-goods/un-model-regulations-rev-24" TargetMode="External"/><Relationship Id="rId35" Type="http://schemas.openxmlformats.org/officeDocument/2006/relationships/hyperlink" Target="https://unece.org/sites/default/files/2025-07/ST-SG-AC10-11-Rev8-Amend1e.pdf" TargetMode="External"/><Relationship Id="rId36" Type="http://schemas.openxmlformats.org/officeDocument/2006/relationships/hyperlink" Target="https://www.iata.org/contentassets/90f8038b0eea42069554b2f4530f49ea/dgr-67-en-significant-changes.pdf" TargetMode="External"/><Relationship Id="rId37" Type="http://schemas.openxmlformats.org/officeDocument/2006/relationships/hyperlink" Target="https://www.iata.org/contentassets/05e6d8742b0047259bf3a700bc9d42b9/lithium-battery-guidance-document.pdf" TargetMode="External"/><Relationship Id="rId38" Type="http://schemas.openxmlformats.org/officeDocument/2006/relationships/hyperlink" Target="https://www.iata.org/en/programs/cargo/dgr/shippers-declaration/" TargetMode="External"/><Relationship Id="rId39" Type="http://schemas.openxmlformats.org/officeDocument/2006/relationships/hyperlink" Target="https://www.iata.org/en/iata-repository/pressroom/fact-sheets/fact-sheet-one-record/" TargetMode="External"/><Relationship Id="rId40" Type="http://schemas.openxmlformats.org/officeDocument/2006/relationships/hyperlink" Target="https://www.iata.org/en/publications/manuals/cargo-xml-toolkit/" TargetMode="External"/><Relationship Id="rId41" Type="http://schemas.openxmlformats.org/officeDocument/2006/relationships/hyperlink" Target="https://www.iata.org/contentassets/783ac75f30d74e32a8eaef26af5696b6/csc-672-en-28dec2019.pdf" TargetMode="External"/><Relationship Id="rId42" Type="http://schemas.openxmlformats.org/officeDocument/2006/relationships/hyperlink" Target="https://www.icao.int/sites/default/files/sp-files/Security/aircargo/Documents/Joint%20WCO-ICAO%20Guiding%20Principles%20for%20PLACI%20EN.pdf" TargetMode="External"/><Relationship Id="rId43" Type="http://schemas.openxmlformats.org/officeDocument/2006/relationships/hyperlink" Target="https://www.icao.int/sites/default/files/inline-files/mtl99_en.pdf" TargetMode="External"/><Relationship Id="rId44" Type="http://schemas.openxmlformats.org/officeDocument/2006/relationships/hyperlink" Target="https://www.icao.int/sites/default/files/secretariat/legal/LEB%20Treaty%20Collection%20Documents/2024_Revised_Limits_Of_Liability_Under_The_Montreal_Convention_Of_1999_en.pdf" TargetMode="External"/><Relationship Id="rId45" Type="http://schemas.openxmlformats.org/officeDocument/2006/relationships/hyperlink" Target="https://main.un.org/securitycouncil/en/content/un-sc-consolidated-list" TargetMode="External"/><Relationship Id="rId46" Type="http://schemas.openxmlformats.org/officeDocument/2006/relationships/hyperlink" Target="https://ofac.treasury.gov/sanctions-list-service" TargetMode="External"/><Relationship Id="rId47" Type="http://schemas.openxmlformats.org/officeDocument/2006/relationships/hyperlink" Target="https://data.europa.eu/data/datasets/consolidated-list-of-persons-groups-and-entities-subject-to-eu-financial-sanctions?dl=rdf&amp;locale=en" TargetMode="External"/><Relationship Id="rId48" Type="http://schemas.openxmlformats.org/officeDocument/2006/relationships/hyperlink" Target="https://www.gov.uk/government/publications/the-uk-sanctions-list" TargetMode="External"/><Relationship Id="rId49" Type="http://schemas.openxmlformats.org/officeDocument/2006/relationships/hyperlink" Target="https://www.trade.gov/consolidated-screening-list" TargetMode="External"/><Relationship Id="rId50" Type="http://schemas.openxmlformats.org/officeDocument/2006/relationships/hyperlink" Target="https://media.bis.gov/regulations/ear/interactive-commerce-country-chart" TargetMode="External"/><Relationship Id="rId51" Type="http://schemas.openxmlformats.org/officeDocument/2006/relationships/hyperlink" Target="https://www.wassenaar.org/app/uploads/2025/12/List-of-Dual-Use-Goods-and-Technologies-and-ML-2025.pdf" TargetMode="External"/><Relationship Id="rId52" Type="http://schemas.openxmlformats.org/officeDocument/2006/relationships/hyperlink" Target="https://www.mtcr.info/en/mtcr-guidelines" TargetMode="External"/><Relationship Id="rId53" Type="http://schemas.openxmlformats.org/officeDocument/2006/relationships/hyperlink" Target="https://www.dfat.gov.au/publications/minisite/theaustraliagroupnet/site/en/controllists.html" TargetMode="External"/><Relationship Id="rId54" Type="http://schemas.openxmlformats.org/officeDocument/2006/relationships/hyperlink" Target="https://www.unesco.org/en/legal-affairs/convention-means-prohibiting-and-preventing-illicit-import-export-and-transfer-ownership-cultural" TargetMode="External"/><Relationship Id="rId55" Type="http://schemas.openxmlformats.org/officeDocument/2006/relationships/hyperlink" Target="https://www.interpol.int/Crimes/Cultural-heritage-crime/Stolen-Works-of-Art-Database" TargetMode="External"/><Relationship Id="rId56" Type="http://schemas.openxmlformats.org/officeDocument/2006/relationships/hyperlink" Target="https://trade.cites.org/" TargetMode="External"/><Relationship Id="rId57" Type="http://schemas.openxmlformats.org/officeDocument/2006/relationships/hyperlink" Target="https://www.kimberleyprocess.com/about/what-is-kp" TargetMode="External"/><Relationship Id="rId58" Type="http://schemas.openxmlformats.org/officeDocument/2006/relationships/hyperlink" Target="https://notifications.wto.org/en/notification-requirements/sanitary-and-phytosanitary-measures" TargetMode="External"/><Relationship Id="rId59" Type="http://schemas.openxmlformats.org/officeDocument/2006/relationships/hyperlink" Target="https://www.fao.org/fao-who-codexalimentarius/codex-texts/list-standards/en/" TargetMode="External"/><Relationship Id="rId60" Type="http://schemas.openxmlformats.org/officeDocument/2006/relationships/hyperlink" Target="https://www.fda.gov/food/food-safety-modernization-act-fsma/final-rule-foreign-supplier-verification-programs-fsvp-glance" TargetMode="External"/><Relationship Id="rId61" Type="http://schemas.openxmlformats.org/officeDocument/2006/relationships/hyperlink" Target="https://www.fda.gov/industry/fda-import-process/prior-notice-imported-foods" TargetMode="External"/><Relationship Id="rId62" Type="http://schemas.openxmlformats.org/officeDocument/2006/relationships/hyperlink" Target="https://food.ec.europa.eu/horizontal-topics/official-controls-and-enforcement/imported-products_en" TargetMode="External"/><Relationship Id="rId63" Type="http://schemas.openxmlformats.org/officeDocument/2006/relationships/hyperlink" Target="https://cdn.who.int/media/docs/default-source/medicines/norms-and-standards/guidelines/distribution/trs1025-annex7-%281%29.pdf" TargetMode="External"/><Relationship Id="rId64" Type="http://schemas.openxmlformats.org/officeDocument/2006/relationships/hyperlink" Target="https://www.who.int/docs/default-source/medicines/norms-and-standards/guidelines/distribution/trs961-annex9-modelguidanceforstoragetransport.pdf" TargetMode="External"/><Relationship Id="rId65" Type="http://schemas.openxmlformats.org/officeDocument/2006/relationships/hyperlink" Target="https://www.iata.org/en/publications/manuals/temperature-control-regulations/" TargetMode="External"/><Relationship Id="rId66" Type="http://schemas.openxmlformats.org/officeDocument/2006/relationships/hyperlink" Target="https://www.imdrf.org/sites/default/files/docs/imdrf/final/technical/imdrf-tech-131209-udi-guidance-140901.pdf" TargetMode="External"/><Relationship Id="rId67" Type="http://schemas.openxmlformats.org/officeDocument/2006/relationships/hyperlink" Target="https://www.fda.gov/industry/importing-fda-regulated-products/importing-medical-devices" TargetMode="External"/><Relationship Id="rId68" Type="http://schemas.openxmlformats.org/officeDocument/2006/relationships/hyperlink" Target="https://health.ec.europa.eu/document/download/9f28179a-a6f8-418a-a5fc-ecfbb3ae3ba8_en" TargetMode="External"/><Relationship Id="rId69" Type="http://schemas.openxmlformats.org/officeDocument/2006/relationships/hyperlink" Target="https://fctc.who.int/docs/librariesprovider12/default-document-library/protocol-to-eliminate-illicit-trade-in-tobacco-products.pdf" TargetMode="External"/><Relationship Id="rId70" Type="http://schemas.openxmlformats.org/officeDocument/2006/relationships/hyperlink" Target="https://taxation-customs.ec.europa.eu/taxation/excise-duties/emcs_en" TargetMode="External"/><Relationship Id="rId71" Type="http://schemas.openxmlformats.org/officeDocument/2006/relationships/hyperlink" Target="https://www.ttb.gov/online-services/colas-online" TargetMode="External"/><Relationship Id="rId72" Type="http://schemas.openxmlformats.org/officeDocument/2006/relationships/hyperlink" Target="https://uncitral.un.org/en/texts/ecommerce/modellaw/electronic_transferable_records" TargetMode="External"/><Relationship Id="rId73" Type="http://schemas.openxmlformats.org/officeDocument/2006/relationships/hyperlink" Target="https://uncitral.un.org/en/texts/ecommerce/modellaw/electronic_signatures" TargetMode="External"/><Relationship Id="rId74" Type="http://schemas.openxmlformats.org/officeDocument/2006/relationships/hyperlink" Target="https://unctad.org/topic/ecommerce-and-digital-economy/ecommerce-law-reform/summary-adoption-e-commerce-legislation-worldwide" TargetMode="External"/><Relationship Id="rId75" Type="http://schemas.openxmlformats.org/officeDocument/2006/relationships/hyperlink" Target="https://eur-lex.europa.eu/legal-content/EN/TXT/PDF/?uri=CELEX%3A32016R0679" TargetMode="External"/><Relationship Id="rId76" Type="http://schemas.openxmlformats.org/officeDocument/2006/relationships/hyperlink" Target="https://www.coe.int/en/web/conventions/full-list?module=signatures-by-treaty&amp;treatynum=108" TargetMode="External"/><Relationship Id="rId77" Type="http://schemas.openxmlformats.org/officeDocument/2006/relationships/hyperlink" Target="https://www.oecd.org/en/publications/oecd-guidelines-on-the-protection-of-privacy-and-transborder-flows-of-personal-data_9789264196391-en.html" TargetMode="External"/><Relationship Id="rId78" Type="http://schemas.openxmlformats.org/officeDocument/2006/relationships/hyperlink" Target="https://www.meity.gov.in/static/uploads/2025/11/53450e6e5dc0bfa85ebd78686cadad39.pdf" TargetMode="External"/><Relationship Id="rId79" Type="http://schemas.openxmlformats.org/officeDocument/2006/relationships/hyperlink" Target="https://www.ppc.go.jp/files/pdf/APPI_english.pdf" TargetMode="External"/><Relationship Id="rId80" Type="http://schemas.openxmlformats.org/officeDocument/2006/relationships/hyperlink" Target="https://www.pdpc.gov.sg/data-protection-obligations" TargetMode="External"/><Relationship Id="rId81" Type="http://schemas.openxmlformats.org/officeDocument/2006/relationships/hyperlink" Target="https://www.oaic.gov.au/privacy/australian-privacy-principles/australian-privacy-principles-guidelines/chapter-8-app-8-cross-border-disclosure-of-personal-information" TargetMode="External"/><Relationship Id="rId82" Type="http://schemas.openxmlformats.org/officeDocument/2006/relationships/hyperlink" Target="https://en.spp.gov.cn/2021-12/29/c_948419.htm" TargetMode="External"/><Relationship Id="rId83" Type="http://schemas.openxmlformats.org/officeDocument/2006/relationships/hyperlink" Target="https://www.in.gov.br/en/web/dou/-/resolucao-cd/anpd-n-19-de-23-de-agosto-de-2024-580095396?hl=en_US" TargetMode="External"/><Relationship Id="rId84" Type="http://schemas.openxmlformats.org/officeDocument/2006/relationships/hyperlink" Target="https://www.priv.gc.ca/en/privacy-topics/airports-and-borders/gl_dab_090127/" TargetMode="External"/><Relationship Id="rId85" Type="http://schemas.openxmlformats.org/officeDocument/2006/relationships/hyperlink" Target="https://cppa.ca.gov/regulations/pdf/ccpa_statute_eff_20260101.pdf" TargetMode="External"/><Relationship Id="rId86" Type="http://schemas.openxmlformats.org/officeDocument/2006/relationships/hyperlink" Target="https://inforegulator.org.za/wp-content/uploads/2020/07/POPIA-fo-the-officials.pdf" TargetMode="External"/><Relationship Id="rId87" Type="http://schemas.openxmlformats.org/officeDocument/2006/relationships/hyperlink" Target="https://ndpc.gov.ng/wp-content/uploads/2025/07/NDP-ACT-GAID-2025-MARCH-20TH.pdf" TargetMode="External"/><Relationship Id="rId88" Type="http://schemas.openxmlformats.org/officeDocument/2006/relationships/hyperlink" Target="https://dgp.sdaia.gov.sa/wps/portal/pdp/knowledgecenter/details/RegulationonPersonalDataTransferOutsidetheKingdom/" TargetMode="External"/><Relationship Id="rId89" Type="http://schemas.openxmlformats.org/officeDocument/2006/relationships/hyperlink" Target="https://u.ae/en/about-the-uae/digital-uae/data/data-protection-laws" TargetMode="External"/><Relationship Id="rId90" Type="http://schemas.openxmlformats.org/officeDocument/2006/relationships/hyperlink" Target="https://www.federalregister.gov/documents/2026/06/24/2026-12669/indefinite-suspension-of-the-de-minimis-exemption-for-mail-shipments-and-new-postal-informal-entry" TargetMode="External"/><Relationship Id="rId91" Type="http://schemas.openxmlformats.org/officeDocument/2006/relationships/hyperlink" Target="https://www.whitehouse.gov/presidential-actions/2025/07/suspending-duty-free-de-minimis-treatment-for-all-countries/" TargetMode="External"/><Relationship Id="rId92" Type="http://schemas.openxmlformats.org/officeDocument/2006/relationships/hyperlink" Target="https://taxation-customs.ec.europa.eu/news/guidance-and-legal-text-temporary-flat-fee-low-value-imports-which-will-apply-until-1-july-2028-2026-06-08_en" TargetMode="External"/><Relationship Id="rId93" Type="http://schemas.openxmlformats.org/officeDocument/2006/relationships/hyperlink" Target="https://www.gov.uk/government/publications/reforming-customs-rules-for-low-value-imports/reforming-the-customs-treatment-of-low-value-imports-into-the-uk" TargetMode="External"/><Relationship Id="rId94" Type="http://schemas.openxmlformats.org/officeDocument/2006/relationships/hyperlink" Target="https://taxation-customs.ec.europa.eu/customs/customs-security/import-control-system-2_en" TargetMode="External"/><Relationship Id="rId95" Type="http://schemas.openxmlformats.org/officeDocument/2006/relationships/hyperlink" Target="https://www.gov.uk/guidance/safety-and-security-declarations" TargetMode="External"/><Relationship Id="rId96" Type="http://schemas.openxmlformats.org/officeDocument/2006/relationships/hyperlink" Target="https://taxation-customs.ec.europa.eu/document/download/cf3823b2-a6cf-420a-bdc4-83759aee9691_en?filename=IOSS+VAT_+Factsheet.pdf" TargetMode="External"/><Relationship Id="rId97" Type="http://schemas.openxmlformats.org/officeDocument/2006/relationships/hyperlink" Target="https://www.gov.uk/goods-sent-from-abroad/tax-and-duty" TargetMode="External"/><Relationship Id="rId98" Type="http://schemas.openxmlformats.org/officeDocument/2006/relationships/hyperlink" Target="https://www.gov.uk/trade-tariff" TargetMode="External"/><Relationship Id="rId99" Type="http://schemas.openxmlformats.org/officeDocument/2006/relationships/hyperlink" Target="https://developer.dhl.com/api-reference/dhl-express-mydhl-api" TargetMode="External"/><Relationship Id="rId100" Type="http://schemas.openxmlformats.org/officeDocument/2006/relationships/hyperlink" Target="https://developer.dhl.com/sites/default/files/2024-03/MyDHL%20API%20Reference%20data%20guide%20%282.11.0%29.pdf" TargetMode="External"/><Relationship Id="rId101" Type="http://schemas.openxmlformats.org/officeDocument/2006/relationships/hyperlink" Target="https://developer.ups.com/" TargetMode="External"/><Relationship Id="rId102" Type="http://schemas.openxmlformats.org/officeDocument/2006/relationships/hyperlink" Target="https://developer.ups.com/tag/Dangerous-Goods?loc=en_US" TargetMode="External"/><Relationship Id="rId103" Type="http://schemas.openxmlformats.org/officeDocument/2006/relationships/hyperlink" Target="https://developer.fedex.com/api/en-sc/home.html" TargetMode="External"/><Relationship Id="rId104" Type="http://schemas.openxmlformats.org/officeDocument/2006/relationships/hyperlink" Target="https://developer.fedex.com/api/en-in/catalog/sh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3PL International Shipping Software — Master Requirements Specification</dc:title>
  <dc:subject>Worldwide rules, regulations and implementation requirements for a multi-tenant 3PL shipping SaaS</dc:subject>
  <dc:creator>Product Compliance Architecture</dc:creator>
  <cp:keywords>3PL, international shipping, customs, postal, air freight, dangerous goods, country packs, SaaS</cp:keywords>
  <dc:description>Implementation baseline as of 2026-07-25</dc:description>
  <cp:lastModifiedBy/>
  <cp:revision>1</cp:revision>
  <dcterms:created xsi:type="dcterms:W3CDTF">2013-12-23T23:15:00Z</dcterms:created>
  <dcterms:modified xsi:type="dcterms:W3CDTF">2013-12-23T23:15:00Z</dcterms:modified>
  <cp:category/>
</cp:coreProperties>
</file>