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INCIDENT POST-MORTEM</w:t>
      </w:r>
    </w:p>
    <w:p>
      <w:pPr>
        <w:pStyle w:val="Heading1"/>
      </w:pPr>
      <w:r>
        <w:t>Public Incident Summary</w:t>
      </w:r>
    </w:p>
    <w:p>
      <w:r>
        <w:t>&lt;attack_date&gt;2026-01-15&lt;/attack_date&gt;</w:t>
      </w:r>
    </w:p>
    <w:p>
      <w:r>
        <w:t>&lt;post_mortem&gt;</w:t>
      </w:r>
    </w:p>
    <w:p>
      <w:r>
        <w:t>Incident Summary Report - Attempted Privilege Escalation on January 15, YYYY. Initial indicators of a potential security incident were identified at the start of our business day when anomalous telemetry was detected by intrusion detection systems within MITRE ATT&amp;amp;E (attack techniques and methodologies) framework categories. Specifically, unauthorized attempts to escalate privileges using known T1059 scripts ('use-after-free') were observed across our network infrastructure without corresponding WAF blocking or alerts that could have signified suspicious behavior early in the timeline of events.</w:t>
      </w:r>
    </w:p>
    <w:p>
      <w:r>
        <w:t>Background Context: Our organization's environment includes a variety of web applications and databases with differing levels of access controls, including some legacy systems known for misconfigur0dation issues which may serve as initial weak points exploited by attackers to gain foothold within our network perimeter during normal system operations.</w:t>
      </w:r>
    </w:p>
    <w:p>
      <w:r>
        <w:t>(2026-01-15T10:00:00 UTC) In the early hours of January 15, an unknown IP address attempted unprivileged access using a series of suspicious commands that triggered MITRE ATT&amp;amp;E T1059 techniques. These attempts included executing and chaining together multiple bash scripts without proper authorization or credentials to escalate privileges on the target system—actions indicative of reconnaissance activities aimed at understanding network configurations before proceeding with more harmful intentions like data exfiltration.</w:t>
      </w:r>
    </w:p>
    <w:p>
      <w:r>
        <w:t>(2026-01-15T10:00:06 UTC) The attacker's persistence was evident as the subsequent attempt failed to be flagged by our WAF infrastructure, which typically would have blocked such activity given its baseline of known threats and signatures.</w:t>
      </w:r>
    </w:p>
    <w:p>
      <w:r>
        <w:t>(2026-01-15T10:00:09 UTC) Despite no immediate detection from automated systems at this point in time, the lack of WAF intervention suggested an urgent need for better security controls within our network's defenses to detect and mitigate such threats proactively.</w:t>
      </w:r>
    </w:p>
    <w:p>
      <w:r>
        <w:t>(2026-01-15T10:00:17 UTC) The attacker continued their efforts with a different set of T1059 exploit attempts aimed at bypassing privilege levels, which were not immediately identified due to the absence of correlated alerts or WAF blocking. It is evident that without robust defenses and timely detection mechanisms in place—alongside proper monitoring tunings such as anomaly-based intrusion detection systems capable of identifying unusual activity patterns beyond known signatures—the threat actor succeeded momentarily before our security measures intervened effectively to contain the situation, ensuring no data loss or unauthorized access occurred.</w:t>
      </w:r>
    </w:p>
    <w:p>
      <w:r>
        <w:t>Mitigation &amp; Learnings: The incident has been contained thanks to a coordinated response by our SOC team that leveraged both automated tools and manual investigations for immediate threat neutralization while maintaining business continuity. Our WAF was upgraded, anomaly-based intrusion detection systems were fine-tuned, and legacy system vulnerabilities are being addressed through configuration hardening processes under strict access controls to prevent exploitation of these weaknesses in the future.</w:t>
      </w:r>
    </w:p>
    <w:p>
      <w:r>
        <w:t>Furthermore, staff has been reminded about best practices for security hygiene that can mitigate similar incidents from occurring again without direct detection and intervention by our cybersecurity defenses team members. Continuous monitoring improvements are underway to ensure swift identification of unauthorized activities as early in their execution cycle, thus reducing potential impact on organizational assets or sensitive information compromise.</w:t>
      </w:r>
    </w:p>
    <w:p>
      <w:pPr>
        <w:pStyle w:val="Heading1"/>
      </w:pPr>
      <w:r>
        <w:t>Internal Follow-ups [To be completed by Incident Response team]</w:t>
      </w:r>
    </w:p>
    <w:p>
      <w:r>
        <w:t>[ ] Action item 1</w:t>
      </w:r>
    </w:p>
    <w:p>
      <w:r>
        <w:t>[ ] Action item 2</w:t>
      </w:r>
    </w:p>
    <w:p>
      <w:r>
        <w:t>[ ] Action item 3</w:t>
      </w:r>
    </w:p>
    <w:p>
      <w:pPr>
        <w:pStyle w:val="Heading2"/>
      </w:pPr>
      <w:r>
        <w:t>Generated by LLM and reviewed by [Analyst Names]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jc w:val="both"/>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