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POST-MORTEM</w:t>
      </w:r>
    </w:p>
    <w:p>
      <w:pPr>
        <w:pStyle w:val="Heading1"/>
      </w:pPr>
      <w:r>
        <w:t>Public Incident Summary</w:t>
      </w:r>
    </w:p>
    <w:p>
      <w:r>
        <w:t>On January 15 between 10:00 and 10:17 UTC, Service experienced an intrusion attempt detected by anomaly-based indicators but fortunately was thwarted before any significant damage could occur. An unauthorized command and control activity reference without corresponding detailed events suggests the initial compromise did not persist beyond our immediate defenses; both Web Application Firewall (WAF) blocks were promptly enacted to disrupt further intrusion attempts, as well as a detection response indicating potential patterns associated with known threat actors.</w:t>
        <w:br/>
        <w:br/>
        <w:t>We understand how much you rely on Service for confidential business operations and take every possible security measure seriously. Although this incident was detected swiftly by our monitoring systems and responded to effectively within milliseconds of occurrence (within the log timeline), we acknowledge that no system is impenetrable, which underlines why continuous improvement in threat detection capabilities remains a cornerstone for us—a commitment made through rigorous self-assessment.</w:t>
        <w:br/>
        <w:br/>
        <w:t>We have taken steps to review and enhance our security posture further by conducting comprehensive tests of all defenses, including the WAF configurations that executed immediate blocks during this incident. Our team is dedicated not only in resolving current gaps but also in staying ahead of potential threats through regular updates on new attack patterns observed industry-wide.</w:t>
        <w:br/>
        <w:br/>
        <w:t>Rest assured that at no point was the confidentiality or integrity of your data compromised, as there were neither breaches nor unauthorized actions impacting critical assets according to our logs and investigations up to this report's generation date (2026). We thank you for your trust in Service’s security measures. Our proactive stance on cybersecurity is a testament of which we take pride, along with the continuous efforts aimed at strengthening defenses against any future attempts by malicious entities to access our systems or data integrity and confidentiality resources.</w:t>
      </w:r>
    </w:p>
    <w:p>
      <w:pPr>
        <w:pStyle w:val="Heading1"/>
      </w:pPr>
      <w:r>
        <w:t>Internal Follow-ups [To be completed by Incident Response team]</w:t>
      </w:r>
    </w:p>
    <w:p>
      <w:r>
        <w:t>[ ] Action item 1</w:t>
      </w:r>
    </w:p>
    <w:p>
      <w:r>
        <w:t>[ ] Action item 2</w:t>
      </w:r>
    </w:p>
    <w:p>
      <w:r>
        <w:t>[ ] Action item 3</w:t>
      </w:r>
    </w:p>
    <w:p>
      <w:pPr>
        <w:pStyle w:val="Heading2"/>
      </w:pPr>
      <w:r>
        <w:t>Generated by LLM and reviewed by [Analyst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