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58.png" ContentType="image/png"/>
  <Override PartName="/word/media/rId68.png" ContentType="image/png"/>
  <Override PartName="/word/media/rId63.png" ContentType="image/png"/>
  <Override PartName="/word/media/rId76.png" ContentType="image/png"/>
  <Override PartName="/word/media/rId81.png" ContentType="image/png"/>
  <Override PartName="/word/media/rId72.png" ContentType="image/png"/>
  <Override PartName="/word/media/rId29.png" ContentType="image/png"/>
  <Override PartName="/word/media/rId18.png" ContentType="image/png"/>
  <Override PartName="/word/media/rId21.png" ContentType="image/png"/>
  <Override PartName="/word/media/rId25.png" ContentType="image/png"/>
  <Override PartName="/word/media/rId37.png" ContentType="image/png"/>
  <Override PartName="/word/media/rId90.png" ContentType="image/png"/>
  <Override PartName="/word/media/rId93.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Inflation Dynamics Across Saudi Regions: Common Temporal Variation, Local Persistence, and the Limits of Spatial Predictive Dependence</w:t>
      </w:r>
    </w:p>
    <w:p>
      <w:pPr>
        <w:pStyle w:val="Author"/>
      </w:pPr>
      <w:r>
        <w:t xml:space="preserve">Maha</w:t>
      </w:r>
    </w:p>
    <w:bookmarkStart w:id="9" w:name="abstract"/>
    <w:p>
      <w:pPr>
        <w:pStyle w:val="Heading2"/>
      </w:pPr>
      <w:r>
        <w:t xml:space="preserve">Abstract</w:t>
      </w:r>
    </w:p>
    <w:p>
      <w:pPr>
        <w:pStyle w:val="FirstParagraph"/>
      </w:pPr>
      <w:r>
        <w:t xml:space="preserve">This paper studies the dynamics of regional consumer price inflation across</w:t>
      </w:r>
      <w:r>
        <w:t xml:space="preserve"> </w:t>
      </w:r>
      <w:r>
        <w:t xml:space="preserve">Saudi Arabia’s thirteen administrative regions using a monthly panel spanning</w:t>
      </w:r>
      <w:r>
        <w:t xml:space="preserve"> </w:t>
      </w:r>
      <w:r>
        <w:t xml:space="preserve">January 2013 to February 2026 (GASTAT, base year 2023 = 100). We ask whether</w:t>
      </w:r>
      <w:r>
        <w:t xml:space="preserve"> </w:t>
      </w:r>
      <w:r>
        <w:t xml:space="preserve">regional inflation dynamics primarily reflect common temporal variation,</w:t>
      </w:r>
      <w:r>
        <w:t xml:space="preserve"> </w:t>
      </w:r>
      <w:r>
        <w:t xml:space="preserve">local regional persistence, or spatial predictive dependence across</w:t>
      </w:r>
      <w:r>
        <w:t xml:space="preserve"> </w:t>
      </w:r>
      <w:r>
        <w:t xml:space="preserve">neighbouring regions. Using a dynamic two-way-fixed-effects panel model with</w:t>
      </w:r>
      <w:r>
        <w:t xml:space="preserve"> </w:t>
      </w:r>
      <w:r>
        <w:t xml:space="preserve">Driscoll-Kraay inference, distributed spatial lags, nonlinear/state-dependent</w:t>
      </w:r>
      <w:r>
        <w:t xml:space="preserve"> </w:t>
      </w:r>
      <w:r>
        <w:t xml:space="preserve">extensions, verified national policy-shock episodes, stationarity diagnostics,</w:t>
      </w:r>
      <w:r>
        <w:t xml:space="preserve"> </w:t>
      </w:r>
      <w:r>
        <w:t xml:space="preserve">a final battery of robustness checks (leave-one-region-out, influential</w:t>
      </w:r>
      <w:r>
        <w:t xml:space="preserve"> </w:t>
      </w:r>
      <w:r>
        <w:t xml:space="preserve">months, alternative spatial weights, alternative dynamic horizons, and</w:t>
      </w:r>
      <w:r>
        <w:t xml:space="preserve"> </w:t>
      </w:r>
      <w:r>
        <w:t xml:space="preserve">alternative inference methods), and a calibrated simulation-based power</w:t>
      </w:r>
      <w:r>
        <w:t xml:space="preserve"> </w:t>
      </w:r>
      <w:r>
        <w:t xml:space="preserve">analysis, we find that common temporal variation – captured by month fixed</w:t>
      </w:r>
      <w:r>
        <w:t xml:space="preserve"> </w:t>
      </w:r>
      <w:r>
        <w:t xml:space="preserve">effects – accounts for a substantial share of regional inflation variation</w:t>
      </w:r>
      <w:r>
        <w:t xml:space="preserve"> </w:t>
      </w:r>
      <w:r>
        <w:t xml:space="preserve">(42.9% of total sum of squares), while the available</w:t>
      </w:r>
      <w:r>
        <w:t xml:space="preserve"> </w:t>
      </w:r>
      <w:r>
        <w:t xml:space="preserve">13-region panel provides no robust evidence of spatial predictive dependence,</w:t>
      </w:r>
      <w:r>
        <w:t xml:space="preserve"> </w:t>
      </w:r>
      <w:r>
        <w:t xml:space="preserve">at the contemporaneous, one-month, and distributed (up to six-month) lag</w:t>
      </w:r>
      <w:r>
        <w:t xml:space="preserve"> </w:t>
      </w:r>
      <w:r>
        <w:t xml:space="preserve">horizons, after accounting for each region’s own dynamics (final joint</w:t>
      </w:r>
      <w:r>
        <w:t xml:space="preserve"> </w:t>
      </w:r>
      <w:r>
        <w:t xml:space="preserve">spatial-lag wild-cluster-bootstrap p = 0.575, B = 9999). One</w:t>
      </w:r>
      <w:r>
        <w:t xml:space="preserve"> </w:t>
      </w:r>
      <w:r>
        <w:t xml:space="preserve">nonlinear specification produces a nominally significant result that does not</w:t>
      </w:r>
      <w:r>
        <w:t xml:space="preserve"> </w:t>
      </w:r>
      <w:r>
        <w:t xml:space="preserve">survive the complete multiple-testing and cross-specification robustness</w:t>
      </w:r>
      <w:r>
        <w:t xml:space="preserve"> </w:t>
      </w:r>
      <w:r>
        <w:t xml:space="preserve">framework. Verified national shock episodes (the 2015 energy-price reform,</w:t>
      </w:r>
      <w:r>
        <w:t xml:space="preserve"> </w:t>
      </w:r>
      <w:r>
        <w:t xml:space="preserve">the 2018 VAT introduction/energy-price package, and the 2020 VAT rate</w:t>
      </w:r>
      <w:r>
        <w:t xml:space="preserve"> </w:t>
      </w:r>
      <w:r>
        <w:t xml:space="preserve">increase) show no robust evidence of associated parameter instability.</w:t>
      </w:r>
      <w:r>
        <w:t xml:space="preserve"> </w:t>
      </w:r>
      <w:r>
        <w:t xml:space="preserve">Inflation itself is broadly stationary; CPI levels are not; moderate residual</w:t>
      </w:r>
      <w:r>
        <w:t xml:space="preserve"> </w:t>
      </w:r>
      <w:r>
        <w:t xml:space="preserve">temporal persistence remains. Because the cross-section is limited to 13</w:t>
      </w:r>
      <w:r>
        <w:t xml:space="preserve"> </w:t>
      </w:r>
      <w:r>
        <w:t xml:space="preserve">regions, a calibrated Monte Carlo power analysis indicates this design has</w:t>
      </w:r>
      <w:r>
        <w:t xml:space="preserve"> </w:t>
      </w:r>
      <w:r>
        <w:t xml:space="preserve">adequate power to detect only moderate-to-large cumulative spatial effects</w:t>
      </w:r>
      <w:r>
        <w:t xml:space="preserve"> </w:t>
      </w:r>
      <w:r>
        <w:t xml:space="preserve">and limited power for small ones (minimum detectable effect above the</w:t>
      </w:r>
      <w:r>
        <w:t xml:space="preserve"> </w:t>
      </w:r>
      <w:r>
        <w:t xml:space="preserve">largest pre-specified effect size tested, |Theta_3| = 0.20), so small spatial</w:t>
      </w:r>
      <w:r>
        <w:t xml:space="preserve"> </w:t>
      </w:r>
      <w:r>
        <w:t xml:space="preserve">effects cannot be ruled out by this null/weak result. We conclude that common</w:t>
      </w:r>
      <w:r>
        <w:t xml:space="preserve"> </w:t>
      </w:r>
      <w:r>
        <w:t xml:space="preserve">temporal variation and local region-specific dynamics, rather than spatial</w:t>
      </w:r>
      <w:r>
        <w:t xml:space="preserve"> </w:t>
      </w:r>
      <w:r>
        <w:t xml:space="preserve">transmission across neighbouring regions, characterize the empirical pattern</w:t>
      </w:r>
      <w:r>
        <w:t xml:space="preserve"> </w:t>
      </w:r>
      <w:r>
        <w:t xml:space="preserve">of Saudi regional inflation at the administrative-region level and the</w:t>
      </w:r>
      <w:r>
        <w:t xml:space="preserve"> </w:t>
      </w:r>
      <w:r>
        <w:t xml:space="preserve">horizons examined here: no robust spatial predictive dependence is detected</w:t>
      </w:r>
      <w:r>
        <w:t xml:space="preserve"> </w:t>
      </w:r>
      <w:r>
        <w:t xml:space="preserve">in the available data.</w:t>
      </w:r>
    </w:p>
    <w:bookmarkEnd w:id="9"/>
    <w:bookmarkStart w:id="13" w:name="X18dae6c252145f37678017a6e41fcfe9d3ea5fa"/>
    <w:p>
      <w:pPr>
        <w:pStyle w:val="Heading2"/>
      </w:pPr>
      <w:r>
        <w:t xml:space="preserve">Project Architecture (v1 Exploratory Pipeline)</w:t>
      </w:r>
    </w:p>
    <w:p>
      <w:pPr>
        <w:pStyle w:val="FirstParagraph"/>
      </w:pPr>
      <w:r>
        <w:drawing>
          <wp:inline>
            <wp:extent cx="4620126" cy="8316227"/>
            <wp:effectExtent b="0" l="0" r="0" t="0"/>
            <wp:docPr descr="" title="" id="11" name="Picture"/>
            <a:graphic>
              <a:graphicData uri="http://schemas.openxmlformats.org/drawingml/2006/picture">
                <pic:pic>
                  <pic:nvPicPr>
                    <pic:cNvPr descr="paper_files/figure-docx/architecture-diagram-1.png" id="12" name="Picture"/>
                    <pic:cNvPicPr>
                      <a:picLocks noChangeArrowheads="1" noChangeAspect="1"/>
                    </pic:cNvPicPr>
                  </pic:nvPicPr>
                  <pic:blipFill>
                    <a:blip r:embed="rId10"/>
                    <a:stretch>
                      <a:fillRect/>
                    </a:stretch>
                  </pic:blipFill>
                  <pic:spPr bwMode="auto">
                    <a:xfrm>
                      <a:off x="0" y="0"/>
                      <a:ext cx="4620126" cy="8316227"/>
                    </a:xfrm>
                    <a:prstGeom prst="rect">
                      <a:avLst/>
                    </a:prstGeom>
                    <a:noFill/>
                    <a:ln w="9525">
                      <a:noFill/>
                      <a:headEnd/>
                      <a:tailEnd/>
                    </a:ln>
                  </pic:spPr>
                </pic:pic>
              </a:graphicData>
            </a:graphic>
          </wp:inline>
        </w:drawing>
      </w:r>
    </w:p>
    <w:p>
      <w:pPr>
        <w:pStyle w:val="BodyText"/>
      </w:pPr>
      <w:r>
        <w:rPr>
          <w:i/>
          <w:iCs/>
        </w:rPr>
        <w:t xml:space="preserve">Figure A0. The project’s original (v1) exploratory workflow, Stages 1-8</w:t>
      </w:r>
      <w:r>
        <w:t xml:space="preserve"> </w:t>
      </w:r>
      <w:r>
        <w:rPr>
          <w:i/>
          <w:iCs/>
        </w:rPr>
        <w:t xml:space="preserve">(</w:t>
      </w:r>
      <w:r>
        <w:rPr>
          <w:rStyle w:val="VerbatimChar"/>
          <w:i/>
          <w:iCs/>
        </w:rPr>
        <w:t xml:space="preserve">scripts/01</w:t>
      </w:r>
      <w:r>
        <w:rPr>
          <w:i/>
          <w:iCs/>
        </w:rPr>
        <w:t xml:space="preserve">-</w:t>
      </w:r>
      <w:r>
        <w:rPr>
          <w:rStyle w:val="VerbatimChar"/>
          <w:i/>
          <w:iCs/>
        </w:rPr>
        <w:t xml:space="preserve">08</w:t>
      </w:r>
      <w:r>
        <w:rPr>
          <w:i/>
          <w:iCs/>
        </w:rPr>
        <w:t xml:space="preserve">). This preceded, and does not supersede, the confirmatory</w:t>
      </w:r>
      <w:r>
        <w:t xml:space="preserve"> </w:t>
      </w:r>
      <w:r>
        <w:rPr>
          <w:i/>
          <w:iCs/>
        </w:rPr>
        <w:t xml:space="preserve">dynamic-panel analysis (v2, Stages 9-18) that forms the core of this paper;</w:t>
      </w:r>
      <w:r>
        <w:t xml:space="preserve"> </w:t>
      </w:r>
      <w:r>
        <w:rPr>
          <w:i/>
          <w:iCs/>
        </w:rPr>
        <w:t xml:space="preserve">see</w:t>
      </w:r>
      <w:r>
        <w:rPr>
          <w:i/>
          <w:iCs/>
        </w:rPr>
        <w:t xml:space="preserve"> </w:t>
      </w:r>
      <w:hyperlink w:anchor="reproducibility">
        <w:r>
          <w:rPr>
            <w:rStyle w:val="Hyperlink"/>
            <w:i/>
            <w:iCs/>
          </w:rPr>
          <w:t xml:space="preserve">Reproducibility</w:t>
        </w:r>
      </w:hyperlink>
      <w:r>
        <w:rPr>
          <w:i/>
          <w:iCs/>
        </w:rPr>
        <w:t xml:space="preserve"> </w:t>
      </w:r>
      <w:r>
        <w:rPr>
          <w:i/>
          <w:iCs/>
        </w:rPr>
        <w:t xml:space="preserve">for the full v2 pipeline and commit history.</w:t>
      </w:r>
    </w:p>
    <w:bookmarkEnd w:id="13"/>
    <w:bookmarkStart w:id="14" w:name="introduction"/>
    <w:p>
      <w:pPr>
        <w:pStyle w:val="Heading2"/>
      </w:pPr>
      <w:r>
        <w:t xml:space="preserve">Introduction</w:t>
      </w:r>
    </w:p>
    <w:p>
      <w:pPr>
        <w:pStyle w:val="FirstParagraph"/>
      </w:pPr>
      <w:r>
        <w:t xml:space="preserve">Inflation dynamics remain a central concern for economic policy, particularly</w:t>
      </w:r>
      <w:r>
        <w:t xml:space="preserve"> </w:t>
      </w:r>
      <w:r>
        <w:t xml:space="preserve">in resource-dependent economies such as Saudi Arabia. National-level</w:t>
      </w:r>
      <w:r>
        <w:t xml:space="preserve"> </w:t>
      </w:r>
      <w:r>
        <w:t xml:space="preserve">inflation indicators provide a useful summary, but they may mask important</w:t>
      </w:r>
      <w:r>
        <w:t xml:space="preserve"> </w:t>
      </w:r>
      <w:r>
        <w:t xml:space="preserve">regional heterogeneity: are all thirteen of Saudi Arabia’s administrative</w:t>
      </w:r>
      <w:r>
        <w:t xml:space="preserve"> </w:t>
      </w:r>
      <w:r>
        <w:t xml:space="preserve">regions simply riding the same national wave – responding together to oil</w:t>
      </w:r>
      <w:r>
        <w:t xml:space="preserve"> </w:t>
      </w:r>
      <w:r>
        <w:t xml:space="preserve">prices, monetary policy, and nationwide fiscal changes such as VAT – or do</w:t>
      </w:r>
      <w:r>
        <w:t xml:space="preserve"> </w:t>
      </w:r>
      <w:r>
        <w:t xml:space="preserve">regions also influence one another’s inflation directly, with price pressure</w:t>
      </w:r>
      <w:r>
        <w:t xml:space="preserve"> </w:t>
      </w:r>
      <w:r>
        <w:t xml:space="preserve">in one region predicting subsequent price pressure in its geographic</w:t>
      </w:r>
      <w:r>
        <w:t xml:space="preserve"> </w:t>
      </w:r>
      <w:r>
        <w:t xml:space="preserve">neighbours?</w:t>
      </w:r>
    </w:p>
    <w:p>
      <w:pPr>
        <w:pStyle w:val="BodyText"/>
      </w:pPr>
      <w:r>
        <w:t xml:space="preserve">This paper addresses that question directly:</w:t>
      </w:r>
    </w:p>
    <w:p>
      <w:pPr>
        <w:pStyle w:val="BlockText"/>
      </w:pPr>
      <w:r>
        <w:rPr>
          <w:b/>
          <w:bCs/>
        </w:rPr>
        <w:t xml:space="preserve">Do Saudi regional inflation dynamics primarily reflect common national</w:t>
      </w:r>
      <w:r>
        <w:rPr>
          <w:b/>
          <w:bCs/>
        </w:rPr>
        <w:t xml:space="preserve"> </w:t>
      </w:r>
      <w:r>
        <w:rPr>
          <w:b/>
          <w:bCs/>
        </w:rPr>
        <w:t xml:space="preserve">temporal shocks, local regional persistence, or spatial predictive</w:t>
      </w:r>
      <w:r>
        <w:rPr>
          <w:b/>
          <w:bCs/>
        </w:rPr>
        <w:t xml:space="preserve"> </w:t>
      </w:r>
      <w:r>
        <w:rPr>
          <w:b/>
          <w:bCs/>
        </w:rPr>
        <w:t xml:space="preserve">dependence across regions?</w:t>
      </w:r>
    </w:p>
    <w:p>
      <w:pPr>
        <w:pStyle w:val="FirstParagraph"/>
      </w:pPr>
      <w:r>
        <w:t xml:space="preserve">We do not begin from the premise that regional spatial spillovers exist. The</w:t>
      </w:r>
      <w:r>
        <w:t xml:space="preserve"> </w:t>
      </w:r>
      <w:r>
        <w:t xml:space="preserve">empirical strategy is built to let each of the three candidate explanations</w:t>
      </w:r>
      <w:r>
        <w:t xml:space="preserve"> </w:t>
      </w:r>
      <w:r>
        <w:t xml:space="preserve">fail on its own terms – through explicit joint hypothesis tests, multiple</w:t>
      </w:r>
      <w:r>
        <w:t xml:space="preserve"> </w:t>
      </w:r>
      <w:r>
        <w:t xml:space="preserve">spatial-weight specifications, multiple dynamic horizons, multiple-testing</w:t>
      </w:r>
      <w:r>
        <w:t xml:space="preserve"> </w:t>
      </w:r>
      <w:r>
        <w:t xml:space="preserve">correction, and a final robustness battery – rather than to confirm a</w:t>
      </w:r>
      <w:r>
        <w:t xml:space="preserve"> </w:t>
      </w:r>
      <w:r>
        <w:t xml:space="preserve">spatial story assumed at the outset.</w:t>
      </w:r>
    </w:p>
    <w:p>
      <w:pPr>
        <w:pStyle w:val="BodyText"/>
      </w:pPr>
      <w:r>
        <w:t xml:space="preserve">The paper is organized as follows.</w:t>
      </w:r>
      <w:r>
        <w:t xml:space="preserve"> </w:t>
      </w:r>
      <w:hyperlink w:anchor="literature-review">
        <w:r>
          <w:rPr>
            <w:rStyle w:val="Hyperlink"/>
          </w:rPr>
          <w:t xml:space="preserve">Literature Review</w:t>
        </w:r>
      </w:hyperlink>
      <w:r>
        <w:t xml:space="preserve"> </w:t>
      </w:r>
      <w:r>
        <w:t xml:space="preserve">situates this study</w:t>
      </w:r>
      <w:r>
        <w:t xml:space="preserve"> </w:t>
      </w:r>
      <w:r>
        <w:t xml:space="preserve">relative to existing work on regional and spatial inflation dynamics,</w:t>
      </w:r>
      <w:r>
        <w:t xml:space="preserve"> </w:t>
      </w:r>
      <w:r>
        <w:t xml:space="preserve">including evidence specific to Saudi Arabia and the GCC.</w:t>
      </w:r>
      <w:r>
        <w:t xml:space="preserve"> </w:t>
      </w:r>
      <w:hyperlink w:anchor="data-and-variable-construction">
        <w:r>
          <w:rPr>
            <w:rStyle w:val="Hyperlink"/>
          </w:rPr>
          <w:t xml:space="preserve">Data and Variable</w:t>
        </w:r>
        <w:r>
          <w:rPr>
            <w:rStyle w:val="Hyperlink"/>
          </w:rPr>
          <w:t xml:space="preserve"> </w:t>
        </w:r>
        <w:r>
          <w:rPr>
            <w:rStyle w:val="Hyperlink"/>
          </w:rPr>
          <w:t xml:space="preserve">Construction</w:t>
        </w:r>
      </w:hyperlink>
      <w:r>
        <w:t xml:space="preserve"> </w:t>
      </w:r>
      <w:r>
        <w:t xml:space="preserve">describes the panel and its construction.</w:t>
      </w:r>
      <w:r>
        <w:t xml:space="preserve"> </w:t>
      </w:r>
      <w:hyperlink w:anchor="empirical-strategy">
        <w:r>
          <w:rPr>
            <w:rStyle w:val="Hyperlink"/>
          </w:rPr>
          <w:t xml:space="preserve">Empirical Strategy</w:t>
        </w:r>
      </w:hyperlink>
      <w:r>
        <w:t xml:space="preserve"> </w:t>
      </w:r>
      <w:r>
        <w:t xml:space="preserve">sets out the final dynamic two-way-fixed-effects specification and the full</w:t>
      </w:r>
      <w:r>
        <w:t xml:space="preserve"> </w:t>
      </w:r>
      <w:r>
        <w:t xml:space="preserve">sequence of confirmatory analyses that were run around it.</w:t>
      </w:r>
      <w:r>
        <w:t xml:space="preserve"> </w:t>
      </w:r>
      <w:hyperlink w:anchor="results">
        <w:r>
          <w:rPr>
            <w:rStyle w:val="Hyperlink"/>
          </w:rPr>
          <w:t xml:space="preserve">Results</w:t>
        </w:r>
      </w:hyperlink>
      <w:r>
        <w:t xml:space="preserve"> </w:t>
      </w:r>
      <w:r>
        <w:t xml:space="preserve">and</w:t>
      </w:r>
      <w:r>
        <w:t xml:space="preserve"> </w:t>
      </w:r>
      <w:hyperlink w:anchor="robustness-and-additional-analyses">
        <w:r>
          <w:rPr>
            <w:rStyle w:val="Hyperlink"/>
          </w:rPr>
          <w:t xml:space="preserve">Robustness and Additional Analyses</w:t>
        </w:r>
      </w:hyperlink>
      <w:r>
        <w:t xml:space="preserve"> </w:t>
      </w:r>
      <w:r>
        <w:t xml:space="preserve">report the findings, including a</w:t>
      </w:r>
      <w:r>
        <w:t xml:space="preserve"> </w:t>
      </w:r>
      <w:r>
        <w:t xml:space="preserve">concise summary of a calibrated statistical-power analysis.</w:t>
      </w:r>
      <w:r>
        <w:t xml:space="preserve"> </w:t>
      </w:r>
      <w:hyperlink w:anchor="discussion">
        <w:r>
          <w:rPr>
            <w:rStyle w:val="Hyperlink"/>
          </w:rPr>
          <w:t xml:space="preserve">Discussion</w:t>
        </w:r>
      </w:hyperlink>
      <w:r>
        <w:t xml:space="preserve"> </w:t>
      </w:r>
      <w:r>
        <w:t xml:space="preserve">interprets the null/weak spatial result economically,</w:t>
      </w:r>
      <w:r>
        <w:t xml:space="preserve"> </w:t>
      </w:r>
      <w:hyperlink w:anchor="limitations">
        <w:r>
          <w:rPr>
            <w:rStyle w:val="Hyperlink"/>
          </w:rPr>
          <w:t xml:space="preserve">Limitations</w:t>
        </w:r>
      </w:hyperlink>
      <w:r>
        <w:t xml:space="preserve"> </w:t>
      </w:r>
      <w:r>
        <w:t xml:space="preserve">states</w:t>
      </w:r>
      <w:r>
        <w:t xml:space="preserve"> </w:t>
      </w:r>
      <w:r>
        <w:t xml:space="preserve">what this analysis cannot establish – including what magnitude of spatial</w:t>
      </w:r>
      <w:r>
        <w:t xml:space="preserve"> </w:t>
      </w:r>
      <w:r>
        <w:t xml:space="preserve">effect the available 13-region panel could and could not have reliably</w:t>
      </w:r>
      <w:r>
        <w:t xml:space="preserve"> </w:t>
      </w:r>
      <w:r>
        <w:t xml:space="preserve">detected – and</w:t>
      </w:r>
      <w:r>
        <w:t xml:space="preserve"> </w:t>
      </w:r>
      <w:hyperlink w:anchor="future-research">
        <w:r>
          <w:rPr>
            <w:rStyle w:val="Hyperlink"/>
          </w:rPr>
          <w:t xml:space="preserve">Future Research</w:t>
        </w:r>
      </w:hyperlink>
      <w:r>
        <w:t xml:space="preserve"> </w:t>
      </w:r>
      <w:r>
        <w:t xml:space="preserve">sets out a sequential agenda for</w:t>
      </w:r>
      <w:r>
        <w:t xml:space="preserve"> </w:t>
      </w:r>
      <w:r>
        <w:t xml:space="preserve">resolving what remains open. The project’s original exploratory analysis</w:t>
      </w:r>
      <w:r>
        <w:t xml:space="preserve"> </w:t>
      </w:r>
      <w:r>
        <w:t xml:space="preserve">(correlation structure, static Moran’s I, and Local Indicators of Spatial</w:t>
      </w:r>
      <w:r>
        <w:t xml:space="preserve"> </w:t>
      </w:r>
      <w:r>
        <w:t xml:space="preserve">Association) is retained in full in Appendix A for transparency, clearly</w:t>
      </w:r>
      <w:r>
        <w:t xml:space="preserve"> </w:t>
      </w:r>
      <w:r>
        <w:t xml:space="preserve">marked as preliminary and superseded in its interpretation by the</w:t>
      </w:r>
      <w:r>
        <w:t xml:space="preserve"> </w:t>
      </w:r>
      <w:r>
        <w:t xml:space="preserve">confirmatory analysis that follows; the full statistical-power/</w:t>
      </w:r>
      <w:r>
        <w:t xml:space="preserve"> </w:t>
      </w:r>
      <w:r>
        <w:t xml:space="preserve">minimum-detectable-effect analysis is in Appendix B.</w:t>
      </w:r>
    </w:p>
    <w:bookmarkEnd w:id="14"/>
    <w:bookmarkStart w:id="15" w:name="literature-review"/>
    <w:p>
      <w:pPr>
        <w:pStyle w:val="Heading2"/>
      </w:pPr>
      <w:r>
        <w:t xml:space="preserve">Literature Review</w:t>
      </w:r>
    </w:p>
    <w:p>
      <w:pPr>
        <w:pStyle w:val="FirstParagraph"/>
      </w:pPr>
      <w:r>
        <w:rPr>
          <w:b/>
          <w:bCs/>
        </w:rPr>
        <w:t xml:space="preserve">Common versus regional/local inflation factors.</w:t>
      </w:r>
      <w:r>
        <w:t xml:space="preserve"> </w:t>
      </w:r>
      <w:r>
        <w:t xml:space="preserve">Ciccarelli and Mojon</w:t>
      </w:r>
      <w:r>
        <w:t xml:space="preserve"> </w:t>
      </w:r>
      <w:r>
        <w:t xml:space="preserve">(2010) show, using a dynamic factor model across 22 OECD economies, that a</w:t>
      </w:r>
      <w:r>
        <w:t xml:space="preserve"> </w:t>
      </w:r>
      <w:r>
        <w:t xml:space="preserve">single common global inflation factor accounts for roughly 70% of the</w:t>
      </w:r>
      <w:r>
        <w:t xml:space="preserve"> </w:t>
      </w:r>
      <w:r>
        <w:t xml:space="preserve">cross-country variance in inflation, with national rates exhibiting a robust</w:t>
      </w:r>
      <w:r>
        <w:t xml:space="preserve"> </w:t>
      </w:r>
      <w:r>
        <w:t xml:space="preserve">error-correction pull back toward that common factor. This motivates treating</w:t>
      </w:r>
      <w:r>
        <w:t xml:space="preserve"> </w:t>
      </w:r>
      <w:r>
        <w:t xml:space="preserve">a strong common time-varying component – month fixed effects, in a panel</w:t>
      </w:r>
      <w:r>
        <w:t xml:space="preserve"> </w:t>
      </w:r>
      <w:r>
        <w:t xml:space="preserve">setting – as the natural first-order explanation for co-movement across</w:t>
      </w:r>
      <w:r>
        <w:t xml:space="preserve"> </w:t>
      </w:r>
      <w:r>
        <w:t xml:space="preserve">cross-sectional units before invoking direct inter-unit transmission.</w:t>
      </w:r>
    </w:p>
    <w:p>
      <w:pPr>
        <w:pStyle w:val="BodyText"/>
      </w:pPr>
      <w:r>
        <w:rPr>
          <w:b/>
          <w:bCs/>
        </w:rPr>
        <w:t xml:space="preserve">Spatial and space-time models of regional inflation.</w:t>
      </w:r>
      <w:r>
        <w:t xml:space="preserve"> </w:t>
      </w:r>
      <w:r>
        <w:t xml:space="preserve">Marques, Pino, and</w:t>
      </w:r>
      <w:r>
        <w:t xml:space="preserve"> </w:t>
      </w:r>
      <w:r>
        <w:t xml:space="preserve">Tena study regional inflation dynamics using space-time models applied to</w:t>
      </w:r>
      <w:r>
        <w:t xml:space="preserve"> </w:t>
      </w:r>
      <w:r>
        <w:t xml:space="preserve">Chilean regional price data, finding that spatial allocation of producers and</w:t>
      </w:r>
      <w:r>
        <w:t xml:space="preserve"> </w:t>
      </w:r>
      <w:r>
        <w:t xml:space="preserve">transport costs, rather than macroeconomic common factors alone, help explain</w:t>
      </w:r>
      <w:r>
        <w:t xml:space="preserve"> </w:t>
      </w:r>
      <w:r>
        <w:t xml:space="preserve">regional inflation divergence for a set of tradable commodities. Elhorst</w:t>
      </w:r>
      <w:r>
        <w:t xml:space="preserve"> </w:t>
      </w:r>
      <w:r>
        <w:t xml:space="preserve">(2017) provides the standard methodological reference for spatial panel data</w:t>
      </w:r>
      <w:r>
        <w:t xml:space="preserve"> </w:t>
      </w:r>
      <w:r>
        <w:t xml:space="preserve">models – static and dynamic specifications, spatial weight matrix</w:t>
      </w:r>
      <w:r>
        <w:t xml:space="preserve"> </w:t>
      </w:r>
      <w:r>
        <w:t xml:space="preserve">construction, and the estimators (including bias-corrected and</w:t>
      </w:r>
      <w:r>
        <w:t xml:space="preserve"> </w:t>
      </w:r>
      <w:r>
        <w:t xml:space="preserve">robust-inference variants) that this project’s spatial-lag and</w:t>
      </w:r>
      <w:r>
        <w:t xml:space="preserve"> </w:t>
      </w:r>
      <w:r>
        <w:t xml:space="preserve">Driscoll-Kraay-based approach draws on conceptually.</w:t>
      </w:r>
    </w:p>
    <w:p>
      <w:pPr>
        <w:pStyle w:val="BodyText"/>
      </w:pPr>
      <w:r>
        <w:rPr>
          <w:b/>
          <w:bCs/>
        </w:rPr>
        <w:t xml:space="preserve">Inflation spillover transmission mechanisms.</w:t>
      </w:r>
      <w:r>
        <w:t xml:space="preserve"> </w:t>
      </w:r>
      <w:r>
        <w:t xml:space="preserve">Auer, Levchenko, and Sauré</w:t>
      </w:r>
      <w:r>
        <w:t xml:space="preserve"> </w:t>
      </w:r>
      <w:r>
        <w:t xml:space="preserve">(2017) show, using international input-output linkages, that supply-chain</w:t>
      </w:r>
      <w:r>
        <w:t xml:space="preserve"> </w:t>
      </w:r>
      <w:r>
        <w:t xml:space="preserve">connections account for roughly half of the global component of producer-price</w:t>
      </w:r>
      <w:r>
        <w:t xml:space="preserve"> </w:t>
      </w:r>
      <w:r>
        <w:t xml:space="preserve">inflation transmission across countries – evidence that spillover channels,</w:t>
      </w:r>
      <w:r>
        <w:t xml:space="preserve"> </w:t>
      </w:r>
      <w:r>
        <w:t xml:space="preserve">where they exist, typically operate through identifiable structural</w:t>
      </w:r>
      <w:r>
        <w:t xml:space="preserve"> </w:t>
      </w:r>
      <w:r>
        <w:t xml:space="preserve">linkages (trade, supply chains) rather than through geographic proximity</w:t>
      </w:r>
      <w:r>
        <w:t xml:space="preserve"> </w:t>
      </w:r>
      <w:r>
        <w:t xml:space="preserve">alone.</w:t>
      </w:r>
    </w:p>
    <w:p>
      <w:pPr>
        <w:pStyle w:val="BodyText"/>
      </w:pPr>
      <w:r>
        <w:rPr>
          <w:b/>
          <w:bCs/>
        </w:rPr>
        <w:t xml:space="preserve">Saudi Arabia and GCC-specific evidence.</w:t>
      </w:r>
      <w:r>
        <w:t xml:space="preserve"> </w:t>
      </w:r>
      <w:r>
        <w:t xml:space="preserve">Hasan and Alogeel (2008), in an</w:t>
      </w:r>
      <w:r>
        <w:t xml:space="preserve"> </w:t>
      </w:r>
      <w:r>
        <w:t xml:space="preserve">IMF working paper on Saudi Arabia and Kuwait, find that inflation in both</w:t>
      </w:r>
      <w:r>
        <w:t xml:space="preserve"> </w:t>
      </w:r>
      <w:r>
        <w:t xml:space="preserve">countries is driven mainly by trading-partner inflation in the long run</w:t>
      </w:r>
      <w:r>
        <w:t xml:space="preserve"> </w:t>
      </w:r>
      <w:r>
        <w:t xml:space="preserve">(consistent with the GCC currencies’ pegs and high import shares), with</w:t>
      </w:r>
      <w:r>
        <w:t xml:space="preserve"> </w:t>
      </w:r>
      <w:r>
        <w:t xml:space="preserve">domestic demand and money-supply shocks affecting inflation mainly in the</w:t>
      </w:r>
      <w:r>
        <w:t xml:space="preserve"> </w:t>
      </w:r>
      <w:r>
        <w:t xml:space="preserve">short run and oil prices and exchange-rate pass-through playing a smaller</w:t>
      </w:r>
      <w:r>
        <w:t xml:space="preserve"> </w:t>
      </w:r>
      <w:r>
        <w:t xml:space="preserve">role. More recently, Fareed, Rezghi, and Sandoz (2023), using a Global Vector</w:t>
      </w:r>
      <w:r>
        <w:t xml:space="preserve"> </w:t>
      </w:r>
      <w:r>
        <w:t xml:space="preserve">Autoregressive model over 1987-2022, find that external factors – imported</w:t>
      </w:r>
      <w:r>
        <w:t xml:space="preserve"> </w:t>
      </w:r>
      <w:r>
        <w:t xml:space="preserve">inflation from major trading partners and the nominal effective exchange</w:t>
      </w:r>
      <w:r>
        <w:t xml:space="preserve"> </w:t>
      </w:r>
      <w:r>
        <w:t xml:space="preserve">rate – remain the dominant drivers of GCC inflation. Neither study models</w:t>
      </w:r>
      <w:r>
        <w:t xml:space="preserve"> </w:t>
      </w:r>
      <w:r>
        <w:t xml:space="preserve">sub-national (regional) spatial dependence within a GCC country; this is, to</w:t>
      </w:r>
      <w:r>
        <w:t xml:space="preserve"> </w:t>
      </w:r>
      <w:r>
        <w:t xml:space="preserve">our knowledge, the first systematic dynamic-panel spatial-dependence test at</w:t>
      </w:r>
      <w:r>
        <w:t xml:space="preserve"> </w:t>
      </w:r>
      <w:r>
        <w:t xml:space="preserve">the Saudi administrative-region level.</w:t>
      </w:r>
    </w:p>
    <w:p>
      <w:pPr>
        <w:pStyle w:val="BodyText"/>
      </w:pPr>
      <w:r>
        <w:rPr>
          <w:b/>
          <w:bCs/>
        </w:rPr>
        <w:t xml:space="preserve">How this study differs.</w:t>
      </w:r>
      <w:r>
        <w:t xml:space="preserve"> </w:t>
      </w:r>
      <w:r>
        <w:t xml:space="preserve">The literature above establishes two things this</w:t>
      </w:r>
      <w:r>
        <w:t xml:space="preserve"> </w:t>
      </w:r>
      <w:r>
        <w:t xml:space="preserve">paper’s design takes as its starting point: (i) a strong common national/</w:t>
      </w:r>
      <w:r>
        <w:t xml:space="preserve"> </w:t>
      </w:r>
      <w:r>
        <w:t xml:space="preserve">global time component is the expected primary driver of co-movement (Ciccarelli</w:t>
      </w:r>
      <w:r>
        <w:t xml:space="preserve"> </w:t>
      </w:r>
      <w:r>
        <w:t xml:space="preserve">&amp; Mojon), and (ii) Saudi inflation specifically is understood to be driven</w:t>
      </w:r>
      <w:r>
        <w:t xml:space="preserve"> </w:t>
      </w:r>
      <w:r>
        <w:t xml:space="preserve">substantially by external and national factors rather than domestic regional</w:t>
      </w:r>
      <w:r>
        <w:t xml:space="preserve"> </w:t>
      </w:r>
      <w:r>
        <w:t xml:space="preserve">interaction (Hasan &amp; Alogeel; Fareed, Rezghi &amp; Sandoz). Against that backdrop,</w:t>
      </w:r>
      <w:r>
        <w:t xml:space="preserve"> </w:t>
      </w:r>
      <w:r>
        <w:t xml:space="preserve">this paper’s contribution is a direct, multi-horizon, multiply-corrected test</w:t>
      </w:r>
      <w:r>
        <w:t xml:space="preserve"> </w:t>
      </w:r>
      <w:r>
        <w:t xml:space="preserve">of whether</w:t>
      </w:r>
      <w:r>
        <w:t xml:space="preserve"> </w:t>
      </w:r>
      <w:r>
        <w:rPr>
          <w:i/>
          <w:iCs/>
        </w:rPr>
        <w:t xml:space="preserve">any</w:t>
      </w:r>
      <w:r>
        <w:t xml:space="preserve"> </w:t>
      </w:r>
      <w:r>
        <w:t xml:space="preserve">residual regional spatial predictive dependence remains once</w:t>
      </w:r>
      <w:r>
        <w:t xml:space="preserve"> </w:t>
      </w:r>
      <w:r>
        <w:t xml:space="preserve">common temporal variation (captured statistically via month fixed effects,</w:t>
      </w:r>
      <w:r>
        <w:t xml:space="preserve"> </w:t>
      </w:r>
      <w:r>
        <w:t xml:space="preserve">without asserting a specific identified mechanism) and each region’s own</w:t>
      </w:r>
      <w:r>
        <w:t xml:space="preserve"> </w:t>
      </w:r>
      <w:r>
        <w:t xml:space="preserve">persistence (own-lags) are accounted for – rather than an assumption, in</w:t>
      </w:r>
      <w:r>
        <w:t xml:space="preserve"> </w:t>
      </w:r>
      <w:r>
        <w:t xml:space="preserve">either direction, about what that test would find.</w:t>
      </w:r>
    </w:p>
    <w:bookmarkEnd w:id="15"/>
    <w:bookmarkStart w:id="16" w:name="data-and-variable-construction"/>
    <w:p>
      <w:pPr>
        <w:pStyle w:val="Heading2"/>
      </w:pPr>
      <w:r>
        <w:t xml:space="preserve">Data and Variable Construction</w:t>
      </w:r>
    </w:p>
    <w:p>
      <w:pPr>
        <w:pStyle w:val="TableCaption"/>
      </w:pPr>
      <w:r>
        <w:t xml:space="preserve">Table 1. Data and panel structure (MAKANI v2 canonical panel).</w:t>
      </w:r>
    </w:p>
    <w:tbl>
      <w:tblPr>
        <w:tblStyle w:val="Table"/>
        <w:tblW w:type="pct" w:w="5000"/>
        <w:tblLayout w:type="fixed"/>
        <w:tblLook w:firstRow="1" w:lastRow="0" w:firstColumn="0" w:lastColumn="0" w:noHBand="0" w:noVBand="0" w:val="0020"/>
        <w:tblCaption w:val="Table 1. Data and panel structure (MAKANI v2 canonical panel)."/>
      </w:tblPr>
      <w:tblGrid>
        <w:gridCol w:w="3096"/>
        <w:gridCol w:w="4824"/>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Source</w:t>
            </w:r>
          </w:p>
        </w:tc>
        <w:tc>
          <w:tcPr/>
          <w:p>
            <w:pPr>
              <w:pStyle w:val="Compact"/>
              <w:jc w:val="left"/>
            </w:pPr>
            <w:r>
              <w:t xml:space="preserve">GASTAT (General Authority for Statistics, Saudi Arabia)</w:t>
            </w:r>
          </w:p>
        </w:tc>
      </w:tr>
      <w:tr>
        <w:tc>
          <w:tcPr/>
          <w:p>
            <w:pPr>
              <w:pStyle w:val="Compact"/>
              <w:jc w:val="left"/>
            </w:pPr>
            <w:r>
              <w:t xml:space="preserve">Base year</w:t>
            </w:r>
          </w:p>
        </w:tc>
        <w:tc>
          <w:tcPr/>
          <w:p>
            <w:pPr>
              <w:pStyle w:val="Compact"/>
              <w:jc w:val="left"/>
            </w:pPr>
            <w:r>
              <w:t xml:space="preserve">2023 = 100</w:t>
            </w:r>
          </w:p>
        </w:tc>
      </w:tr>
      <w:tr>
        <w:tc>
          <w:tcPr/>
          <w:p>
            <w:pPr>
              <w:pStyle w:val="Compact"/>
              <w:jc w:val="left"/>
            </w:pPr>
            <w:r>
              <w:t xml:space="preserve">Frequency</w:t>
            </w:r>
          </w:p>
        </w:tc>
        <w:tc>
          <w:tcPr/>
          <w:p>
            <w:pPr>
              <w:pStyle w:val="Compact"/>
              <w:jc w:val="left"/>
            </w:pPr>
            <w:r>
              <w:t xml:space="preserve">Monthly</w:t>
            </w:r>
          </w:p>
        </w:tc>
      </w:tr>
      <w:tr>
        <w:tc>
          <w:tcPr/>
          <w:p>
            <w:pPr>
              <w:pStyle w:val="Compact"/>
              <w:jc w:val="left"/>
            </w:pPr>
            <w:r>
              <w:t xml:space="preserve">Regions</w:t>
            </w:r>
          </w:p>
        </w:tc>
        <w:tc>
          <w:tcPr/>
          <w:p>
            <w:pPr>
              <w:pStyle w:val="Compact"/>
              <w:jc w:val="left"/>
            </w:pPr>
            <w:r>
              <w:t xml:space="preserve">13</w:t>
            </w:r>
          </w:p>
        </w:tc>
      </w:tr>
      <w:tr>
        <w:tc>
          <w:tcPr/>
          <w:p>
            <w:pPr>
              <w:pStyle w:val="Compact"/>
              <w:jc w:val="left"/>
            </w:pPr>
            <w:r>
              <w:t xml:space="preserve">Date range</w:t>
            </w:r>
          </w:p>
        </w:tc>
        <w:tc>
          <w:tcPr/>
          <w:p>
            <w:pPr>
              <w:pStyle w:val="Compact"/>
              <w:jc w:val="left"/>
            </w:pPr>
            <w:r>
              <w:t xml:space="preserve">2013-01-01 to 2026-02-01</w:t>
            </w:r>
          </w:p>
        </w:tc>
      </w:tr>
      <w:tr>
        <w:tc>
          <w:tcPr/>
          <w:p>
            <w:pPr>
              <w:pStyle w:val="Compact"/>
              <w:jc w:val="left"/>
            </w:pPr>
            <w:r>
              <w:t xml:space="preserve">Total panel rows (region x month)</w:t>
            </w:r>
          </w:p>
        </w:tc>
        <w:tc>
          <w:tcPr/>
          <w:p>
            <w:pPr>
              <w:pStyle w:val="Compact"/>
              <w:jc w:val="left"/>
            </w:pPr>
            <w:r>
              <w:t xml:space="preserve">2054</w:t>
            </w:r>
          </w:p>
        </w:tc>
      </w:tr>
      <w:tr>
        <w:tc>
          <w:tcPr/>
          <w:p>
            <w:pPr>
              <w:pStyle w:val="Compact"/>
              <w:jc w:val="left"/>
            </w:pPr>
            <w:r>
              <w:t xml:space="preserve">Inflation definition</w:t>
            </w:r>
          </w:p>
        </w:tc>
        <w:tc>
          <w:tcPr/>
          <w:p>
            <w:pPr>
              <w:pStyle w:val="Compact"/>
              <w:jc w:val="left"/>
            </w:pPr>
            <w:r>
              <w:t xml:space="preserve">inflation_mom_it = 100 x [ln(CPI_it) - ln(CPI_i,t-1)]</w:t>
            </w:r>
          </w:p>
        </w:tc>
      </w:tr>
      <w:tr>
        <w:tc>
          <w:tcPr/>
          <w:p>
            <w:pPr>
              <w:pStyle w:val="Compact"/>
              <w:jc w:val="left"/>
            </w:pPr>
            <w:r>
              <w:t xml:space="preserve">Structural lag missingness (inflation_mom)</w:t>
            </w:r>
          </w:p>
        </w:tc>
        <w:tc>
          <w:tcPr/>
          <w:p>
            <w:pPr>
              <w:pStyle w:val="Compact"/>
              <w:jc w:val="left"/>
            </w:pPr>
            <w:r>
              <w:t xml:space="preserve">13 rows (one per region, the structurally unavailable first month)</w:t>
            </w:r>
          </w:p>
        </w:tc>
      </w:tr>
    </w:tbl>
    <w:p>
      <w:pPr>
        <w:pStyle w:val="BodyText"/>
      </w:pPr>
      <w:r>
        <w:t xml:space="preserve">The panel is built by</w:t>
      </w:r>
      <w:r>
        <w:t xml:space="preserve"> </w:t>
      </w:r>
      <w:r>
        <w:rPr>
          <w:rStyle w:val="VerbatimChar"/>
        </w:rPr>
        <w:t xml:space="preserve">scripts/09_panel_build.R</w:t>
      </w:r>
      <w:r>
        <w:t xml:space="preserve"> </w:t>
      </w:r>
      <w:r>
        <w:t xml:space="preserve">(frozen</w:t>
      </w:r>
      <w:r>
        <w:t xml:space="preserve"> </w:t>
      </w:r>
      <w:r>
        <w:rPr>
          <w:rStyle w:val="VerbatimChar"/>
        </w:rPr>
        <w:t xml:space="preserve">region_id</w:t>
      </w:r>
      <w:r>
        <w:t xml:space="preserve"> </w:t>
      </w:r>
      <w:r>
        <w:t xml:space="preserve">registry,</w:t>
      </w:r>
      <w:r>
        <w:t xml:space="preserve"> </w:t>
      </w:r>
      <w:r>
        <w:t xml:space="preserve">immutable across every subsequent stage) and validated by</w:t>
      </w:r>
      <w:r>
        <w:t xml:space="preserve"> </w:t>
      </w:r>
      <w:r>
        <w:rPr>
          <w:rStyle w:val="VerbatimChar"/>
        </w:rPr>
        <w:t xml:space="preserve">scripts/10_panel_validation.R</w:t>
      </w:r>
      <w:r>
        <w:t xml:space="preserve"> </w:t>
      </w:r>
      <w:r>
        <w:t xml:space="preserve">and a 177-expectation</w:t>
      </w:r>
      <w:r>
        <w:t xml:space="preserve"> </w:t>
      </w:r>
      <w:r>
        <w:rPr>
          <w:rStyle w:val="VerbatimChar"/>
        </w:rPr>
        <w:t xml:space="preserve">testthat</w:t>
      </w:r>
      <w:r>
        <w:t xml:space="preserve"> </w:t>
      </w:r>
      <w:r>
        <w:t xml:space="preserve">suite. It is</w:t>
      </w:r>
      <w:r>
        <w:t xml:space="preserve"> </w:t>
      </w:r>
      <w:r>
        <w:t xml:space="preserve">distinct from, and does not modify, the project’s frozen v1.0 exploratory</w:t>
      </w:r>
      <w:r>
        <w:t xml:space="preserve"> </w:t>
      </w:r>
      <w:r>
        <w:t xml:space="preserve">baseline (</w:t>
      </w:r>
      <w:r>
        <w:rPr>
          <w:rStyle w:val="VerbatimChar"/>
        </w:rPr>
        <w:t xml:space="preserve">baseline/v1.0/</w:t>
      </w:r>
      <w:r>
        <w:t xml:space="preserve">, tag</w:t>
      </w:r>
      <w:r>
        <w:t xml:space="preserve"> </w:t>
      </w:r>
      <w:r>
        <w:rPr>
          <w:rStyle w:val="VerbatimChar"/>
        </w:rPr>
        <w:t xml:space="preserve">baseline-v1.0</w:t>
      </w:r>
      <w:r>
        <w:t xml:space="preserve">). No national CPI series is</w:t>
      </w:r>
      <w:r>
        <w:t xml:space="preserve"> </w:t>
      </w:r>
      <w:r>
        <w:t xml:space="preserve">fabricated: MAKANI does not average regional CPI into a national figure</w:t>
      </w:r>
      <w:r>
        <w:t xml:space="preserve"> </w:t>
      </w:r>
      <w:r>
        <w:t xml:space="preserve">anywhere in the confirmatory analysis; where a cross-sectional average is</w:t>
      </w:r>
      <w:r>
        <w:t xml:space="preserve"> </w:t>
      </w:r>
      <w:r>
        <w:t xml:space="preserve">used as a diagnostic input (e.g. the national/common inflation series in the</w:t>
      </w:r>
      <w:r>
        <w:t xml:space="preserve"> </w:t>
      </w:r>
      <w:r>
        <w:t xml:space="preserve">nonlinear and structural-shock stages), it is clearly labelled as such, not</w:t>
      </w:r>
      <w:r>
        <w:t xml:space="preserve"> </w:t>
      </w:r>
      <w:r>
        <w:t xml:space="preserve">presented as an official national statistic.</w:t>
      </w:r>
    </w:p>
    <w:p>
      <w:pPr>
        <w:pStyle w:val="BodyText"/>
      </w:pPr>
      <w:r>
        <w:t xml:space="preserve">Two lag variables are constructed for every region-month, from the same</w:t>
      </w:r>
      <w:r>
        <w:t xml:space="preserve"> </w:t>
      </w:r>
      <w:r>
        <w:t xml:space="preserve">strictly time-indexed (not row-position-indexed) lookup:</w:t>
      </w:r>
      <w:r>
        <w:t xml:space="preserve"> </w:t>
      </w:r>
      <w:r>
        <w:rPr>
          <w:b/>
          <w:bCs/>
        </w:rPr>
        <w:t xml:space="preserve">own-region lags</w:t>
      </w:r>
      <w:r>
        <w:t xml:space="preserve"> </w:t>
      </w:r>
      <w:r>
        <w:t xml:space="preserve">(</w:t>
      </w:r>
      <w:r>
        <w:rPr>
          <w:rStyle w:val="VerbatimChar"/>
        </w:rPr>
        <w:t xml:space="preserve">own_lag_k</w:t>
      </w:r>
      <w:r>
        <w:t xml:space="preserve">, the region’s own inflation</w:t>
      </w:r>
      <w:r>
        <w:t xml:space="preserve"> </w:t>
      </w:r>
      <w:r>
        <w:rPr>
          <w:rStyle w:val="VerbatimChar"/>
        </w:rPr>
        <w:t xml:space="preserve">k</w:t>
      </w:r>
      <w:r>
        <w:t xml:space="preserve"> </w:t>
      </w:r>
      <w:r>
        <w:t xml:space="preserve">months earlier) and</w:t>
      </w:r>
      <w:r>
        <w:t xml:space="preserve"> </w:t>
      </w:r>
      <w:r>
        <w:rPr>
          <w:b/>
          <w:bCs/>
        </w:rPr>
        <w:t xml:space="preserve">spatial</w:t>
      </w:r>
      <w:r>
        <w:rPr>
          <w:b/>
          <w:bCs/>
        </w:rPr>
        <w:t xml:space="preserve"> </w:t>
      </w:r>
      <w:r>
        <w:rPr>
          <w:b/>
          <w:bCs/>
        </w:rPr>
        <w:t xml:space="preserve">lags</w:t>
      </w:r>
      <w:r>
        <w:t xml:space="preserve"> </w:t>
      </w:r>
      <w:r>
        <w:t xml:space="preserve">(</w:t>
      </w:r>
      <w:r>
        <w:rPr>
          <w:rStyle w:val="VerbatimChar"/>
        </w:rPr>
        <w:t xml:space="preserve">w_lag_k</w:t>
      </w:r>
      <w:r>
        <w:t xml:space="preserve">, the row-standardized Queen-contiguity-weighted average of</w:t>
      </w:r>
      <w:r>
        <w:t xml:space="preserve"> </w:t>
      </w:r>
      <w:r>
        <w:t xml:space="preserve">neighbouring regions’ inflation</w:t>
      </w:r>
      <w:r>
        <w:t xml:space="preserve"> </w:t>
      </w:r>
      <w:r>
        <w:rPr>
          <w:rStyle w:val="VerbatimChar"/>
        </w:rPr>
        <w:t xml:space="preserve">k</w:t>
      </w:r>
      <w:r>
        <w:t xml:space="preserve"> </w:t>
      </w:r>
      <w:r>
        <w:t xml:space="preserve">months earlier). Both are constructed to</w:t>
      </w:r>
      <w:r>
        <w:t xml:space="preserve"> </w:t>
      </w:r>
      <w:r>
        <w:t xml:space="preserve">guarantee no future-information leakage – a lag is available only when the</w:t>
      </w:r>
      <w:r>
        <w:t xml:space="preserve"> </w:t>
      </w:r>
      <w:r>
        <w:t xml:space="preserve">underlying calendar month actually precedes the observation by exactly</w:t>
      </w:r>
      <w:r>
        <w:t xml:space="preserve"> </w:t>
      </w:r>
      <w:r>
        <w:rPr>
          <w:rStyle w:val="VerbatimChar"/>
        </w:rPr>
        <w:t xml:space="preserve">k</w:t>
      </w:r>
      <w:r>
        <w:t xml:space="preserve"> </w:t>
      </w:r>
      <w:r>
        <w:t xml:space="preserve">months.</w:t>
      </w:r>
    </w:p>
    <w:bookmarkEnd w:id="16"/>
    <w:bookmarkStart w:id="17" w:name="empirical-strategy"/>
    <w:p>
      <w:pPr>
        <w:pStyle w:val="Heading2"/>
      </w:pPr>
      <w:r>
        <w:t xml:space="preserve">Empirical Strategy</w:t>
      </w:r>
    </w:p>
    <w:p>
      <w:pPr>
        <w:pStyle w:val="FirstParagraph"/>
      </w:pPr>
      <w:r>
        <w:t xml:space="preserve">The final empirical specification, retained after the full robustness</w:t>
      </w:r>
      <w:r>
        <w:t xml:space="preserve"> </w:t>
      </w:r>
      <w:r>
        <w:t xml:space="preserve">sequence described below (Stage 18, commit</w:t>
      </w:r>
      <w:r>
        <w:t xml:space="preserve"> </w:t>
      </w:r>
      <w:r>
        <w:rPr>
          <w:rStyle w:val="VerbatimChar"/>
        </w:rPr>
        <w:t xml:space="preserve">5565b1a</w:t>
      </w:r>
      <w:r>
        <w:t xml:space="preserve">), is a dynamic two-way</w:t>
      </w:r>
      <w:r>
        <w:t xml:space="preserve"> </w:t>
      </w:r>
      <w:r>
        <w:t xml:space="preserve">fixed-effects panel model:</w:t>
      </w:r>
    </w:p>
    <w:p>
      <w:pPr>
        <w:pStyle w:val="BodyText"/>
      </w:pPr>
      <m:oMathPara>
        <m:oMathParaPr>
          <m:jc m:val="center"/>
        </m:oMathParaPr>
        <m:oMath>
          <m:sSub>
            <m:e>
              <m:r>
                <m:t>π</m:t>
              </m:r>
            </m:e>
            <m:sub>
              <m:r>
                <m:t>i</m:t>
              </m:r>
              <m:r>
                <m:t>t</m:t>
              </m:r>
            </m:sub>
          </m:sSub>
          <m:r>
            <m:rPr>
              <m:sty m:val="p"/>
            </m:rPr>
            <m:t>=</m:t>
          </m:r>
          <m:sSub>
            <m:e>
              <m:r>
                <m:t>α</m:t>
              </m:r>
            </m:e>
            <m:sub>
              <m:r>
                <m:t>i</m:t>
              </m:r>
            </m:sub>
          </m:sSub>
          <m:r>
            <m:rPr>
              <m:sty m:val="p"/>
            </m:rPr>
            <m:t>+</m:t>
          </m:r>
          <m:sSub>
            <m:e>
              <m:r>
                <m:t>τ</m:t>
              </m:r>
            </m:e>
            <m:sub>
              <m:r>
                <m:t>t</m:t>
              </m:r>
            </m:sub>
          </m:sSub>
          <m:r>
            <m:rPr>
              <m:sty m:val="p"/>
            </m:rPr>
            <m:t>+</m:t>
          </m:r>
          <m:nary>
            <m:naryPr>
              <m:chr m:val="∑"/>
              <m:limLoc m:val="undOvr"/>
              <m:subHide m:val="off"/>
              <m:supHide m:val="off"/>
            </m:naryPr>
            <m:sub>
              <m:r>
                <m:t>k</m:t>
              </m:r>
              <m:r>
                <m:rPr>
                  <m:sty m:val="p"/>
                </m:rPr>
                <m:t>=</m:t>
              </m:r>
              <m:r>
                <m:t>1</m:t>
              </m:r>
            </m:sub>
            <m:sup>
              <m:r>
                <m:t>3</m:t>
              </m:r>
            </m:sup>
            <m:e>
              <m:sSub>
                <m:e>
                  <m:r>
                    <m:t>ϕ</m:t>
                  </m:r>
                </m:e>
                <m:sub>
                  <m:r>
                    <m:t>k</m:t>
                  </m:r>
                </m:sub>
              </m:sSub>
            </m:e>
          </m:nary>
          <m:r>
            <m:t> </m:t>
          </m:r>
          <m:sSub>
            <m:e>
              <m:r>
                <m:t>π</m:t>
              </m:r>
            </m:e>
            <m:sub>
              <m:r>
                <m:t>i</m:t>
              </m:r>
              <m:r>
                <m:rPr>
                  <m:sty m:val="p"/>
                </m:rPr>
                <m:t>,</m:t>
              </m:r>
              <m:r>
                <m:t>t</m:t>
              </m:r>
              <m:r>
                <m:rPr>
                  <m:sty m:val="p"/>
                </m:rPr>
                <m:t>−</m:t>
              </m:r>
              <m:r>
                <m:t>k</m:t>
              </m:r>
            </m:sub>
          </m:sSub>
          <m:r>
            <m:rPr>
              <m:sty m:val="p"/>
            </m:rPr>
            <m:t>+</m:t>
          </m:r>
          <m:nary>
            <m:naryPr>
              <m:chr m:val="∑"/>
              <m:limLoc m:val="undOvr"/>
              <m:subHide m:val="off"/>
              <m:supHide m:val="off"/>
            </m:naryPr>
            <m:sub>
              <m:r>
                <m:t>k</m:t>
              </m:r>
              <m:r>
                <m:rPr>
                  <m:sty m:val="p"/>
                </m:rPr>
                <m:t>=</m:t>
              </m:r>
              <m:r>
                <m:t>1</m:t>
              </m:r>
            </m:sub>
            <m:sup>
              <m:r>
                <m:t>3</m:t>
              </m:r>
            </m:sup>
            <m:e>
              <m:sSub>
                <m:e>
                  <m:r>
                    <m:t>θ</m:t>
                  </m:r>
                </m:e>
                <m:sub>
                  <m:r>
                    <m:t>k</m:t>
                  </m:r>
                </m:sub>
              </m:sSub>
            </m:e>
          </m:nary>
          <m:r>
            <m:t> </m:t>
          </m:r>
          <m:r>
            <m:rPr>
              <m:sty m:val="p"/>
            </m:rPr>
            <m:t>(</m:t>
          </m:r>
          <m:r>
            <m:t>W</m:t>
          </m:r>
          <m:sSub>
            <m:e>
              <m:r>
                <m:t>π</m:t>
              </m:r>
            </m:e>
            <m:sub>
              <m:r>
                <m:t>t</m:t>
              </m:r>
              <m:r>
                <m:rPr>
                  <m:sty m:val="p"/>
                </m:rPr>
                <m:t>−</m:t>
              </m:r>
              <m:r>
                <m:t>k</m:t>
              </m:r>
            </m:sub>
          </m:sSub>
          <m:sSub>
            <m:e>
              <m:r>
                <m:rPr>
                  <m:sty m:val="p"/>
                </m:rPr>
                <m:t>)</m:t>
              </m:r>
            </m:e>
            <m:sub>
              <m:r>
                <m:t>i</m:t>
              </m:r>
            </m:sub>
          </m:sSub>
          <m:r>
            <m:rPr>
              <m:sty m:val="p"/>
            </m:rPr>
            <m:t>+</m:t>
          </m:r>
          <m:sSub>
            <m:e>
              <m:r>
                <m:t>e</m:t>
              </m:r>
            </m:e>
            <m:sub>
              <m:r>
                <m:t>i</m:t>
              </m:r>
              <m:r>
                <m:t>t</m:t>
              </m:r>
            </m:sub>
          </m:sSub>
        </m:oMath>
      </m:oMathPara>
    </w:p>
    <w:p>
      <w:pPr>
        <w:pStyle w:val="FirstParagraph"/>
      </w:pPr>
      <w:r>
        <w:t xml:space="preserve">where</w:t>
      </w:r>
      <w:r>
        <w:t xml:space="preserve"> </w:t>
      </w:r>
      <m:oMath>
        <m:sSub>
          <m:e>
            <m:r>
              <m:t>α</m:t>
            </m:r>
          </m:e>
          <m:sub>
            <m:r>
              <m:t>i</m:t>
            </m:r>
          </m:sub>
        </m:sSub>
      </m:oMath>
      <w:r>
        <w:t xml:space="preserve"> </w:t>
      </w:r>
      <w:r>
        <w:t xml:space="preserve">are region fixed effects,</w:t>
      </w:r>
      <w:r>
        <w:t xml:space="preserve"> </w:t>
      </w:r>
      <m:oMath>
        <m:sSub>
          <m:e>
            <m:r>
              <m:t>τ</m:t>
            </m:r>
          </m:e>
          <m:sub>
            <m:r>
              <m:t>t</m:t>
            </m:r>
          </m:sub>
        </m:sSub>
      </m:oMath>
      <w:r>
        <w:t xml:space="preserve"> </w:t>
      </w:r>
      <w:r>
        <w:t xml:space="preserve">are month fixed effects,</w:t>
      </w:r>
      <w:r>
        <w:t xml:space="preserve"> </w:t>
      </w:r>
      <m:oMath>
        <m:sSub>
          <m:e>
            <m:r>
              <m:t>π</m:t>
            </m:r>
          </m:e>
          <m:sub>
            <m:r>
              <m:t>i</m:t>
            </m:r>
            <m:r>
              <m:rPr>
                <m:sty m:val="p"/>
              </m:rPr>
              <m:t>,</m:t>
            </m:r>
            <m:r>
              <m:t>t</m:t>
            </m:r>
            <m:r>
              <m:rPr>
                <m:sty m:val="p"/>
              </m:rPr>
              <m:t>−</m:t>
            </m:r>
            <m:r>
              <m:t>k</m:t>
            </m:r>
          </m:sub>
        </m:sSub>
      </m:oMath>
      <w:r>
        <w:t xml:space="preserve"> </w:t>
      </w:r>
      <w:r>
        <w:t xml:space="preserve">is region</w:t>
      </w:r>
      <w:r>
        <w:t xml:space="preserve"> </w:t>
      </w:r>
      <m:oMath>
        <m:r>
          <m:t>i</m:t>
        </m:r>
      </m:oMath>
      <w:r>
        <w:t xml:space="preserve">’s own inflation</w:t>
      </w:r>
      <w:r>
        <w:t xml:space="preserve"> </w:t>
      </w:r>
      <m:oMath>
        <m:r>
          <m:t>k</m:t>
        </m:r>
      </m:oMath>
      <w:r>
        <w:t xml:space="preserve"> </w:t>
      </w:r>
      <w:r>
        <w:t xml:space="preserve">months earlier, and</w:t>
      </w:r>
      <w:r>
        <w:t xml:space="preserve"> </w:t>
      </w:r>
      <m:oMath>
        <m:r>
          <m:rPr>
            <m:sty m:val="p"/>
          </m:rPr>
          <m:t>(</m:t>
        </m:r>
        <m:r>
          <m:t>W</m:t>
        </m:r>
        <m:sSub>
          <m:e>
            <m:r>
              <m:t>π</m:t>
            </m:r>
          </m:e>
          <m:sub>
            <m:r>
              <m:t>t</m:t>
            </m:r>
            <m:r>
              <m:rPr>
                <m:sty m:val="p"/>
              </m:rPr>
              <m:t>−</m:t>
            </m:r>
            <m:r>
              <m:t>k</m:t>
            </m:r>
          </m:sub>
        </m:sSub>
        <m:sSub>
          <m:e>
            <m:r>
              <m:rPr>
                <m:sty m:val="p"/>
              </m:rPr>
              <m:t>)</m:t>
            </m:r>
          </m:e>
          <m:sub>
            <m:r>
              <m:t>i</m:t>
            </m:r>
          </m:sub>
        </m:sSub>
      </m:oMath>
      <w:r>
        <w:t xml:space="preserve"> </w:t>
      </w:r>
      <w:r>
        <w:t xml:space="preserve">is the Queen row-standardized spatial lag of neighbouring</w:t>
      </w:r>
      <w:r>
        <w:t xml:space="preserve"> </w:t>
      </w:r>
      <w:r>
        <w:t xml:space="preserve">regions’ inflation</w:t>
      </w:r>
      <w:r>
        <w:t xml:space="preserve"> </w:t>
      </w:r>
      <m:oMath>
        <m:r>
          <m:t>k</m:t>
        </m:r>
      </m:oMath>
      <w:r>
        <w:t xml:space="preserve"> </w:t>
      </w:r>
      <w:r>
        <w:t xml:space="preserve">months earlier. Primary inference throughout uses</w:t>
      </w:r>
      <w:r>
        <w:t xml:space="preserve"> </w:t>
      </w:r>
      <w:r>
        <w:t xml:space="preserve">Driscoll-Kraay panel-corrected standard errors (Bartlett kernel,</w:t>
      </w:r>
      <w:r>
        <w:t xml:space="preserve"> </w:t>
      </w:r>
      <w:r>
        <w:t xml:space="preserve">Newey-West-1987 bandwidth rule), which are robust to cross-sectional and</w:t>
      </w:r>
      <w:r>
        <w:t xml:space="preserve"> </w:t>
      </w:r>
      <w:r>
        <w:t xml:space="preserve">serial correlation simultaneously – appropriate given the small (N=13)</w:t>
      </w:r>
      <w:r>
        <w:t xml:space="preserve"> </w:t>
      </w:r>
      <w:r>
        <w:t xml:space="preserve">cross-section, where ordinary cluster-robust inference is known to be</w:t>
      </w:r>
      <w:r>
        <w:t xml:space="preserve"> </w:t>
      </w:r>
      <w:r>
        <w:t xml:space="preserve">unreliable. A wild-cluster (Rademacher) bootstrap by region provides a</w:t>
      </w:r>
      <w:r>
        <w:t xml:space="preserve"> </w:t>
      </w:r>
      <w:r>
        <w:t xml:space="preserve">finite-sample-robust complement wherever a joint test is central to a</w:t>
      </w:r>
      <w:r>
        <w:t xml:space="preserve"> </w:t>
      </w:r>
      <w:r>
        <w:t xml:space="preserve">conclusion.</w:t>
      </w:r>
    </w:p>
    <w:p>
      <w:pPr>
        <w:pStyle w:val="BodyText"/>
      </w:pPr>
      <w:r>
        <w:t xml:space="preserve">This specification is the end point, not the starting point, of a</w:t>
      </w:r>
      <w:r>
        <w:t xml:space="preserve"> </w:t>
      </w:r>
      <w:r>
        <w:t xml:space="preserve">ten-stage confirmatory sequence, each stage building strictly on new files</w:t>
      </w:r>
      <w:r>
        <w:t xml:space="preserve"> </w:t>
      </w:r>
      <w:r>
        <w:t xml:space="preserve">and testing one candidate explanation without reopening or modifying any</w:t>
      </w:r>
      <w:r>
        <w:t xml:space="preserve"> </w:t>
      </w:r>
      <w:r>
        <w:t xml:space="preserve">prior stage’s conclusions:</w:t>
      </w:r>
    </w:p>
    <w:p>
      <w:pPr>
        <w:pStyle w:val="TableCaption"/>
      </w:pPr>
      <w:r>
        <w:t xml:space="preserve">Empirical strategy: the ten-stage confirmatory (v2) sequence.</w:t>
      </w:r>
    </w:p>
    <w:tbl>
      <w:tblPr>
        <w:tblStyle w:val="Table"/>
        <w:tblW w:type="pct" w:w="5000"/>
        <w:tblLayout w:type="fixed"/>
        <w:tblLook w:firstRow="1" w:lastRow="0" w:firstColumn="0" w:lastColumn="0" w:noHBand="0" w:noVBand="0" w:val="0020"/>
        <w:tblCaption w:val="Empirical strategy: the ten-stage confirmatory (v2) sequence."/>
      </w:tblPr>
      <w:tblGrid>
        <w:gridCol w:w="465"/>
        <w:gridCol w:w="6832"/>
        <w:gridCol w:w="621"/>
      </w:tblGrid>
      <w:tr>
        <w:trPr>
          <w:tblHeader w:val="on"/>
        </w:trPr>
        <w:tc>
          <w:tcPr/>
          <w:p>
            <w:pPr>
              <w:pStyle w:val="Compact"/>
              <w:jc w:val="left"/>
            </w:pPr>
            <w:r>
              <w:t xml:space="preserve">Stage</w:t>
            </w:r>
          </w:p>
        </w:tc>
        <w:tc>
          <w:tcPr/>
          <w:p>
            <w:pPr>
              <w:pStyle w:val="Compact"/>
              <w:jc w:val="left"/>
            </w:pPr>
            <w:r>
              <w:t xml:space="preserve">Question</w:t>
            </w:r>
          </w:p>
        </w:tc>
        <w:tc>
          <w:tcPr/>
          <w:p>
            <w:pPr>
              <w:pStyle w:val="Compact"/>
              <w:jc w:val="left"/>
            </w:pPr>
            <w:r>
              <w:t xml:space="preserve">Commit</w:t>
            </w:r>
          </w:p>
        </w:tc>
      </w:tr>
      <w:tr>
        <w:tc>
          <w:tcPr/>
          <w:p>
            <w:pPr>
              <w:pStyle w:val="Compact"/>
              <w:jc w:val="left"/>
            </w:pPr>
            <w:r>
              <w:t xml:space="preserve">9</w:t>
            </w:r>
          </w:p>
        </w:tc>
        <w:tc>
          <w:tcPr/>
          <w:p>
            <w:pPr>
              <w:pStyle w:val="Compact"/>
              <w:jc w:val="left"/>
            </w:pPr>
            <w:r>
              <w:t xml:space="preserve">Build the canonical region x month panel</w:t>
            </w:r>
          </w:p>
        </w:tc>
        <w:tc>
          <w:tcPr/>
          <w:p>
            <w:pPr>
              <w:pStyle w:val="Compact"/>
              <w:jc w:val="left"/>
            </w:pPr>
            <w:r>
              <w:t xml:space="preserve">9b4bc89</w:t>
            </w:r>
          </w:p>
        </w:tc>
      </w:tr>
      <w:tr>
        <w:tc>
          <w:tcPr/>
          <w:p>
            <w:pPr>
              <w:pStyle w:val="Compact"/>
              <w:jc w:val="left"/>
            </w:pPr>
            <w:r>
              <w:t xml:space="preserve">11</w:t>
            </w:r>
          </w:p>
        </w:tc>
        <w:tc>
          <w:tcPr/>
          <w:p>
            <w:pPr>
              <w:pStyle w:val="Compact"/>
              <w:jc w:val="left"/>
            </w:pPr>
            <w:r>
              <w:t xml:space="preserve">How much regional inflation variance do region vs. month fixed effects explain?</w:t>
            </w:r>
          </w:p>
        </w:tc>
        <w:tc>
          <w:tcPr/>
          <w:p>
            <w:pPr>
              <w:pStyle w:val="Compact"/>
              <w:jc w:val="left"/>
            </w:pPr>
            <w:r>
              <w:t xml:space="preserve">e626dee</w:t>
            </w:r>
          </w:p>
        </w:tc>
      </w:tr>
      <w:tr>
        <w:tc>
          <w:tcPr/>
          <w:p>
            <w:pPr>
              <w:pStyle w:val="Compact"/>
              <w:jc w:val="left"/>
            </w:pPr>
            <w:r>
              <w:t xml:space="preserve">12</w:t>
            </w:r>
          </w:p>
        </w:tc>
        <w:tc>
          <w:tcPr/>
          <w:p>
            <w:pPr>
              <w:pStyle w:val="Compact"/>
              <w:jc w:val="left"/>
            </w:pPr>
            <w:r>
              <w:t xml:space="preserve">Is there contemporaneous monthly spatial (Moran’s I) dependence, raw and TWFE-residual?</w:t>
            </w:r>
          </w:p>
        </w:tc>
        <w:tc>
          <w:tcPr/>
          <w:p>
            <w:pPr>
              <w:pStyle w:val="Compact"/>
              <w:jc w:val="left"/>
            </w:pPr>
            <w:r>
              <w:t xml:space="preserve">e626dee</w:t>
            </w:r>
          </w:p>
        </w:tc>
      </w:tr>
      <w:tr>
        <w:tc>
          <w:tcPr/>
          <w:p>
            <w:pPr>
              <w:pStyle w:val="Compact"/>
              <w:jc w:val="left"/>
            </w:pPr>
            <w:r>
              <w:t xml:space="preserve">13</w:t>
            </w:r>
          </w:p>
        </w:tc>
        <w:tc>
          <w:tcPr/>
          <w:p>
            <w:pPr>
              <w:pStyle w:val="Compact"/>
              <w:jc w:val="left"/>
            </w:pPr>
            <w:r>
              <w:t xml:space="preserve">Does one region’s lagged inflation predict its neighbours’ current inflation (lag-1)?</w:t>
            </w:r>
          </w:p>
        </w:tc>
        <w:tc>
          <w:tcPr/>
          <w:p>
            <w:pPr>
              <w:pStyle w:val="Compact"/>
              <w:jc w:val="left"/>
            </w:pPr>
            <w:r>
              <w:t xml:space="preserve">f7f5d5d</w:t>
            </w:r>
          </w:p>
        </w:tc>
      </w:tr>
      <w:tr>
        <w:tc>
          <w:tcPr/>
          <w:p>
            <w:pPr>
              <w:pStyle w:val="Compact"/>
              <w:jc w:val="left"/>
            </w:pPr>
            <w:r>
              <w:t xml:space="preserve">14</w:t>
            </w:r>
          </w:p>
        </w:tc>
        <w:tc>
          <w:tcPr/>
          <w:p>
            <w:pPr>
              <w:pStyle w:val="Compact"/>
              <w:jc w:val="left"/>
            </w:pPr>
            <w:r>
              <w:t xml:space="preserve">Does a longer, distributed spatial lag (K=3, K=6) predict inflation?</w:t>
            </w:r>
          </w:p>
        </w:tc>
        <w:tc>
          <w:tcPr/>
          <w:p>
            <w:pPr>
              <w:pStyle w:val="Compact"/>
              <w:jc w:val="left"/>
            </w:pPr>
            <w:r>
              <w:t xml:space="preserve">fd7ef10</w:t>
            </w:r>
          </w:p>
        </w:tc>
      </w:tr>
      <w:tr>
        <w:tc>
          <w:tcPr/>
          <w:p>
            <w:pPr>
              <w:pStyle w:val="Compact"/>
              <w:jc w:val="left"/>
            </w:pPr>
            <w:r>
              <w:t xml:space="preserve">15</w:t>
            </w:r>
          </w:p>
        </w:tc>
        <w:tc>
          <w:tcPr/>
          <w:p>
            <w:pPr>
              <w:pStyle w:val="Compact"/>
              <w:jc w:val="left"/>
            </w:pPr>
            <w:r>
              <w:t xml:space="preserve">Is the (weak) spatial relationship nonlinear or state-dependent?</w:t>
            </w:r>
          </w:p>
        </w:tc>
        <w:tc>
          <w:tcPr/>
          <w:p>
            <w:pPr>
              <w:pStyle w:val="Compact"/>
              <w:jc w:val="left"/>
            </w:pPr>
            <w:r>
              <w:t xml:space="preserve">c63dba5</w:t>
            </w:r>
          </w:p>
        </w:tc>
      </w:tr>
      <w:tr>
        <w:tc>
          <w:tcPr/>
          <w:p>
            <w:pPr>
              <w:pStyle w:val="Compact"/>
              <w:jc w:val="left"/>
            </w:pPr>
            <w:r>
              <w:t xml:space="preserve">16</w:t>
            </w:r>
          </w:p>
        </w:tc>
        <w:tc>
          <w:tcPr/>
          <w:p>
            <w:pPr>
              <w:pStyle w:val="Compact"/>
              <w:jc w:val="left"/>
            </w:pPr>
            <w:r>
              <w:t xml:space="preserve">Does parameter stability break down around verified national shock episodes?</w:t>
            </w:r>
          </w:p>
        </w:tc>
        <w:tc>
          <w:tcPr/>
          <w:p>
            <w:pPr>
              <w:pStyle w:val="Compact"/>
              <w:jc w:val="left"/>
            </w:pPr>
            <w:r>
              <w:t xml:space="preserve">bc4fde0</w:t>
            </w:r>
          </w:p>
        </w:tc>
      </w:tr>
      <w:tr>
        <w:tc>
          <w:tcPr/>
          <w:p>
            <w:pPr>
              <w:pStyle w:val="Compact"/>
              <w:jc w:val="left"/>
            </w:pPr>
            <w:r>
              <w:t xml:space="preserve">17</w:t>
            </w:r>
          </w:p>
        </w:tc>
        <w:tc>
          <w:tcPr/>
          <w:p>
            <w:pPr>
              <w:pStyle w:val="Compact"/>
              <w:jc w:val="left"/>
            </w:pPr>
            <w:r>
              <w:t xml:space="preserve">Is inflation stationary? Is there a seasonal or longer-memory temporal pattern?</w:t>
            </w:r>
          </w:p>
        </w:tc>
        <w:tc>
          <w:tcPr/>
          <w:p>
            <w:pPr>
              <w:pStyle w:val="Compact"/>
              <w:jc w:val="left"/>
            </w:pPr>
            <w:r>
              <w:t xml:space="preserve">e0566f5</w:t>
            </w:r>
          </w:p>
        </w:tc>
      </w:tr>
      <w:tr>
        <w:tc>
          <w:tcPr/>
          <w:p>
            <w:pPr>
              <w:pStyle w:val="Compact"/>
              <w:jc w:val="left"/>
            </w:pPr>
            <w:r>
              <w:t xml:space="preserve">18</w:t>
            </w:r>
          </w:p>
        </w:tc>
        <w:tc>
          <w:tcPr/>
          <w:p>
            <w:pPr>
              <w:pStyle w:val="Compact"/>
              <w:jc w:val="left"/>
            </w:pPr>
            <w:r>
              <w:t xml:space="preserve">Final robustness: region omission, influential months, weights, horizons, inference</w:t>
            </w:r>
          </w:p>
        </w:tc>
        <w:tc>
          <w:tcPr/>
          <w:p>
            <w:pPr>
              <w:pStyle w:val="Compact"/>
              <w:jc w:val="left"/>
            </w:pPr>
            <w:r>
              <w:t xml:space="preserve">5565b1a</w:t>
            </w:r>
          </w:p>
        </w:tc>
      </w:tr>
    </w:tbl>
    <w:p>
      <w:pPr>
        <w:pStyle w:val="BodyText"/>
      </w:pPr>
      <w:r>
        <w:t xml:space="preserve">Every stage from 14 onward uses the</w:t>
      </w:r>
      <w:r>
        <w:t xml:space="preserve"> </w:t>
      </w:r>
      <w:r>
        <w:rPr>
          <w:i/>
          <w:iCs/>
        </w:rPr>
        <w:t xml:space="preserve">same</w:t>
      </w:r>
      <w:r>
        <w:t xml:space="preserve"> </w:t>
      </w:r>
      <w:r>
        <w:t xml:space="preserve">immutable region ordering, the</w:t>
      </w:r>
      <w:r>
        <w:t xml:space="preserve"> </w:t>
      </w:r>
      <w:r>
        <w:t xml:space="preserve">same Queen spatial-weight construction (verified identical to Rook</w:t>
      </w:r>
      <w:r>
        <w:t xml:space="preserve"> </w:t>
      </w:r>
      <w:r>
        <w:t xml:space="preserve">contiguity in this 13-region map, so the two are never treated as</w:t>
      </w:r>
      <w:r>
        <w:t xml:space="preserve"> </w:t>
      </w:r>
      <w:r>
        <w:t xml:space="preserve">independent robustness checks), and, where applicable, a common estimation</w:t>
      </w:r>
      <w:r>
        <w:t xml:space="preserve"> </w:t>
      </w:r>
      <w:r>
        <w:t xml:space="preserve">sample across nested model comparisons.</w:t>
      </w:r>
    </w:p>
    <w:bookmarkEnd w:id="17"/>
    <w:bookmarkStart w:id="36" w:name="results"/>
    <w:p>
      <w:pPr>
        <w:pStyle w:val="Heading2"/>
      </w:pPr>
      <w:r>
        <w:t xml:space="preserve">Results</w:t>
      </w:r>
    </w:p>
    <w:p>
      <w:pPr>
        <w:pStyle w:val="CaptionedFigure"/>
      </w:pPr>
      <w:r>
        <w:drawing>
          <wp:inline>
            <wp:extent cx="5334000" cy="2933700"/>
            <wp:effectExtent b="0" l="0" r="0" t="0"/>
            <wp:docPr descr="Figure 1. Regional month-over-month inflation, all 13 regions, 2013-2026." title="" id="19" name="Picture"/>
            <a:graphic>
              <a:graphicData uri="http://schemas.openxmlformats.org/drawingml/2006/picture">
                <pic:pic>
                  <pic:nvPicPr>
                    <pic:cNvPr descr="results_v2/figures/fig_A_regional_inflation_mom_over_time.png" id="20" name="Picture"/>
                    <pic:cNvPicPr>
                      <a:picLocks noChangeArrowheads="1" noChangeAspect="1"/>
                    </pic:cNvPicPr>
                  </pic:nvPicPr>
                  <pic:blipFill>
                    <a:blip r:embed="rId18"/>
                    <a:stretch>
                      <a:fillRect/>
                    </a:stretch>
                  </pic:blipFill>
                  <pic:spPr bwMode="auto">
                    <a:xfrm>
                      <a:off x="0" y="0"/>
                      <a:ext cx="5334000" cy="2933700"/>
                    </a:xfrm>
                    <a:prstGeom prst="rect">
                      <a:avLst/>
                    </a:prstGeom>
                    <a:noFill/>
                    <a:ln w="9525">
                      <a:noFill/>
                      <a:headEnd/>
                      <a:tailEnd/>
                    </a:ln>
                  </pic:spPr>
                </pic:pic>
              </a:graphicData>
            </a:graphic>
          </wp:inline>
        </w:drawing>
      </w:r>
    </w:p>
    <w:p>
      <w:pPr>
        <w:pStyle w:val="ImageCaption"/>
      </w:pPr>
      <w:r>
        <w:t xml:space="preserve">Figure 1. Regional month-over-month inflation, all 13 regions, 2013-2026.</w:t>
      </w:r>
    </w:p>
    <w:bookmarkStart w:id="24" w:name="Xcf7afb5b2e1d0cc369d5c7087b08d478cdbabbb"/>
    <w:p>
      <w:pPr>
        <w:pStyle w:val="Heading3"/>
      </w:pPr>
      <w:r>
        <w:t xml:space="preserve">Common temporal variation dominates the explainable variance</w:t>
      </w:r>
    </w:p>
    <w:p>
      <w:pPr>
        <w:pStyle w:val="CaptionedFigure"/>
      </w:pPr>
      <w:r>
        <w:drawing>
          <wp:inline>
            <wp:extent cx="5334000" cy="2667000"/>
            <wp:effectExtent b="0" l="0" r="0" t="0"/>
            <wp:docPr descr="Figure 2. Estimated month fixed effects (the common temporal component) over time, from the Stage-11 TWFE decomposition." title="" id="22" name="Picture"/>
            <a:graphic>
              <a:graphicData uri="http://schemas.openxmlformats.org/drawingml/2006/picture">
                <pic:pic>
                  <pic:nvPicPr>
                    <pic:cNvPr descr="results_v2/figures/fig_B_month_fe_tau_over_time.png" id="23" name="Picture"/>
                    <pic:cNvPicPr>
                      <a:picLocks noChangeArrowheads="1" noChangeAspect="1"/>
                    </pic:cNvPicPr>
                  </pic:nvPicPr>
                  <pic:blipFill>
                    <a:blip r:embed="rId21"/>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2. Estimated month fixed effects (the common temporal component) over time, from the Stage-11 TWFE decomposition.</w:t>
      </w:r>
    </w:p>
    <w:p>
      <w:pPr>
        <w:pStyle w:val="TableCaption"/>
      </w:pPr>
      <w:r>
        <w:t xml:space="preserve">Table 2. Two-way fixed-effects variance decomposition (Stage 11).</w:t>
      </w:r>
    </w:p>
    <w:tbl>
      <w:tblPr>
        <w:tblStyle w:val="Table"/>
        <w:tblW w:type="auto" w:w="0"/>
        <w:tblLook w:firstRow="1" w:lastRow="0" w:firstColumn="0" w:lastColumn="0" w:noHBand="0" w:noVBand="0" w:val="0020"/>
        <w:tblCaption w:val="Table 2. Two-way fixed-effects variance decomposition (Stage 11)."/>
      </w:tblPr>
      <w:tblGrid>
        <w:gridCol w:w="2640"/>
        <w:gridCol w:w="2640"/>
        <w:gridCol w:w="2640"/>
      </w:tblGrid>
      <w:tr>
        <w:trPr>
          <w:tblHeader w:val="on"/>
        </w:trPr>
        <w:tc>
          <w:tcPr/>
          <w:p>
            <w:pPr>
              <w:pStyle w:val="Compact"/>
              <w:jc w:val="left"/>
            </w:pPr>
            <w:r>
              <w:t xml:space="preserve">Component</w:t>
            </w:r>
          </w:p>
        </w:tc>
        <w:tc>
          <w:tcPr/>
          <w:p>
            <w:pPr>
              <w:pStyle w:val="Compact"/>
              <w:jc w:val="right"/>
            </w:pPr>
            <w:r>
              <w:t xml:space="preserve">Sum of squares</w:t>
            </w:r>
          </w:p>
        </w:tc>
        <w:tc>
          <w:tcPr/>
          <w:p>
            <w:pPr>
              <w:pStyle w:val="Compact"/>
              <w:jc w:val="right"/>
            </w:pPr>
            <w:r>
              <w:t xml:space="preserve">Share of total</w:t>
            </w:r>
          </w:p>
        </w:tc>
      </w:tr>
      <w:tr>
        <w:tc>
          <w:tcPr/>
          <w:p>
            <w:pPr>
              <w:pStyle w:val="Compact"/>
              <w:jc w:val="left"/>
            </w:pPr>
            <w:r>
              <w:t xml:space="preserve">Region (alpha_i)</w:t>
            </w:r>
          </w:p>
        </w:tc>
        <w:tc>
          <w:tcPr/>
          <w:p>
            <w:pPr>
              <w:pStyle w:val="Compact"/>
              <w:jc w:val="right"/>
            </w:pPr>
            <w:r>
              <w:t xml:space="preserve">7.5645</w:t>
            </w:r>
          </w:p>
        </w:tc>
        <w:tc>
          <w:tcPr/>
          <w:p>
            <w:pPr>
              <w:pStyle w:val="Compact"/>
              <w:jc w:val="right"/>
            </w:pPr>
            <w:r>
              <w:t xml:space="preserve">0.0045</w:t>
            </w:r>
          </w:p>
        </w:tc>
      </w:tr>
      <w:tr>
        <w:tc>
          <w:tcPr/>
          <w:p>
            <w:pPr>
              <w:pStyle w:val="Compact"/>
              <w:jc w:val="left"/>
            </w:pPr>
            <w:r>
              <w:t xml:space="preserve">Month (tau_t)</w:t>
            </w:r>
          </w:p>
        </w:tc>
        <w:tc>
          <w:tcPr/>
          <w:p>
            <w:pPr>
              <w:pStyle w:val="Compact"/>
              <w:jc w:val="right"/>
            </w:pPr>
            <w:r>
              <w:t xml:space="preserve">726.2859</w:t>
            </w:r>
          </w:p>
        </w:tc>
        <w:tc>
          <w:tcPr/>
          <w:p>
            <w:pPr>
              <w:pStyle w:val="Compact"/>
              <w:jc w:val="right"/>
            </w:pPr>
            <w:r>
              <w:t xml:space="preserve">0.4295</w:t>
            </w:r>
          </w:p>
        </w:tc>
      </w:tr>
      <w:tr>
        <w:tc>
          <w:tcPr/>
          <w:p>
            <w:pPr>
              <w:pStyle w:val="Compact"/>
              <w:jc w:val="left"/>
            </w:pPr>
            <w:r>
              <w:t xml:space="preserve">Residual</w:t>
            </w:r>
          </w:p>
        </w:tc>
        <w:tc>
          <w:tcPr/>
          <w:p>
            <w:pPr>
              <w:pStyle w:val="Compact"/>
              <w:jc w:val="right"/>
            </w:pPr>
            <w:r>
              <w:t xml:space="preserve">957.1672</w:t>
            </w:r>
          </w:p>
        </w:tc>
        <w:tc>
          <w:tcPr/>
          <w:p>
            <w:pPr>
              <w:pStyle w:val="Compact"/>
              <w:jc w:val="right"/>
            </w:pPr>
            <w:r>
              <w:t xml:space="preserve">0.5660</w:t>
            </w:r>
          </w:p>
        </w:tc>
      </w:tr>
      <w:tr>
        <w:tc>
          <w:tcPr/>
          <w:p>
            <w:pPr>
              <w:pStyle w:val="Compact"/>
              <w:jc w:val="left"/>
            </w:pPr>
            <w:r>
              <w:t xml:space="preserve">Total</w:t>
            </w:r>
          </w:p>
        </w:tc>
        <w:tc>
          <w:tcPr/>
          <w:p>
            <w:pPr>
              <w:pStyle w:val="Compact"/>
              <w:jc w:val="right"/>
            </w:pPr>
            <w:r>
              <w:t xml:space="preserve">1691.0177</w:t>
            </w:r>
          </w:p>
        </w:tc>
        <w:tc>
          <w:tcPr/>
          <w:p>
            <w:pPr>
              <w:pStyle w:val="Compact"/>
              <w:jc w:val="right"/>
            </w:pPr>
            <w:r>
              <w:t xml:space="preserve">1.0000</w:t>
            </w:r>
          </w:p>
        </w:tc>
      </w:tr>
    </w:tbl>
    <w:p>
      <w:pPr>
        <w:pStyle w:val="BodyText"/>
      </w:pPr>
      <w:r>
        <w:t xml:space="preserve">Month fixed effects – which absorb whatever common temporal variation is</w:t>
      </w:r>
      <w:r>
        <w:t xml:space="preserve"> </w:t>
      </w:r>
      <w:r>
        <w:t xml:space="preserve">shared across all 13 regions in a given month, without identifying which</w:t>
      </w:r>
      <w:r>
        <w:t xml:space="preserve"> </w:t>
      </w:r>
      <w:r>
        <w:t xml:space="preserve">specific mechanism (monetary policy, oil prices, a nationwide fiscal change,</w:t>
      </w:r>
      <w:r>
        <w:t xml:space="preserve"> </w:t>
      </w:r>
      <w:r>
        <w:t xml:space="preserve">or some combination) drives it – alone account for</w:t>
      </w:r>
      <w:r>
        <w:t xml:space="preserve"> </w:t>
      </w:r>
      <w:r>
        <w:t xml:space="preserve">42.9% of the total sum of squares in regional</w:t>
      </w:r>
      <w:r>
        <w:t xml:space="preserve"> </w:t>
      </w:r>
      <w:r>
        <w:t xml:space="preserve">inflation, versus 0.45%</w:t>
      </w:r>
      <w:r>
        <w:t xml:space="preserve"> </w:t>
      </w:r>
      <w:r>
        <w:t xml:space="preserve">for region fixed effects. This asymmetry is consistent with Ciccarelli and</w:t>
      </w:r>
      <w:r>
        <w:t xml:space="preserve"> </w:t>
      </w:r>
      <w:r>
        <w:t xml:space="preserve">Mojon’s (2010) finding that a common time-varying factor, not persistent</w:t>
      </w:r>
      <w:r>
        <w:t xml:space="preserve"> </w:t>
      </w:r>
      <w:r>
        <w:t xml:space="preserve">cross-sectional heterogeneity, is the dominant source of co-movement; it is</w:t>
      </w:r>
      <w:r>
        <w:t xml:space="preserve"> </w:t>
      </w:r>
      <w:r>
        <w:t xml:space="preserve">reported here as a statistical decomposition, not as identification of a</w:t>
      </w:r>
      <w:r>
        <w:t xml:space="preserve"> </w:t>
      </w:r>
      <w:r>
        <w:t xml:space="preserve">specific causal driver.</w:t>
      </w:r>
    </w:p>
    <w:bookmarkEnd w:id="24"/>
    <w:bookmarkStart w:id="28" w:name="X3ac05e3f1d320d0d7713f932af511da0be4c1d4"/>
    <w:p>
      <w:pPr>
        <w:pStyle w:val="Heading3"/>
      </w:pPr>
      <w:r>
        <w:t xml:space="preserve">Contemporaneous and lag-1 spatial dependence are weak and not robust</w:t>
      </w:r>
    </w:p>
    <w:p>
      <w:pPr>
        <w:pStyle w:val="FirstParagraph"/>
      </w:pPr>
      <w:r>
        <w:t xml:space="preserve">Monthly permutation-based Global Moran’s I (Stage 12), computed separately</w:t>
      </w:r>
      <w:r>
        <w:t xml:space="preserve"> </w:t>
      </w:r>
      <w:r>
        <w:t xml:space="preserve">for each of 157 months on both raw inflation and TWFE residuals, finds</w:t>
      </w:r>
      <w:r>
        <w:t xml:space="preserve"> </w:t>
      </w:r>
      <w:r>
        <w:t xml:space="preserve">11 of 157 months nominally significant at the raw</w:t>
      </w:r>
      <w:r>
        <w:t xml:space="preserve"> </w:t>
      </w:r>
      <w:r>
        <w:t xml:space="preserve">5% level – but</w:t>
      </w:r>
      <w:r>
        <w:t xml:space="preserve"> </w:t>
      </w:r>
      <w:r>
        <w:rPr>
          <w:b/>
          <w:bCs/>
        </w:rPr>
        <w:t xml:space="preserve">0 survive Benjamini-Hochberg</w:t>
      </w:r>
      <w:r>
        <w:rPr>
          <w:b/>
          <w:bCs/>
        </w:rPr>
        <w:t xml:space="preserve"> </w:t>
      </w:r>
      <w:r>
        <w:rPr>
          <w:b/>
          <w:bCs/>
        </w:rPr>
        <w:t xml:space="preserve">correction and 0 survive Holm correction</w:t>
      </w:r>
      <w:r>
        <w:t xml:space="preserve">,</w:t>
      </w:r>
      <w:r>
        <w:t xml:space="preserve"> </w:t>
      </w:r>
      <w:r>
        <w:t xml:space="preserve">for both the raw and TWFE-residual series. There is no robust evidence of</w:t>
      </w:r>
      <w:r>
        <w:t xml:space="preserve"> </w:t>
      </w:r>
      <w:r>
        <w:t xml:space="preserve">systematic contemporaneous spatial dependence.</w:t>
      </w:r>
    </w:p>
    <w:p>
      <w:pPr>
        <w:pStyle w:val="CaptionedFigure"/>
      </w:pPr>
      <w:r>
        <w:drawing>
          <wp:inline>
            <wp:extent cx="5334000" cy="2667000"/>
            <wp:effectExtent b="0" l="0" r="0" t="0"/>
            <wp:docPr descr="Figure 3. Monthly permutation Moran’s I, raw inflation vs. TWFE residuals – neither survives multiple-testing correction across 157 months." title="" id="26" name="Picture"/>
            <a:graphic>
              <a:graphicData uri="http://schemas.openxmlformats.org/drawingml/2006/picture">
                <pic:pic>
                  <pic:nvPicPr>
                    <pic:cNvPr descr="results_v2/figures/fig_E_raw_vs_residual_moran_comparison.png" id="27" name="Picture"/>
                    <pic:cNvPicPr>
                      <a:picLocks noChangeArrowheads="1" noChangeAspect="1"/>
                    </pic:cNvPicPr>
                  </pic:nvPicPr>
                  <pic:blipFill>
                    <a:blip r:embed="rId2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3. Monthly permutation Moran’s I, raw inflation vs. TWFE residuals – neither survives multiple-testing correction across 157 months.</w:t>
      </w:r>
    </w:p>
    <w:p>
      <w:pPr>
        <w:pStyle w:val="BodyText"/>
      </w:pPr>
      <w:r>
        <w:t xml:space="preserve">The lag-1 own/spatial dynamic model (Stage 13) similarly finds no robust</w:t>
      </w:r>
      <w:r>
        <w:t xml:space="preserve"> </w:t>
      </w:r>
      <w:r>
        <w:t xml:space="preserve">spatial predictive content: the spatial-lag coefficient</w:t>
      </w:r>
      <w:r>
        <w:t xml:space="preserve"> </w:t>
      </w:r>
      <m:oMath>
        <m:acc>
          <m:accPr>
            <m:chr m:val="̂"/>
          </m:accPr>
          <m:e>
            <m:r>
              <m:t>θ</m:t>
            </m:r>
          </m:e>
        </m:acc>
      </m:oMath>
      <w:r>
        <w:t xml:space="preserve"> </w:t>
      </w:r>
      <w:r>
        <w:t xml:space="preserve">= -0.0042 (Driscoll-Kraay SE =</w:t>
      </w:r>
      <w:r>
        <w:t xml:space="preserve"> </w:t>
      </w:r>
      <w:r>
        <w:t xml:space="preserve">0.0365, p = 0.909), confirmed</w:t>
      </w:r>
      <w:r>
        <w:t xml:space="preserve"> </w:t>
      </w:r>
      <w:r>
        <w:t xml:space="preserve">by a wild-cluster bootstrap (p = 0.919, B =</w:t>
      </w:r>
      <w:r>
        <w:t xml:space="preserve"> </w:t>
      </w:r>
      <w:r>
        <w:t xml:space="preserve">9999).</w:t>
      </w:r>
    </w:p>
    <w:bookmarkEnd w:id="28"/>
    <w:bookmarkStart w:id="32" w:name="Xf72a2577dec00fc2ce2203544d5124ffe1dd0e5"/>
    <w:p>
      <w:pPr>
        <w:pStyle w:val="Heading3"/>
      </w:pPr>
      <w:r>
        <w:t xml:space="preserve">Distributed spatial lags (K=3, K=6) remain non-significant</w:t>
      </w:r>
    </w:p>
    <w:p>
      <w:pPr>
        <w:pStyle w:val="CaptionedFigure"/>
      </w:pPr>
      <w:r>
        <w:drawing>
          <wp:inline>
            <wp:extent cx="5334000" cy="3333749"/>
            <wp:effectExtent b="0" l="0" r="0" t="0"/>
            <wp:docPr descr="Figure 4. Distributed spatial-lag coefficients (theta_1, theta_2, theta_3), K=3, Driscoll-Kraay 95% CI (Stage 14)." title="" id="30" name="Picture"/>
            <a:graphic>
              <a:graphicData uri="http://schemas.openxmlformats.org/drawingml/2006/picture">
                <pic:pic>
                  <pic:nvPicPr>
                    <pic:cNvPr descr="results_v2/distributed_spatial_lags/figures/fig_G1_k3_theta_by_lag.png" id="31" name="Picture"/>
                    <pic:cNvPicPr>
                      <a:picLocks noChangeArrowheads="1" noChangeAspect="1"/>
                    </pic:cNvPicPr>
                  </pic:nvPicPr>
                  <pic:blipFill>
                    <a:blip r:embed="rId29"/>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4. Distributed spatial-lag coefficients (theta_1, theta_2, theta_3), K=3, Driscoll-Kraay 95% CI (Stage 14).</w:t>
      </w:r>
    </w:p>
    <w:p>
      <w:pPr>
        <w:pStyle w:val="TableCaption"/>
      </w:pPr>
      <w:r>
        <w:t xml:space="preserve">Table 4. Dynamic-horizon robustness: cumulative spatial effect and joint test, K=1/3/6 (Stage 18, common sample).</w:t>
      </w:r>
    </w:p>
    <w:tbl>
      <w:tblPr>
        <w:tblStyle w:val="Table"/>
        <w:tblW w:type="pct" w:w="5000"/>
        <w:tblLayout w:type="fixed"/>
        <w:tblLook w:firstRow="1" w:lastRow="0" w:firstColumn="0" w:lastColumn="0" w:noHBand="0" w:noVBand="0" w:val="0020"/>
        <w:tblCaption w:val="Table 4. Dynamic-horizon robustness: cumulative spatial effect and joint test, K=1/3/6 (Stage 18, common sample)."/>
      </w:tblPr>
      <w:tblGrid>
        <w:gridCol w:w="792"/>
        <w:gridCol w:w="594"/>
        <w:gridCol w:w="1386"/>
        <w:gridCol w:w="792"/>
        <w:gridCol w:w="792"/>
        <w:gridCol w:w="792"/>
        <w:gridCol w:w="891"/>
        <w:gridCol w:w="891"/>
        <w:gridCol w:w="990"/>
      </w:tblGrid>
      <w:tr>
        <w:trPr>
          <w:tblHeader w:val="on"/>
        </w:trPr>
        <w:tc>
          <w:tcPr/>
          <w:p>
            <w:pPr>
              <w:pStyle w:val="Compact"/>
              <w:jc w:val="left"/>
            </w:pPr>
            <w:r>
              <w:t xml:space="preserve">horizon</w:t>
            </w:r>
          </w:p>
        </w:tc>
        <w:tc>
          <w:tcPr/>
          <w:p>
            <w:pPr>
              <w:pStyle w:val="Compact"/>
              <w:jc w:val="right"/>
            </w:pPr>
            <w:r>
              <w:t xml:space="preserve">n_obs</w:t>
            </w:r>
          </w:p>
        </w:tc>
        <w:tc>
          <w:tcPr/>
          <w:p>
            <w:pPr>
              <w:pStyle w:val="Compact"/>
              <w:jc w:val="right"/>
            </w:pPr>
            <w:r>
              <w:t xml:space="preserve">joint_p_value</w:t>
            </w:r>
          </w:p>
        </w:tc>
        <w:tc>
          <w:tcPr/>
          <w:p>
            <w:pPr>
              <w:pStyle w:val="Compact"/>
              <w:jc w:val="right"/>
            </w:pPr>
            <w:r>
              <w:t xml:space="preserve">Theta_K</w:t>
            </w:r>
          </w:p>
        </w:tc>
        <w:tc>
          <w:tcPr/>
          <w:p>
            <w:pPr>
              <w:pStyle w:val="Compact"/>
              <w:jc w:val="right"/>
            </w:pPr>
            <w:r>
              <w:t xml:space="preserve">ci_low</w:t>
            </w:r>
          </w:p>
        </w:tc>
        <w:tc>
          <w:tcPr/>
          <w:p>
            <w:pPr>
              <w:pStyle w:val="Compact"/>
              <w:jc w:val="right"/>
            </w:pPr>
            <w:r>
              <w:t xml:space="preserve">ci_high</w:t>
            </w:r>
          </w:p>
        </w:tc>
        <w:tc>
          <w:tcPr/>
          <w:p>
            <w:pPr>
              <w:pStyle w:val="Compact"/>
              <w:jc w:val="right"/>
            </w:pPr>
            <w:r>
              <w:t xml:space="preserve">AIC</w:t>
            </w:r>
          </w:p>
        </w:tc>
        <w:tc>
          <w:tcPr/>
          <w:p>
            <w:pPr>
              <w:pStyle w:val="Compact"/>
              <w:jc w:val="right"/>
            </w:pPr>
            <w:r>
              <w:t xml:space="preserve">BIC</w:t>
            </w:r>
          </w:p>
        </w:tc>
        <w:tc>
          <w:tcPr/>
          <w:p>
            <w:pPr>
              <w:pStyle w:val="Compact"/>
              <w:jc w:val="right"/>
            </w:pPr>
            <w:r>
              <w:t xml:space="preserve">within_R2</w:t>
            </w:r>
          </w:p>
        </w:tc>
      </w:tr>
      <w:tr>
        <w:tc>
          <w:tcPr/>
          <w:p>
            <w:pPr>
              <w:pStyle w:val="Compact"/>
              <w:jc w:val="left"/>
            </w:pPr>
            <w:r>
              <w:t xml:space="preserve">K=1</w:t>
            </w:r>
          </w:p>
        </w:tc>
        <w:tc>
          <w:tcPr/>
          <w:p>
            <w:pPr>
              <w:pStyle w:val="Compact"/>
              <w:jc w:val="right"/>
            </w:pPr>
            <w:r>
              <w:t xml:space="preserve">1963</w:t>
            </w:r>
          </w:p>
        </w:tc>
        <w:tc>
          <w:tcPr/>
          <w:p>
            <w:pPr>
              <w:pStyle w:val="Compact"/>
              <w:jc w:val="right"/>
            </w:pPr>
            <w:r>
              <w:t xml:space="preserve">0.9107</w:t>
            </w:r>
          </w:p>
        </w:tc>
        <w:tc>
          <w:tcPr/>
          <w:p>
            <w:pPr>
              <w:pStyle w:val="Compact"/>
              <w:jc w:val="right"/>
            </w:pPr>
            <w:r>
              <w:t xml:space="preserve">-0.0041</w:t>
            </w:r>
          </w:p>
        </w:tc>
        <w:tc>
          <w:tcPr/>
          <w:p>
            <w:pPr>
              <w:pStyle w:val="Compact"/>
              <w:jc w:val="right"/>
            </w:pPr>
            <w:r>
              <w:t xml:space="preserve">-0.0753</w:t>
            </w:r>
          </w:p>
        </w:tc>
        <w:tc>
          <w:tcPr/>
          <w:p>
            <w:pPr>
              <w:pStyle w:val="Compact"/>
              <w:jc w:val="right"/>
            </w:pPr>
            <w:r>
              <w:t xml:space="preserve">0.0672</w:t>
            </w:r>
          </w:p>
        </w:tc>
        <w:tc>
          <w:tcPr/>
          <w:p>
            <w:pPr>
              <w:pStyle w:val="Compact"/>
              <w:jc w:val="right"/>
            </w:pPr>
            <w:r>
              <w:t xml:space="preserve">4421.424</w:t>
            </w:r>
          </w:p>
        </w:tc>
        <w:tc>
          <w:tcPr/>
          <w:p>
            <w:pPr>
              <w:pStyle w:val="Compact"/>
              <w:jc w:val="right"/>
            </w:pPr>
            <w:r>
              <w:t xml:space="preserve">5348.074</w:t>
            </w:r>
          </w:p>
        </w:tc>
        <w:tc>
          <w:tcPr/>
          <w:p>
            <w:pPr>
              <w:pStyle w:val="Compact"/>
              <w:jc w:val="right"/>
            </w:pPr>
            <w:r>
              <w:t xml:space="preserve">0.4516</w:t>
            </w:r>
          </w:p>
        </w:tc>
      </w:tr>
      <w:tr>
        <w:tc>
          <w:tcPr/>
          <w:p>
            <w:pPr>
              <w:pStyle w:val="Compact"/>
              <w:jc w:val="left"/>
            </w:pPr>
            <w:r>
              <w:t xml:space="preserve">K=3</w:t>
            </w:r>
          </w:p>
        </w:tc>
        <w:tc>
          <w:tcPr/>
          <w:p>
            <w:pPr>
              <w:pStyle w:val="Compact"/>
              <w:jc w:val="right"/>
            </w:pPr>
            <w:r>
              <w:t xml:space="preserve">1963</w:t>
            </w:r>
          </w:p>
        </w:tc>
        <w:tc>
          <w:tcPr/>
          <w:p>
            <w:pPr>
              <w:pStyle w:val="Compact"/>
              <w:jc w:val="right"/>
            </w:pPr>
            <w:r>
              <w:t xml:space="preserve">0.3196</w:t>
            </w:r>
          </w:p>
        </w:tc>
        <w:tc>
          <w:tcPr/>
          <w:p>
            <w:pPr>
              <w:pStyle w:val="Compact"/>
              <w:jc w:val="right"/>
            </w:pPr>
            <w:r>
              <w:t xml:space="preserve">-0.0085</w:t>
            </w:r>
          </w:p>
        </w:tc>
        <w:tc>
          <w:tcPr/>
          <w:p>
            <w:pPr>
              <w:pStyle w:val="Compact"/>
              <w:jc w:val="right"/>
            </w:pPr>
            <w:r>
              <w:t xml:space="preserve">-0.1756</w:t>
            </w:r>
          </w:p>
        </w:tc>
        <w:tc>
          <w:tcPr/>
          <w:p>
            <w:pPr>
              <w:pStyle w:val="Compact"/>
              <w:jc w:val="right"/>
            </w:pPr>
            <w:r>
              <w:t xml:space="preserve">0.1587</w:t>
            </w:r>
          </w:p>
        </w:tc>
        <w:tc>
          <w:tcPr/>
          <w:p>
            <w:pPr>
              <w:pStyle w:val="Compact"/>
              <w:jc w:val="right"/>
            </w:pPr>
            <w:r>
              <w:t xml:space="preserve">4419.132</w:t>
            </w:r>
          </w:p>
        </w:tc>
        <w:tc>
          <w:tcPr/>
          <w:p>
            <w:pPr>
              <w:pStyle w:val="Compact"/>
              <w:jc w:val="right"/>
            </w:pPr>
            <w:r>
              <w:t xml:space="preserve">5368.111</w:t>
            </w:r>
          </w:p>
        </w:tc>
        <w:tc>
          <w:tcPr/>
          <w:p>
            <w:pPr>
              <w:pStyle w:val="Compact"/>
              <w:jc w:val="right"/>
            </w:pPr>
            <w:r>
              <w:t xml:space="preserve">0.4545</w:t>
            </w:r>
          </w:p>
        </w:tc>
      </w:tr>
      <w:tr>
        <w:tc>
          <w:tcPr/>
          <w:p>
            <w:pPr>
              <w:pStyle w:val="Compact"/>
              <w:jc w:val="left"/>
            </w:pPr>
            <w:r>
              <w:t xml:space="preserve">K=6</w:t>
            </w:r>
          </w:p>
        </w:tc>
        <w:tc>
          <w:tcPr/>
          <w:p>
            <w:pPr>
              <w:pStyle w:val="Compact"/>
              <w:jc w:val="right"/>
            </w:pPr>
            <w:r>
              <w:t xml:space="preserve">1963</w:t>
            </w:r>
          </w:p>
        </w:tc>
        <w:tc>
          <w:tcPr/>
          <w:p>
            <w:pPr>
              <w:pStyle w:val="Compact"/>
              <w:jc w:val="right"/>
            </w:pPr>
            <w:r>
              <w:t xml:space="preserve">0.4081</w:t>
            </w:r>
          </w:p>
        </w:tc>
        <w:tc>
          <w:tcPr/>
          <w:p>
            <w:pPr>
              <w:pStyle w:val="Compact"/>
              <w:jc w:val="right"/>
            </w:pPr>
            <w:r>
              <w:t xml:space="preserve">-0.0378</w:t>
            </w:r>
          </w:p>
        </w:tc>
        <w:tc>
          <w:tcPr/>
          <w:p>
            <w:pPr>
              <w:pStyle w:val="Compact"/>
              <w:jc w:val="right"/>
            </w:pPr>
            <w:r>
              <w:t xml:space="preserve">-0.2512</w:t>
            </w:r>
          </w:p>
        </w:tc>
        <w:tc>
          <w:tcPr/>
          <w:p>
            <w:pPr>
              <w:pStyle w:val="Compact"/>
              <w:jc w:val="right"/>
            </w:pPr>
            <w:r>
              <w:t xml:space="preserve">0.1756</w:t>
            </w:r>
          </w:p>
        </w:tc>
        <w:tc>
          <w:tcPr/>
          <w:p>
            <w:pPr>
              <w:pStyle w:val="Compact"/>
              <w:jc w:val="right"/>
            </w:pPr>
            <w:r>
              <w:t xml:space="preserve">4415.613</w:t>
            </w:r>
          </w:p>
        </w:tc>
        <w:tc>
          <w:tcPr/>
          <w:p>
            <w:pPr>
              <w:pStyle w:val="Compact"/>
              <w:jc w:val="right"/>
            </w:pPr>
            <w:r>
              <w:t xml:space="preserve">5398.086</w:t>
            </w:r>
          </w:p>
        </w:tc>
        <w:tc>
          <w:tcPr/>
          <w:p>
            <w:pPr>
              <w:pStyle w:val="Compact"/>
              <w:jc w:val="right"/>
            </w:pPr>
            <w:r>
              <w:t xml:space="preserve">0.4588</w:t>
            </w:r>
          </w:p>
        </w:tc>
      </w:tr>
    </w:tbl>
    <w:p>
      <w:pPr>
        <w:pStyle w:val="BodyText"/>
      </w:pPr>
      <w:r>
        <w:t xml:space="preserve">The joint test of</w:t>
      </w:r>
      <w:r>
        <w:t xml:space="preserve"> </w:t>
      </w:r>
      <m:oMath>
        <m:sSub>
          <m:e>
            <m:r>
              <m:t>θ</m:t>
            </m:r>
          </m:e>
          <m:sub>
            <m:r>
              <m:t>1</m:t>
            </m:r>
          </m:sub>
        </m:sSub>
        <m:r>
          <m:rPr>
            <m:sty m:val="p"/>
          </m:rPr>
          <m:t>=</m:t>
        </m:r>
        <m:sSub>
          <m:e>
            <m:r>
              <m:t>θ</m:t>
            </m:r>
          </m:e>
          <m:sub>
            <m:r>
              <m:t>2</m:t>
            </m:r>
          </m:sub>
        </m:sSub>
        <m:r>
          <m:rPr>
            <m:sty m:val="p"/>
          </m:rPr>
          <m:t>=</m:t>
        </m:r>
        <m:sSub>
          <m:e>
            <m:r>
              <m:t>θ</m:t>
            </m:r>
          </m:e>
          <m:sub>
            <m:r>
              <m:t>3</m:t>
            </m:r>
          </m:sub>
        </m:sSub>
        <m:r>
          <m:rPr>
            <m:sty m:val="p"/>
          </m:rPr>
          <m:t>=</m:t>
        </m:r>
        <m:r>
          <m:t>0</m:t>
        </m:r>
      </m:oMath>
      <w:r>
        <w:t xml:space="preserve"> </w:t>
      </w:r>
      <w:r>
        <w:t xml:space="preserve">at K=3 gives p =</w:t>
      </w:r>
      <w:r>
        <w:t xml:space="preserve"> </w:t>
      </w:r>
      <w:r>
        <w:t xml:space="preserve">0.575</w:t>
      </w:r>
      <w:r>
        <w:t xml:space="preserve"> </w:t>
      </w:r>
      <w:r>
        <w:t xml:space="preserve">(wild-cluster bootstrap, B = 9999); the</w:t>
      </w:r>
      <w:r>
        <w:t xml:space="preserve"> </w:t>
      </w:r>
      <w:r>
        <w:t xml:space="preserve">cumulative distributed spatial effect</w:t>
      </w:r>
      <w:r>
        <w:t xml:space="preserve"> </w:t>
      </w:r>
      <m:oMath>
        <m:sSub>
          <m:e>
            <m:r>
              <m:rPr>
                <m:sty m:val="p"/>
              </m:rPr>
              <m:t>Θ</m:t>
            </m:r>
          </m:e>
          <m:sub>
            <m:r>
              <m:t>3</m:t>
            </m:r>
          </m:sub>
        </m:sSub>
      </m:oMath>
      <w:r>
        <w:t xml:space="preserve"> </w:t>
      </w:r>
      <w:r>
        <w:t xml:space="preserve">=</w:t>
      </w:r>
      <w:r>
        <w:t xml:space="preserve"> </w:t>
      </w:r>
      <w:r>
        <w:t xml:space="preserve">-0.0098</w:t>
      </w:r>
      <w:r>
        <w:t xml:space="preserve"> </w:t>
      </w:r>
      <w:r>
        <w:t xml:space="preserve">(p = 0.898).</w:t>
      </w:r>
      <w:r>
        <w:t xml:space="preserve"> </w:t>
      </w:r>
      <w:r>
        <w:t xml:space="preserve">Extending to K=6 does not change this conclusion (Table 4 above; joint p</w:t>
      </w:r>
      <w:r>
        <w:t xml:space="preserve"> </w:t>
      </w:r>
      <w:r>
        <w:t xml:space="preserve">ranges from 0.32 to</w:t>
      </w:r>
      <w:r>
        <w:t xml:space="preserve"> </w:t>
      </w:r>
      <w:r>
        <w:t xml:space="preserve">0.911 across K=1/3/6 on one common</w:t>
      </w:r>
      <w:r>
        <w:t xml:space="preserve"> </w:t>
      </w:r>
      <w:r>
        <w:t xml:space="preserve">sample).</w:t>
      </w:r>
    </w:p>
    <w:bookmarkEnd w:id="32"/>
    <w:bookmarkStart w:id="33" w:name="X73c617e49d33d70b9598fd0a85580e34e3a5f26"/>
    <w:p>
      <w:pPr>
        <w:pStyle w:val="Heading3"/>
      </w:pPr>
      <w:r>
        <w:t xml:space="preserve">Nonlinear and state-dependent evidence is suggestive only</w:t>
      </w:r>
    </w:p>
    <w:p>
      <w:pPr>
        <w:pStyle w:val="TableCaption"/>
      </w:pPr>
      <w:r>
        <w:t xml:space="preserve">Nonlinear/state-dependent hypothesis family (Stage 15).</w:t>
      </w:r>
    </w:p>
    <w:tbl>
      <w:tblPr>
        <w:tblStyle w:val="Table"/>
        <w:tblW w:type="pct" w:w="5000"/>
        <w:tblLayout w:type="fixed"/>
        <w:tblLook w:firstRow="1" w:lastRow="0" w:firstColumn="0" w:lastColumn="0" w:noHBand="0" w:noVBand="0" w:val="0020"/>
        <w:tblCaption w:val="Nonlinear/state-dependent hypothesis family (Stage 15)."/>
      </w:tblPr>
      <w:tblGrid>
        <w:gridCol w:w="3890"/>
        <w:gridCol w:w="2223"/>
        <w:gridCol w:w="833"/>
        <w:gridCol w:w="486"/>
        <w:gridCol w:w="486"/>
      </w:tblGrid>
      <w:tr>
        <w:trPr>
          <w:tblHeader w:val="on"/>
        </w:trPr>
        <w:tc>
          <w:tcPr/>
          <w:p>
            <w:pPr>
              <w:pStyle w:val="Compact"/>
              <w:jc w:val="left"/>
            </w:pPr>
            <w:r>
              <w:t xml:space="preserve">test</w:t>
            </w:r>
          </w:p>
        </w:tc>
        <w:tc>
          <w:tcPr/>
          <w:p>
            <w:pPr>
              <w:pStyle w:val="Compact"/>
              <w:jc w:val="left"/>
            </w:pPr>
            <w:r>
              <w:t xml:space="preserve">primary_p_value_type</w:t>
            </w:r>
          </w:p>
        </w:tc>
        <w:tc>
          <w:tcPr/>
          <w:p>
            <w:pPr>
              <w:pStyle w:val="Compact"/>
              <w:jc w:val="right"/>
            </w:pPr>
            <w:r>
              <w:t xml:space="preserve">raw_p_value</w:t>
            </w:r>
          </w:p>
        </w:tc>
        <w:tc>
          <w:tcPr/>
          <w:p>
            <w:pPr>
              <w:pStyle w:val="Compact"/>
              <w:jc w:val="right"/>
            </w:pPr>
            <w:r>
              <w:t xml:space="preserve">p_BH</w:t>
            </w:r>
          </w:p>
        </w:tc>
        <w:tc>
          <w:tcPr/>
          <w:p>
            <w:pPr>
              <w:pStyle w:val="Compact"/>
              <w:jc w:val="right"/>
            </w:pPr>
            <w:r>
              <w:t xml:space="preserve">p_Holm</w:t>
            </w:r>
          </w:p>
        </w:tc>
      </w:tr>
      <w:tr>
        <w:tc>
          <w:tcPr/>
          <w:p>
            <w:pPr>
              <w:pStyle w:val="Compact"/>
              <w:jc w:val="left"/>
            </w:pPr>
            <w:r>
              <w:t xml:space="preserve">A: Joint regime interaction (delta_1=delta_2=delta_3=0)</w:t>
            </w:r>
          </w:p>
        </w:tc>
        <w:tc>
          <w:tcPr/>
          <w:p>
            <w:pPr>
              <w:pStyle w:val="Compact"/>
              <w:jc w:val="left"/>
            </w:pPr>
            <w:r>
              <w:t xml:space="preserve">Wild cluster bootstrap (B=9999)</w:t>
            </w:r>
          </w:p>
        </w:tc>
        <w:tc>
          <w:tcPr/>
          <w:p>
            <w:pPr>
              <w:pStyle w:val="Compact"/>
              <w:jc w:val="right"/>
            </w:pPr>
            <w:r>
              <w:t xml:space="preserve">0.7705</w:t>
            </w:r>
          </w:p>
        </w:tc>
        <w:tc>
          <w:tcPr/>
          <w:p>
            <w:pPr>
              <w:pStyle w:val="Compact"/>
              <w:jc w:val="right"/>
            </w:pPr>
            <w:r>
              <w:t xml:space="preserve">0.7705</w:t>
            </w:r>
          </w:p>
        </w:tc>
        <w:tc>
          <w:tcPr/>
          <w:p>
            <w:pPr>
              <w:pStyle w:val="Compact"/>
              <w:jc w:val="right"/>
            </w:pPr>
            <w:r>
              <w:t xml:space="preserve">1.0000</w:t>
            </w:r>
          </w:p>
        </w:tc>
      </w:tr>
      <w:tr>
        <w:tc>
          <w:tcPr/>
          <w:p>
            <w:pPr>
              <w:pStyle w:val="Compact"/>
              <w:jc w:val="left"/>
            </w:pPr>
            <w:r>
              <w:t xml:space="preserve">B: Joint spline nonlinearity</w:t>
            </w:r>
          </w:p>
        </w:tc>
        <w:tc>
          <w:tcPr/>
          <w:p>
            <w:pPr>
              <w:pStyle w:val="Compact"/>
              <w:jc w:val="left"/>
            </w:pPr>
            <w:r>
              <w:t xml:space="preserve">Driscoll-Kraay asymptotic</w:t>
            </w:r>
          </w:p>
        </w:tc>
        <w:tc>
          <w:tcPr/>
          <w:p>
            <w:pPr>
              <w:pStyle w:val="Compact"/>
              <w:jc w:val="right"/>
            </w:pPr>
            <w:r>
              <w:t xml:space="preserve">0.0168</w:t>
            </w:r>
          </w:p>
        </w:tc>
        <w:tc>
          <w:tcPr/>
          <w:p>
            <w:pPr>
              <w:pStyle w:val="Compact"/>
              <w:jc w:val="right"/>
            </w:pPr>
            <w:r>
              <w:t xml:space="preserve">0.0842</w:t>
            </w:r>
          </w:p>
        </w:tc>
        <w:tc>
          <w:tcPr/>
          <w:p>
            <w:pPr>
              <w:pStyle w:val="Compact"/>
              <w:jc w:val="right"/>
            </w:pPr>
            <w:r>
              <w:t xml:space="preserve">0.0842</w:t>
            </w:r>
          </w:p>
        </w:tc>
      </w:tr>
      <w:tr>
        <w:tc>
          <w:tcPr/>
          <w:p>
            <w:pPr>
              <w:pStyle w:val="Compact"/>
              <w:jc w:val="left"/>
            </w:pPr>
            <w:r>
              <w:t xml:space="preserve">C: Joint quadratic (linear+quadratic)</w:t>
            </w:r>
          </w:p>
        </w:tc>
        <w:tc>
          <w:tcPr/>
          <w:p>
            <w:pPr>
              <w:pStyle w:val="Compact"/>
              <w:jc w:val="left"/>
            </w:pPr>
            <w:r>
              <w:t xml:space="preserve">Driscoll-Kraay asymptotic</w:t>
            </w:r>
          </w:p>
        </w:tc>
        <w:tc>
          <w:tcPr/>
          <w:p>
            <w:pPr>
              <w:pStyle w:val="Compact"/>
              <w:jc w:val="right"/>
            </w:pPr>
            <w:r>
              <w:t xml:space="preserve">0.0758</w:t>
            </w:r>
          </w:p>
        </w:tc>
        <w:tc>
          <w:tcPr/>
          <w:p>
            <w:pPr>
              <w:pStyle w:val="Compact"/>
              <w:jc w:val="right"/>
            </w:pPr>
            <w:r>
              <w:t xml:space="preserve">0.1895</w:t>
            </w:r>
          </w:p>
        </w:tc>
        <w:tc>
          <w:tcPr/>
          <w:p>
            <w:pPr>
              <w:pStyle w:val="Compact"/>
              <w:jc w:val="right"/>
            </w:pPr>
            <w:r>
              <w:t xml:space="preserve">0.3032</w:t>
            </w:r>
          </w:p>
        </w:tc>
      </w:tr>
      <w:tr>
        <w:tc>
          <w:tcPr/>
          <w:p>
            <w:pPr>
              <w:pStyle w:val="Compact"/>
              <w:jc w:val="left"/>
            </w:pPr>
            <w:r>
              <w:t xml:space="preserve">D: Threshold existence (bootstrap)</w:t>
            </w:r>
          </w:p>
        </w:tc>
        <w:tc>
          <w:tcPr/>
          <w:p>
            <w:pPr>
              <w:pStyle w:val="Compact"/>
              <w:jc w:val="left"/>
            </w:pPr>
            <w:r>
              <w:t xml:space="preserve">Wild cluster bootstrap (B=499)</w:t>
            </w:r>
          </w:p>
        </w:tc>
        <w:tc>
          <w:tcPr/>
          <w:p>
            <w:pPr>
              <w:pStyle w:val="Compact"/>
              <w:jc w:val="right"/>
            </w:pPr>
            <w:r>
              <w:t xml:space="preserve">0.7535</w:t>
            </w:r>
          </w:p>
        </w:tc>
        <w:tc>
          <w:tcPr/>
          <w:p>
            <w:pPr>
              <w:pStyle w:val="Compact"/>
              <w:jc w:val="right"/>
            </w:pPr>
            <w:r>
              <w:t xml:space="preserve">0.7705</w:t>
            </w:r>
          </w:p>
        </w:tc>
        <w:tc>
          <w:tcPr/>
          <w:p>
            <w:pPr>
              <w:pStyle w:val="Compact"/>
              <w:jc w:val="right"/>
            </w:pPr>
            <w:r>
              <w:t xml:space="preserve">1.0000</w:t>
            </w:r>
          </w:p>
        </w:tc>
      </w:tr>
      <w:tr>
        <w:tc>
          <w:tcPr/>
          <w:p>
            <w:pPr>
              <w:pStyle w:val="Compact"/>
              <w:jc w:val="left"/>
            </w:pPr>
            <w:r>
              <w:t xml:space="preserve">E: Asymmetry equality (pos=neg)</w:t>
            </w:r>
          </w:p>
        </w:tc>
        <w:tc>
          <w:tcPr/>
          <w:p>
            <w:pPr>
              <w:pStyle w:val="Compact"/>
              <w:jc w:val="left"/>
            </w:pPr>
            <w:r>
              <w:t xml:space="preserve">Wild cluster bootstrap (B=999)</w:t>
            </w:r>
          </w:p>
        </w:tc>
        <w:tc>
          <w:tcPr/>
          <w:p>
            <w:pPr>
              <w:pStyle w:val="Compact"/>
              <w:jc w:val="right"/>
            </w:pPr>
            <w:r>
              <w:t xml:space="preserve">0.6156</w:t>
            </w:r>
          </w:p>
        </w:tc>
        <w:tc>
          <w:tcPr/>
          <w:p>
            <w:pPr>
              <w:pStyle w:val="Compact"/>
              <w:jc w:val="right"/>
            </w:pPr>
            <w:r>
              <w:t xml:space="preserve">0.7705</w:t>
            </w:r>
          </w:p>
        </w:tc>
        <w:tc>
          <w:tcPr/>
          <w:p>
            <w:pPr>
              <w:pStyle w:val="Compact"/>
              <w:jc w:val="right"/>
            </w:pPr>
            <w:r>
              <w:t xml:space="preserve">1.0000</w:t>
            </w:r>
          </w:p>
        </w:tc>
      </w:tr>
    </w:tbl>
    <w:p>
      <w:pPr>
        <w:pStyle w:val="BodyText"/>
      </w:pPr>
      <w:r>
        <w:t xml:space="preserve">Across the pre-specified five-test nonlinear family (high-inflation-regime</w:t>
      </w:r>
      <w:r>
        <w:t xml:space="preserve"> </w:t>
      </w:r>
      <w:r>
        <w:t xml:space="preserve">interaction, smooth spline nonlinearity, quadratic diagnostic, threshold</w:t>
      </w:r>
      <w:r>
        <w:t xml:space="preserve"> </w:t>
      </w:r>
      <w:r>
        <w:t xml:space="preserve">existence, and positive/negative asymmetry), only the smooth-spline test is</w:t>
      </w:r>
      <w:r>
        <w:t xml:space="preserve"> </w:t>
      </w:r>
      <w:r>
        <w:t xml:space="preserve">nominally significant at the raw 5% level</w:t>
      </w:r>
      <w:r>
        <w:t xml:space="preserve"> </w:t>
      </w:r>
      <w:r>
        <w:t xml:space="preserve">(p = 0.0168),</w:t>
      </w:r>
      <w:r>
        <w:t xml:space="preserve"> </w:t>
      </w:r>
      <w:r>
        <w:t xml:space="preserve">and it does</w:t>
      </w:r>
      <w:r>
        <w:t xml:space="preserve"> </w:t>
      </w:r>
      <w:r>
        <w:rPr>
          <w:b/>
          <w:bCs/>
        </w:rPr>
        <w:t xml:space="preserve">not</w:t>
      </w:r>
      <w:r>
        <w:t xml:space="preserve"> </w:t>
      </w:r>
      <w:r>
        <w:t xml:space="preserve">survive Benjamini-Hochberg correction (p =</w:t>
      </w:r>
      <w:r>
        <w:t xml:space="preserve"> </w:t>
      </w:r>
      <w:r>
        <w:t xml:space="preserve">0.0842)</w:t>
      </w:r>
      <w:r>
        <w:t xml:space="preserve"> </w:t>
      </w:r>
      <w:r>
        <w:t xml:space="preserve">and fails to replicate under KNN spatial weights or at a six-month horizon</w:t>
      </w:r>
      <w:r>
        <w:t xml:space="preserve"> </w:t>
      </w:r>
      <w:r>
        <w:t xml:space="preserve">(Stage 15, Section F). This is reported as suggestive, non-actionable</w:t>
      </w:r>
      <w:r>
        <w:t xml:space="preserve"> </w:t>
      </w:r>
      <w:r>
        <w:t xml:space="preserve">evidence, not as an established nonlinear relationship.</w:t>
      </w:r>
    </w:p>
    <w:bookmarkEnd w:id="33"/>
    <w:bookmarkStart w:id="34" w:name="X7143f7d21a6db54965af31f53edc450536012e7"/>
    <w:p>
      <w:pPr>
        <w:pStyle w:val="Heading3"/>
      </w:pPr>
      <w:r>
        <w:t xml:space="preserve">Verified national shock episodes show no robust instability</w:t>
      </w:r>
    </w:p>
    <w:p>
      <w:pPr>
        <w:pStyle w:val="FirstParagraph"/>
      </w:pPr>
      <w:r>
        <w:t xml:space="preserve">Three officially verified national episodes (the December 2015 energy-price</w:t>
      </w:r>
      <w:r>
        <w:t xml:space="preserve"> </w:t>
      </w:r>
      <w:r>
        <w:t xml:space="preserve">reform, the January 2018 VAT-introduction/energy-price package, and the July</w:t>
      </w:r>
      <w:r>
        <w:t xml:space="preserve"> </w:t>
      </w:r>
      <w:r>
        <w:t xml:space="preserve">2020 VAT rate increase) were tested for associated changes in own-region</w:t>
      </w:r>
      <w:r>
        <w:t xml:space="preserve"> </w:t>
      </w:r>
      <w:r>
        <w:t xml:space="preserve">persistence, spatial predictive content, and their combination. Across the</w:t>
      </w:r>
      <w:r>
        <w:t xml:space="preserve"> </w:t>
      </w:r>
      <w:r>
        <w:t xml:space="preserve">pre-specified nine-test family (3 episodes x {spatial, own, combined}),</w:t>
      </w:r>
      <w:r>
        <w:t xml:space="preserve"> </w:t>
      </w:r>
      <w:r>
        <w:t xml:space="preserve">0 of 9 tests were nominally significant at raw</w:t>
      </w:r>
      <w:r>
        <w:t xml:space="preserve"> </w:t>
      </w:r>
      <w:r>
        <w:t xml:space="preserve">5%, and 0 survived Benjamini-Hochberg correction.</w:t>
      </w:r>
      <w:r>
        <w:t xml:space="preserve"> </w:t>
      </w:r>
      <w:r>
        <w:t xml:space="preserve">No robust event-conditioned parameter instability is found. One</w:t>
      </w:r>
      <w:r>
        <w:t xml:space="preserve"> </w:t>
      </w:r>
      <w:r>
        <w:t xml:space="preserve">qualification: in the weight-robustness check (Stage 16, Section J;</w:t>
      </w:r>
      <w:r>
        <w:t xml:space="preserve"> </w:t>
      </w:r>
      <w:r>
        <w:t xml:space="preserve">Driscoll-Kraay asymptotic p-values, no bootstrap), the spatial-dynamics</w:t>
      </w:r>
      <w:r>
        <w:t xml:space="preserve"> </w:t>
      </w:r>
      <w:r>
        <w:t xml:space="preserve">test for the July 2020 VAT increase is nominally significant under KNN</w:t>
      </w:r>
      <w:r>
        <w:t xml:space="preserve"> </w:t>
      </w:r>
      <w:r>
        <w:t xml:space="preserve">(p = 0.011)</w:t>
      </w:r>
      <w:r>
        <w:t xml:space="preserve"> </w:t>
      </w:r>
      <w:r>
        <w:t xml:space="preserve">and distance-band weights</w:t>
      </w:r>
      <w:r>
        <w:t xml:space="preserve"> </w:t>
      </w:r>
      <w:r>
        <w:t xml:space="preserve">(p &lt; 0.001),</w:t>
      </w:r>
      <w:r>
        <w:t xml:space="preserve"> </w:t>
      </w:r>
      <w:r>
        <w:t xml:space="preserve">but not under the primary Queen weights</w:t>
      </w:r>
      <w:r>
        <w:t xml:space="preserve"> </w:t>
      </w:r>
      <w:r>
        <w:t xml:space="preserve">(p = 0.14).</w:t>
      </w:r>
      <w:r>
        <w:t xml:space="preserve"> </w:t>
      </w:r>
      <w:r>
        <w:t xml:space="preserve">This episode overlaps the COVID-19 period, and the result is not part of</w:t>
      </w:r>
      <w:r>
        <w:t xml:space="preserve"> </w:t>
      </w:r>
      <w:r>
        <w:t xml:space="preserve">the pre-specified corrected family above.</w:t>
      </w:r>
    </w:p>
    <w:bookmarkEnd w:id="34"/>
    <w:bookmarkStart w:id="35" w:name="Xa6aac2dabc4d7107dd4d4641af16e497587a3bb"/>
    <w:p>
      <w:pPr>
        <w:pStyle w:val="Heading3"/>
      </w:pPr>
      <w:r>
        <w:t xml:space="preserve">Inflation is stationary; CPI levels are not</w:t>
      </w:r>
    </w:p>
    <w:p>
      <w:pPr>
        <w:pStyle w:val="FirstParagraph"/>
      </w:pPr>
      <w:r>
        <w:t xml:space="preserve">Per-region unit-root testing (ADF and KPSS, both required to agree; Stage</w:t>
      </w:r>
      <w:r>
        <w:t xml:space="preserve"> </w:t>
      </w:r>
      <w:r>
        <w:t xml:space="preserve">17) finds 13 of 13 regions’ inflation series stationary,</w:t>
      </w:r>
      <w:r>
        <w:t xml:space="preserve"> </w:t>
      </w:r>
      <w:r>
        <w:t xml:space="preserve">while 13 of 13 regions’ CPI</w:t>
      </w:r>
      <w:r>
        <w:t xml:space="preserve"> </w:t>
      </w:r>
      <w:r>
        <w:rPr>
          <w:i/>
          <w:iCs/>
        </w:rPr>
        <w:t xml:space="preserve">level</w:t>
      </w:r>
      <w:r>
        <w:t xml:space="preserve"> </w:t>
      </w:r>
      <w:r>
        <w:t xml:space="preserve">series are</w:t>
      </w:r>
      <w:r>
        <w:t xml:space="preserve"> </w:t>
      </w:r>
      <w:r>
        <w:t xml:space="preserve">non-stationary – the expected pattern for a differenced/growth-rate series</w:t>
      </w:r>
      <w:r>
        <w:t xml:space="preserve"> </w:t>
      </w:r>
      <w:r>
        <w:t xml:space="preserve">versus a trending price index. A break-aware (Zivot-Andrews) sensitivity</w:t>
      </w:r>
      <w:r>
        <w:t xml:space="preserve"> </w:t>
      </w:r>
      <w:r>
        <w:t xml:space="preserve">check changes this conclusion for only 1 of 13 regions. The seasonal</w:t>
      </w:r>
      <w:r>
        <w:t xml:space="preserve"> </w:t>
      </w:r>
      <w:r>
        <w:t xml:space="preserve">(lag-12) coefficient is not significant</w:t>
      </w:r>
      <w:r>
        <w:t xml:space="preserve"> </w:t>
      </w:r>
      <w:r>
        <w:t xml:space="preserve">(estimate = -0.0116, p =</w:t>
      </w:r>
      <w:r>
        <w:t xml:space="preserve"> </w:t>
      </w:r>
      <w:r>
        <w:t xml:space="preserve">0.688), and no longer-memory extension (lag-6,</w:t>
      </w:r>
      <w:r>
        <w:t xml:space="preserve"> </w:t>
      </w:r>
      <w:r>
        <w:t xml:space="preserve">lag-12) produces a materially decisive BIC improvement over the K=3</w:t>
      </w:r>
      <w:r>
        <w:t xml:space="preserve"> </w:t>
      </w:r>
      <w:r>
        <w:t xml:space="preserve">reference (Stage 17, Section D).</w:t>
      </w:r>
    </w:p>
    <w:bookmarkEnd w:id="35"/>
    <w:bookmarkEnd w:id="36"/>
    <w:bookmarkStart w:id="41" w:name="robustness-and-additional-analyses"/>
    <w:p>
      <w:pPr>
        <w:pStyle w:val="Heading2"/>
      </w:pPr>
      <w:r>
        <w:t xml:space="preserve">Robustness and Additional Analyses</w:t>
      </w:r>
    </w:p>
    <w:p>
      <w:pPr>
        <w:pStyle w:val="TableCaption"/>
      </w:pPr>
      <w:r>
        <w:t xml:space="preserve">Table 3. Final K=3 dynamic TWFE model: coefficients (Driscoll-Kraay).</w:t>
      </w:r>
    </w:p>
    <w:tbl>
      <w:tblPr>
        <w:tblStyle w:val="Table"/>
        <w:tblW w:type="pct" w:w="5000"/>
        <w:tblLayout w:type="fixed"/>
        <w:tblLook w:firstRow="1" w:lastRow="0" w:firstColumn="0" w:lastColumn="0" w:noHBand="0" w:noVBand="0" w:val="0020"/>
        <w:tblCaption w:val="Table 3. Final K=3 dynamic TWFE model: coefficients (Driscoll-Kraay)."/>
      </w:tblPr>
      <w:tblGrid>
        <w:gridCol w:w="3609"/>
        <w:gridCol w:w="902"/>
        <w:gridCol w:w="701"/>
        <w:gridCol w:w="802"/>
        <w:gridCol w:w="802"/>
        <w:gridCol w:w="1102"/>
      </w:tblGrid>
      <w:tr>
        <w:trPr>
          <w:tblHeader w:val="on"/>
        </w:trPr>
        <w:tc>
          <w:tcPr/>
          <w:p>
            <w:pPr>
              <w:pStyle w:val="Compact"/>
              <w:jc w:val="left"/>
            </w:pPr>
            <w:r>
              <w:t xml:space="preserve">parameter</w:t>
            </w:r>
          </w:p>
        </w:tc>
        <w:tc>
          <w:tcPr/>
          <w:p>
            <w:pPr>
              <w:pStyle w:val="Compact"/>
              <w:jc w:val="right"/>
            </w:pPr>
            <w:r>
              <w:t xml:space="preserve">estimate</w:t>
            </w:r>
          </w:p>
        </w:tc>
        <w:tc>
          <w:tcPr/>
          <w:p>
            <w:pPr>
              <w:pStyle w:val="Compact"/>
              <w:jc w:val="right"/>
            </w:pPr>
            <w:r>
              <w:t xml:space="preserve">dk_se</w:t>
            </w:r>
          </w:p>
        </w:tc>
        <w:tc>
          <w:tcPr/>
          <w:p>
            <w:pPr>
              <w:pStyle w:val="Compact"/>
              <w:jc w:val="right"/>
            </w:pPr>
            <w:r>
              <w:t xml:space="preserve">ci_low</w:t>
            </w:r>
          </w:p>
        </w:tc>
        <w:tc>
          <w:tcPr/>
          <w:p>
            <w:pPr>
              <w:pStyle w:val="Compact"/>
              <w:jc w:val="right"/>
            </w:pPr>
            <w:r>
              <w:t xml:space="preserve">ci_high</w:t>
            </w:r>
          </w:p>
        </w:tc>
        <w:tc>
          <w:tcPr/>
          <w:p>
            <w:pPr>
              <w:pStyle w:val="Compact"/>
              <w:jc w:val="right"/>
            </w:pPr>
            <w:r>
              <w:t xml:space="preserve">p_value_dk</w:t>
            </w:r>
          </w:p>
        </w:tc>
      </w:tr>
      <w:tr>
        <w:tc>
          <w:tcPr/>
          <w:p>
            <w:pPr>
              <w:pStyle w:val="Compact"/>
              <w:jc w:val="left"/>
            </w:pPr>
            <w:r>
              <w:t xml:space="preserve">phi_1 (own lag 1)</w:t>
            </w:r>
          </w:p>
        </w:tc>
        <w:tc>
          <w:tcPr/>
          <w:p>
            <w:pPr>
              <w:pStyle w:val="Compact"/>
              <w:jc w:val="right"/>
            </w:pPr>
            <w:r>
              <w:t xml:space="preserve">-0.1600</w:t>
            </w:r>
          </w:p>
        </w:tc>
        <w:tc>
          <w:tcPr/>
          <w:p>
            <w:pPr>
              <w:pStyle w:val="Compact"/>
              <w:jc w:val="right"/>
            </w:pPr>
            <w:r>
              <w:t xml:space="preserve">0.0876</w:t>
            </w:r>
          </w:p>
        </w:tc>
        <w:tc>
          <w:tcPr/>
          <w:p>
            <w:pPr>
              <w:pStyle w:val="Compact"/>
              <w:jc w:val="right"/>
            </w:pPr>
            <w:r>
              <w:t xml:space="preserve">-0.3316</w:t>
            </w:r>
          </w:p>
        </w:tc>
        <w:tc>
          <w:tcPr/>
          <w:p>
            <w:pPr>
              <w:pStyle w:val="Compact"/>
              <w:jc w:val="right"/>
            </w:pPr>
            <w:r>
              <w:t xml:space="preserve">0.0117</w:t>
            </w:r>
          </w:p>
        </w:tc>
        <w:tc>
          <w:tcPr/>
          <w:p>
            <w:pPr>
              <w:pStyle w:val="Compact"/>
              <w:jc w:val="right"/>
            </w:pPr>
            <w:r>
              <w:t xml:space="preserve">0.0678</w:t>
            </w:r>
          </w:p>
        </w:tc>
      </w:tr>
      <w:tr>
        <w:tc>
          <w:tcPr/>
          <w:p>
            <w:pPr>
              <w:pStyle w:val="Compact"/>
              <w:jc w:val="left"/>
            </w:pPr>
            <w:r>
              <w:t xml:space="preserve">phi_2 (own lag 2)</w:t>
            </w:r>
          </w:p>
        </w:tc>
        <w:tc>
          <w:tcPr/>
          <w:p>
            <w:pPr>
              <w:pStyle w:val="Compact"/>
              <w:jc w:val="right"/>
            </w:pPr>
            <w:r>
              <w:t xml:space="preserve">0.0597</w:t>
            </w:r>
          </w:p>
        </w:tc>
        <w:tc>
          <w:tcPr/>
          <w:p>
            <w:pPr>
              <w:pStyle w:val="Compact"/>
              <w:jc w:val="right"/>
            </w:pPr>
            <w:r>
              <w:t xml:space="preserve">0.0538</w:t>
            </w:r>
          </w:p>
        </w:tc>
        <w:tc>
          <w:tcPr/>
          <w:p>
            <w:pPr>
              <w:pStyle w:val="Compact"/>
              <w:jc w:val="right"/>
            </w:pPr>
            <w:r>
              <w:t xml:space="preserve">-0.0458</w:t>
            </w:r>
          </w:p>
        </w:tc>
        <w:tc>
          <w:tcPr/>
          <w:p>
            <w:pPr>
              <w:pStyle w:val="Compact"/>
              <w:jc w:val="right"/>
            </w:pPr>
            <w:r>
              <w:t xml:space="preserve">0.1652</w:t>
            </w:r>
          </w:p>
        </w:tc>
        <w:tc>
          <w:tcPr/>
          <w:p>
            <w:pPr>
              <w:pStyle w:val="Compact"/>
              <w:jc w:val="right"/>
            </w:pPr>
            <w:r>
              <w:t xml:space="preserve">0.2674</w:t>
            </w:r>
          </w:p>
        </w:tc>
      </w:tr>
      <w:tr>
        <w:tc>
          <w:tcPr/>
          <w:p>
            <w:pPr>
              <w:pStyle w:val="Compact"/>
              <w:jc w:val="left"/>
            </w:pPr>
            <w:r>
              <w:t xml:space="preserve">phi_3 (own lag 3)</w:t>
            </w:r>
          </w:p>
        </w:tc>
        <w:tc>
          <w:tcPr/>
          <w:p>
            <w:pPr>
              <w:pStyle w:val="Compact"/>
              <w:jc w:val="right"/>
            </w:pPr>
            <w:r>
              <w:t xml:space="preserve">-0.0321</w:t>
            </w:r>
          </w:p>
        </w:tc>
        <w:tc>
          <w:tcPr/>
          <w:p>
            <w:pPr>
              <w:pStyle w:val="Compact"/>
              <w:jc w:val="right"/>
            </w:pPr>
            <w:r>
              <w:t xml:space="preserve">0.0396</w:t>
            </w:r>
          </w:p>
        </w:tc>
        <w:tc>
          <w:tcPr/>
          <w:p>
            <w:pPr>
              <w:pStyle w:val="Compact"/>
              <w:jc w:val="right"/>
            </w:pPr>
            <w:r>
              <w:t xml:space="preserve">-0.1097</w:t>
            </w:r>
          </w:p>
        </w:tc>
        <w:tc>
          <w:tcPr/>
          <w:p>
            <w:pPr>
              <w:pStyle w:val="Compact"/>
              <w:jc w:val="right"/>
            </w:pPr>
            <w:r>
              <w:t xml:space="preserve">0.0456</w:t>
            </w:r>
          </w:p>
        </w:tc>
        <w:tc>
          <w:tcPr/>
          <w:p>
            <w:pPr>
              <w:pStyle w:val="Compact"/>
              <w:jc w:val="right"/>
            </w:pPr>
            <w:r>
              <w:t xml:space="preserve">0.4181</w:t>
            </w:r>
          </w:p>
        </w:tc>
      </w:tr>
      <w:tr>
        <w:tc>
          <w:tcPr/>
          <w:p>
            <w:pPr>
              <w:pStyle w:val="Compact"/>
              <w:jc w:val="left"/>
            </w:pPr>
            <w:r>
              <w:t xml:space="preserve">theta_1 (spatial lag 1)</w:t>
            </w:r>
          </w:p>
        </w:tc>
        <w:tc>
          <w:tcPr/>
          <w:p>
            <w:pPr>
              <w:pStyle w:val="Compact"/>
              <w:jc w:val="right"/>
            </w:pPr>
            <w:r>
              <w:t xml:space="preserve">0.0008</w:t>
            </w:r>
          </w:p>
        </w:tc>
        <w:tc>
          <w:tcPr/>
          <w:p>
            <w:pPr>
              <w:pStyle w:val="Compact"/>
              <w:jc w:val="right"/>
            </w:pPr>
            <w:r>
              <w:t xml:space="preserve">0.0354</w:t>
            </w:r>
          </w:p>
        </w:tc>
        <w:tc>
          <w:tcPr/>
          <w:p>
            <w:pPr>
              <w:pStyle w:val="Compact"/>
              <w:jc w:val="right"/>
            </w:pPr>
            <w:r>
              <w:t xml:space="preserve">-0.0686</w:t>
            </w:r>
          </w:p>
        </w:tc>
        <w:tc>
          <w:tcPr/>
          <w:p>
            <w:pPr>
              <w:pStyle w:val="Compact"/>
              <w:jc w:val="right"/>
            </w:pPr>
            <w:r>
              <w:t xml:space="preserve">0.0702</w:t>
            </w:r>
          </w:p>
        </w:tc>
        <w:tc>
          <w:tcPr/>
          <w:p>
            <w:pPr>
              <w:pStyle w:val="Compact"/>
              <w:jc w:val="right"/>
            </w:pPr>
            <w:r>
              <w:t xml:space="preserve">0.9820</w:t>
            </w:r>
          </w:p>
        </w:tc>
      </w:tr>
      <w:tr>
        <w:tc>
          <w:tcPr/>
          <w:p>
            <w:pPr>
              <w:pStyle w:val="Compact"/>
              <w:jc w:val="left"/>
            </w:pPr>
            <w:r>
              <w:t xml:space="preserve">theta_2 (spatial lag 2)</w:t>
            </w:r>
          </w:p>
        </w:tc>
        <w:tc>
          <w:tcPr/>
          <w:p>
            <w:pPr>
              <w:pStyle w:val="Compact"/>
              <w:jc w:val="right"/>
            </w:pPr>
            <w:r>
              <w:t xml:space="preserve">0.0296</w:t>
            </w:r>
          </w:p>
        </w:tc>
        <w:tc>
          <w:tcPr/>
          <w:p>
            <w:pPr>
              <w:pStyle w:val="Compact"/>
              <w:jc w:val="right"/>
            </w:pPr>
            <w:r>
              <w:t xml:space="preserve">0.0334</w:t>
            </w:r>
          </w:p>
        </w:tc>
        <w:tc>
          <w:tcPr/>
          <w:p>
            <w:pPr>
              <w:pStyle w:val="Compact"/>
              <w:jc w:val="right"/>
            </w:pPr>
            <w:r>
              <w:t xml:space="preserve">-0.0360</w:t>
            </w:r>
          </w:p>
        </w:tc>
        <w:tc>
          <w:tcPr/>
          <w:p>
            <w:pPr>
              <w:pStyle w:val="Compact"/>
              <w:jc w:val="right"/>
            </w:pPr>
            <w:r>
              <w:t xml:space="preserve">0.0951</w:t>
            </w:r>
          </w:p>
        </w:tc>
        <w:tc>
          <w:tcPr/>
          <w:p>
            <w:pPr>
              <w:pStyle w:val="Compact"/>
              <w:jc w:val="right"/>
            </w:pPr>
            <w:r>
              <w:t xml:space="preserve">0.3767</w:t>
            </w:r>
          </w:p>
        </w:tc>
      </w:tr>
      <w:tr>
        <w:tc>
          <w:tcPr/>
          <w:p>
            <w:pPr>
              <w:pStyle w:val="Compact"/>
              <w:jc w:val="left"/>
            </w:pPr>
            <w:r>
              <w:t xml:space="preserve">theta_3 (spatial lag 3)</w:t>
            </w:r>
          </w:p>
        </w:tc>
        <w:tc>
          <w:tcPr/>
          <w:p>
            <w:pPr>
              <w:pStyle w:val="Compact"/>
              <w:jc w:val="right"/>
            </w:pPr>
            <w:r>
              <w:t xml:space="preserve">-0.0402</w:t>
            </w:r>
          </w:p>
        </w:tc>
        <w:tc>
          <w:tcPr/>
          <w:p>
            <w:pPr>
              <w:pStyle w:val="Compact"/>
              <w:jc w:val="right"/>
            </w:pPr>
            <w:r>
              <w:t xml:space="preserve">0.0452</w:t>
            </w:r>
          </w:p>
        </w:tc>
        <w:tc>
          <w:tcPr/>
          <w:p>
            <w:pPr>
              <w:pStyle w:val="Compact"/>
              <w:jc w:val="right"/>
            </w:pPr>
            <w:r>
              <w:t xml:space="preserve">-0.1288</w:t>
            </w:r>
          </w:p>
        </w:tc>
        <w:tc>
          <w:tcPr/>
          <w:p>
            <w:pPr>
              <w:pStyle w:val="Compact"/>
              <w:jc w:val="right"/>
            </w:pPr>
            <w:r>
              <w:t xml:space="preserve">0.0484</w:t>
            </w:r>
          </w:p>
        </w:tc>
        <w:tc>
          <w:tcPr/>
          <w:p>
            <w:pPr>
              <w:pStyle w:val="Compact"/>
              <w:jc w:val="right"/>
            </w:pPr>
            <w:r>
              <w:t xml:space="preserve">0.3742</w:t>
            </w:r>
          </w:p>
        </w:tc>
      </w:tr>
      <w:tr>
        <w:tc>
          <w:tcPr/>
          <w:p>
            <w:pPr>
              <w:pStyle w:val="Compact"/>
              <w:jc w:val="left"/>
            </w:pPr>
            <w:r>
              <w:t xml:space="preserve">Cumulative own effect (sum phi_k)</w:t>
            </w:r>
          </w:p>
        </w:tc>
        <w:tc>
          <w:tcPr/>
          <w:p>
            <w:pPr>
              <w:pStyle w:val="Compact"/>
              <w:jc w:val="right"/>
            </w:pPr>
            <w:r>
              <w:t xml:space="preserve">-0.1323</w:t>
            </w:r>
          </w:p>
        </w:tc>
        <w:tc>
          <w:tcPr/>
          <w:p>
            <w:pPr>
              <w:pStyle w:val="Compact"/>
              <w:jc w:val="right"/>
            </w:pPr>
            <w:r>
              <w:t xml:space="preserve">0.1267</w:t>
            </w:r>
          </w:p>
        </w:tc>
        <w:tc>
          <w:tcPr/>
          <w:p>
            <w:pPr>
              <w:pStyle w:val="Compact"/>
              <w:jc w:val="right"/>
            </w:pPr>
            <w:r>
              <w:t xml:space="preserve">-0.3807</w:t>
            </w:r>
          </w:p>
        </w:tc>
        <w:tc>
          <w:tcPr/>
          <w:p>
            <w:pPr>
              <w:pStyle w:val="Compact"/>
              <w:jc w:val="right"/>
            </w:pPr>
            <w:r>
              <w:t xml:space="preserve">0.1160</w:t>
            </w:r>
          </w:p>
        </w:tc>
        <w:tc>
          <w:tcPr/>
          <w:p>
            <w:pPr>
              <w:pStyle w:val="Compact"/>
              <w:jc w:val="right"/>
            </w:pPr>
            <w:r>
              <w:t xml:space="preserve">0.2964</w:t>
            </w:r>
          </w:p>
        </w:tc>
      </w:tr>
      <w:tr>
        <w:tc>
          <w:tcPr/>
          <w:p>
            <w:pPr>
              <w:pStyle w:val="Compact"/>
              <w:jc w:val="left"/>
            </w:pPr>
            <w:r>
              <w:t xml:space="preserve">Cumulative spatial effect (Theta_3)</w:t>
            </w:r>
          </w:p>
        </w:tc>
        <w:tc>
          <w:tcPr/>
          <w:p>
            <w:pPr>
              <w:pStyle w:val="Compact"/>
              <w:jc w:val="right"/>
            </w:pPr>
            <w:r>
              <w:t xml:space="preserve">-0.0098</w:t>
            </w:r>
          </w:p>
        </w:tc>
        <w:tc>
          <w:tcPr/>
          <w:p>
            <w:pPr>
              <w:pStyle w:val="Compact"/>
              <w:jc w:val="right"/>
            </w:pPr>
            <w:r>
              <w:t xml:space="preserve">0.0857</w:t>
            </w:r>
          </w:p>
        </w:tc>
        <w:tc>
          <w:tcPr/>
          <w:p>
            <w:pPr>
              <w:pStyle w:val="Compact"/>
              <w:jc w:val="right"/>
            </w:pPr>
            <w:r>
              <w:t xml:space="preserve">-0.1778</w:t>
            </w:r>
          </w:p>
        </w:tc>
        <w:tc>
          <w:tcPr/>
          <w:p>
            <w:pPr>
              <w:pStyle w:val="Compact"/>
              <w:jc w:val="right"/>
            </w:pPr>
            <w:r>
              <w:t xml:space="preserve">0.1582</w:t>
            </w:r>
          </w:p>
        </w:tc>
        <w:tc>
          <w:tcPr/>
          <w:p>
            <w:pPr>
              <w:pStyle w:val="Compact"/>
              <w:jc w:val="right"/>
            </w:pPr>
            <w:r>
              <w:t xml:space="preserve">0.9087</w:t>
            </w:r>
          </w:p>
        </w:tc>
      </w:tr>
    </w:tbl>
    <w:p>
      <w:pPr>
        <w:pStyle w:val="TableCaption"/>
      </w:pPr>
      <w:r>
        <w:t xml:space="preserve">Table 3 (continued). Final model metadata.</w:t>
      </w:r>
    </w:p>
    <w:tbl>
      <w:tblPr>
        <w:tblStyle w:val="Table"/>
        <w:tblW w:type="pct" w:w="5000"/>
        <w:tblLayout w:type="fixed"/>
        <w:tblLook w:firstRow="1" w:lastRow="0" w:firstColumn="0" w:lastColumn="0" w:noHBand="0" w:noVBand="0" w:val="0020"/>
        <w:tblCaption w:val="Table 3 (continued). Final model metadata."/>
      </w:tblPr>
      <w:tblGrid>
        <w:gridCol w:w="4316"/>
        <w:gridCol w:w="419"/>
        <w:gridCol w:w="377"/>
        <w:gridCol w:w="419"/>
        <w:gridCol w:w="251"/>
        <w:gridCol w:w="419"/>
        <w:gridCol w:w="335"/>
        <w:gridCol w:w="377"/>
        <w:gridCol w:w="1005"/>
      </w:tblGrid>
      <w:tr>
        <w:trPr>
          <w:tblHeader w:val="on"/>
        </w:trPr>
        <w:tc>
          <w:tcPr/>
          <w:p>
            <w:pPr>
              <w:pStyle w:val="Compact"/>
              <w:jc w:val="left"/>
            </w:pPr>
            <w:r>
              <w:t xml:space="preserve">final_model_spec</w:t>
            </w:r>
          </w:p>
        </w:tc>
        <w:tc>
          <w:tcPr/>
          <w:p>
            <w:pPr>
              <w:pStyle w:val="Compact"/>
              <w:jc w:val="right"/>
            </w:pPr>
            <w:r>
              <w:t xml:space="preserve">N_regions</w:t>
            </w:r>
          </w:p>
        </w:tc>
        <w:tc>
          <w:tcPr/>
          <w:p>
            <w:pPr>
              <w:pStyle w:val="Compact"/>
              <w:jc w:val="right"/>
            </w:pPr>
            <w:r>
              <w:t xml:space="preserve">T_months</w:t>
            </w:r>
          </w:p>
        </w:tc>
        <w:tc>
          <w:tcPr/>
          <w:p>
            <w:pPr>
              <w:pStyle w:val="Compact"/>
              <w:jc w:val="right"/>
            </w:pPr>
            <w:r>
              <w:t xml:space="preserve">total_obs</w:t>
            </w:r>
          </w:p>
        </w:tc>
        <w:tc>
          <w:tcPr/>
          <w:p>
            <w:pPr>
              <w:pStyle w:val="Compact"/>
              <w:jc w:val="right"/>
            </w:pPr>
            <w:r>
              <w:t xml:space="preserve">R2</w:t>
            </w:r>
          </w:p>
        </w:tc>
        <w:tc>
          <w:tcPr/>
          <w:p>
            <w:pPr>
              <w:pStyle w:val="Compact"/>
              <w:jc w:val="right"/>
            </w:pPr>
            <w:r>
              <w:t xml:space="preserve">within_R2</w:t>
            </w:r>
          </w:p>
        </w:tc>
        <w:tc>
          <w:tcPr/>
          <w:p>
            <w:pPr>
              <w:pStyle w:val="Compact"/>
              <w:jc w:val="right"/>
            </w:pPr>
            <w:r>
              <w:t xml:space="preserve">AIC</w:t>
            </w:r>
          </w:p>
        </w:tc>
        <w:tc>
          <w:tcPr/>
          <w:p>
            <w:pPr>
              <w:pStyle w:val="Compact"/>
              <w:jc w:val="right"/>
            </w:pPr>
            <w:r>
              <w:t xml:space="preserve">BIC</w:t>
            </w:r>
          </w:p>
        </w:tc>
        <w:tc>
          <w:tcPr/>
          <w:p>
            <w:pPr>
              <w:pStyle w:val="Compact"/>
              <w:jc w:val="right"/>
            </w:pPr>
            <w:r>
              <w:t xml:space="preserve">wcb_joint_p_value_B9999</w:t>
            </w:r>
          </w:p>
        </w:tc>
      </w:tr>
      <w:tr>
        <w:tc>
          <w:tcPr/>
          <w:p>
            <w:pPr>
              <w:pStyle w:val="Compact"/>
              <w:jc w:val="left"/>
            </w:pPr>
            <w:r>
              <w:t xml:space="preserve">inflation_mom ~ region_id_f + date_f + own_lag_1 + own_lag_2 + own_lag_3 + w_lag_1 + w_lag_2 + w_lag_3</w:t>
            </w:r>
          </w:p>
        </w:tc>
        <w:tc>
          <w:tcPr/>
          <w:p>
            <w:pPr>
              <w:pStyle w:val="Compact"/>
              <w:jc w:val="right"/>
            </w:pPr>
            <w:r>
              <w:t xml:space="preserve">13</w:t>
            </w:r>
          </w:p>
        </w:tc>
        <w:tc>
          <w:tcPr/>
          <w:p>
            <w:pPr>
              <w:pStyle w:val="Compact"/>
              <w:jc w:val="right"/>
            </w:pPr>
            <w:r>
              <w:t xml:space="preserve">154</w:t>
            </w:r>
          </w:p>
        </w:tc>
        <w:tc>
          <w:tcPr/>
          <w:p>
            <w:pPr>
              <w:pStyle w:val="Compact"/>
              <w:jc w:val="right"/>
            </w:pPr>
            <w:r>
              <w:t xml:space="preserve">2002</w:t>
            </w:r>
          </w:p>
        </w:tc>
        <w:tc>
          <w:tcPr/>
          <w:p>
            <w:pPr>
              <w:pStyle w:val="Compact"/>
              <w:jc w:val="right"/>
            </w:pPr>
            <w:r>
              <w:t xml:space="preserve">0.454</w:t>
            </w:r>
          </w:p>
        </w:tc>
        <w:tc>
          <w:tcPr/>
          <w:p>
            <w:pPr>
              <w:pStyle w:val="Compact"/>
              <w:jc w:val="right"/>
            </w:pPr>
            <w:r>
              <w:t xml:space="preserve">0.454</w:t>
            </w:r>
          </w:p>
        </w:tc>
        <w:tc>
          <w:tcPr/>
          <w:p>
            <w:pPr>
              <w:pStyle w:val="Compact"/>
              <w:jc w:val="right"/>
            </w:pPr>
            <w:r>
              <w:t xml:space="preserve">4476.08</w:t>
            </w:r>
          </w:p>
        </w:tc>
        <w:tc>
          <w:tcPr/>
          <w:p>
            <w:pPr>
              <w:pStyle w:val="Compact"/>
              <w:jc w:val="right"/>
            </w:pPr>
            <w:r>
              <w:t xml:space="preserve">5445.209</w:t>
            </w:r>
          </w:p>
        </w:tc>
        <w:tc>
          <w:tcPr/>
          <w:p>
            <w:pPr>
              <w:pStyle w:val="Compact"/>
              <w:jc w:val="right"/>
            </w:pPr>
            <w:r>
              <w:t xml:space="preserve">0.5754</w:t>
            </w:r>
          </w:p>
        </w:tc>
      </w:tr>
    </w:tbl>
    <w:p>
      <w:pPr>
        <w:pStyle w:val="BodyText"/>
      </w:pPr>
      <w:r>
        <w:t xml:space="preserve"> </w:t>
      </w:r>
    </w:p>
    <w:p>
      <w:pPr>
        <w:pStyle w:val="TableCaption"/>
      </w:pPr>
      <w:r>
        <w:t xml:space="preserve">Table 5. Final robustness summary (Stage 18).</w:t>
      </w:r>
    </w:p>
    <w:tbl>
      <w:tblPr>
        <w:tblStyle w:val="Table"/>
        <w:tblW w:type="pct" w:w="5000"/>
        <w:tblLayout w:type="fixed"/>
        <w:tblLook w:firstRow="1" w:lastRow="0" w:firstColumn="0" w:lastColumn="0" w:noHBand="0" w:noVBand="0" w:val="0020"/>
        <w:tblCaption w:val="Table 5. Final robustness summary (Stage 18)."/>
      </w:tblPr>
      <w:tblGrid>
        <w:gridCol w:w="4204"/>
        <w:gridCol w:w="684"/>
        <w:gridCol w:w="684"/>
        <w:gridCol w:w="2346"/>
      </w:tblGrid>
      <w:tr>
        <w:trPr>
          <w:tblHeader w:val="on"/>
        </w:trPr>
        <w:tc>
          <w:tcPr/>
          <w:p>
            <w:pPr>
              <w:pStyle w:val="Compact"/>
              <w:jc w:val="left"/>
            </w:pPr>
            <w:r>
              <w:t xml:space="preserve">check</w:t>
            </w:r>
          </w:p>
        </w:tc>
        <w:tc>
          <w:tcPr/>
          <w:p>
            <w:pPr>
              <w:pStyle w:val="Compact"/>
              <w:jc w:val="right"/>
            </w:pPr>
            <w:r>
              <w:t xml:space="preserve">min_p</w:t>
            </w:r>
          </w:p>
        </w:tc>
        <w:tc>
          <w:tcPr/>
          <w:p>
            <w:pPr>
              <w:pStyle w:val="Compact"/>
              <w:jc w:val="right"/>
            </w:pPr>
            <w:r>
              <w:t xml:space="preserve">max_p</w:t>
            </w:r>
          </w:p>
        </w:tc>
        <w:tc>
          <w:tcPr/>
          <w:p>
            <w:pPr>
              <w:pStyle w:val="Compact"/>
              <w:jc w:val="left"/>
            </w:pPr>
            <w:r>
              <w:t xml:space="preserve">conclusion_ever_changes</w:t>
            </w:r>
          </w:p>
        </w:tc>
      </w:tr>
      <w:tr>
        <w:tc>
          <w:tcPr/>
          <w:p>
            <w:pPr>
              <w:pStyle w:val="Compact"/>
              <w:jc w:val="left"/>
            </w:pPr>
            <w:r>
              <w:t xml:space="preserve">Leave-one-region-out (13 refits)</w:t>
            </w:r>
          </w:p>
        </w:tc>
        <w:tc>
          <w:tcPr/>
          <w:p>
            <w:pPr>
              <w:pStyle w:val="Compact"/>
              <w:jc w:val="right"/>
            </w:pPr>
            <w:r>
              <w:t xml:space="preserve">0.0771</w:t>
            </w:r>
          </w:p>
        </w:tc>
        <w:tc>
          <w:tcPr/>
          <w:p>
            <w:pPr>
              <w:pStyle w:val="Compact"/>
              <w:jc w:val="right"/>
            </w:pPr>
            <w:r>
              <w:t xml:space="preserve">0.7972</w:t>
            </w:r>
          </w:p>
        </w:tc>
        <w:tc>
          <w:tcPr/>
          <w:p>
            <w:pPr>
              <w:pStyle w:val="Compact"/>
              <w:jc w:val="left"/>
            </w:pPr>
            <w:r>
              <w:t xml:space="preserve">FALSE</w:t>
            </w:r>
          </w:p>
        </w:tc>
      </w:tr>
      <w:tr>
        <w:tc>
          <w:tcPr/>
          <w:p>
            <w:pPr>
              <w:pStyle w:val="Compact"/>
              <w:jc w:val="left"/>
            </w:pPr>
            <w:r>
              <w:t xml:space="preserve">Influential-month sensitivity (4 specs)</w:t>
            </w:r>
          </w:p>
        </w:tc>
        <w:tc>
          <w:tcPr/>
          <w:p>
            <w:pPr>
              <w:pStyle w:val="Compact"/>
              <w:jc w:val="right"/>
            </w:pPr>
            <w:r>
              <w:t xml:space="preserve">0.2361</w:t>
            </w:r>
          </w:p>
        </w:tc>
        <w:tc>
          <w:tcPr/>
          <w:p>
            <w:pPr>
              <w:pStyle w:val="Compact"/>
              <w:jc w:val="right"/>
            </w:pPr>
            <w:r>
              <w:t xml:space="preserve">0.3772</w:t>
            </w:r>
          </w:p>
        </w:tc>
        <w:tc>
          <w:tcPr/>
          <w:p>
            <w:pPr>
              <w:pStyle w:val="Compact"/>
              <w:jc w:val="left"/>
            </w:pPr>
            <w:r>
              <w:t xml:space="preserve">FALSE</w:t>
            </w:r>
          </w:p>
        </w:tc>
      </w:tr>
      <w:tr>
        <w:tc>
          <w:tcPr/>
          <w:p>
            <w:pPr>
              <w:pStyle w:val="Compact"/>
              <w:jc w:val="left"/>
            </w:pPr>
            <w:r>
              <w:t xml:space="preserve">Spatial-weight matrix (Queen/KNN/distance)</w:t>
            </w:r>
          </w:p>
        </w:tc>
        <w:tc>
          <w:tcPr/>
          <w:p>
            <w:pPr>
              <w:pStyle w:val="Compact"/>
              <w:jc w:val="right"/>
            </w:pPr>
            <w:r>
              <w:t xml:space="preserve">0.3156</w:t>
            </w:r>
          </w:p>
        </w:tc>
        <w:tc>
          <w:tcPr/>
          <w:p>
            <w:pPr>
              <w:pStyle w:val="Compact"/>
              <w:jc w:val="right"/>
            </w:pPr>
            <w:r>
              <w:t xml:space="preserve">0.9849</w:t>
            </w:r>
          </w:p>
        </w:tc>
        <w:tc>
          <w:tcPr/>
          <w:p>
            <w:pPr>
              <w:pStyle w:val="Compact"/>
              <w:jc w:val="left"/>
            </w:pPr>
            <w:r>
              <w:t xml:space="preserve">FALSE</w:t>
            </w:r>
          </w:p>
        </w:tc>
      </w:tr>
      <w:tr>
        <w:tc>
          <w:tcPr/>
          <w:p>
            <w:pPr>
              <w:pStyle w:val="Compact"/>
              <w:jc w:val="left"/>
            </w:pPr>
            <w:r>
              <w:t xml:space="preserve">Dynamic horizon (K=1/3/6)</w:t>
            </w:r>
          </w:p>
        </w:tc>
        <w:tc>
          <w:tcPr/>
          <w:p>
            <w:pPr>
              <w:pStyle w:val="Compact"/>
              <w:jc w:val="right"/>
            </w:pPr>
            <w:r>
              <w:t xml:space="preserve">0.3196</w:t>
            </w:r>
          </w:p>
        </w:tc>
        <w:tc>
          <w:tcPr/>
          <w:p>
            <w:pPr>
              <w:pStyle w:val="Compact"/>
              <w:jc w:val="right"/>
            </w:pPr>
            <w:r>
              <w:t xml:space="preserve">0.9107</w:t>
            </w:r>
          </w:p>
        </w:tc>
        <w:tc>
          <w:tcPr/>
          <w:p>
            <w:pPr>
              <w:pStyle w:val="Compact"/>
              <w:jc w:val="left"/>
            </w:pPr>
            <w:r>
              <w:t xml:space="preserve">FALSE</w:t>
            </w:r>
          </w:p>
        </w:tc>
      </w:tr>
      <w:tr>
        <w:tc>
          <w:tcPr/>
          <w:p>
            <w:pPr>
              <w:pStyle w:val="Compact"/>
              <w:jc w:val="left"/>
            </w:pPr>
            <w:r>
              <w:t xml:space="preserve">Temporal specification (T0/T1)</w:t>
            </w:r>
          </w:p>
        </w:tc>
        <w:tc>
          <w:tcPr/>
          <w:p>
            <w:pPr>
              <w:pStyle w:val="Compact"/>
              <w:jc w:val="right"/>
            </w:pPr>
            <w:r>
              <w:t xml:space="preserve">0.2713</w:t>
            </w:r>
          </w:p>
        </w:tc>
        <w:tc>
          <w:tcPr/>
          <w:p>
            <w:pPr>
              <w:pStyle w:val="Compact"/>
              <w:jc w:val="right"/>
            </w:pPr>
            <w:r>
              <w:t xml:space="preserve">0.3196</w:t>
            </w:r>
          </w:p>
        </w:tc>
        <w:tc>
          <w:tcPr/>
          <w:p>
            <w:pPr>
              <w:pStyle w:val="Compact"/>
              <w:jc w:val="left"/>
            </w:pPr>
            <w:r>
              <w:t xml:space="preserve">FALSE</w:t>
            </w:r>
          </w:p>
        </w:tc>
      </w:tr>
    </w:tbl>
    <w:p>
      <w:pPr>
        <w:pStyle w:val="BodyText"/>
      </w:pPr>
      <w:r>
        <w:t xml:space="preserve">The final K=3 model’s central conclusion – non-significant joint spatial</w:t>
      </w:r>
      <w:r>
        <w:t xml:space="preserve"> </w:t>
      </w:r>
      <w:r>
        <w:t xml:space="preserve">predictive dependence – is unchanged: across all 13 leave-one-region-out</w:t>
      </w:r>
      <w:r>
        <w:t xml:space="preserve"> </w:t>
      </w:r>
      <w:r>
        <w:t xml:space="preserve">re-estimations (joint p range</w:t>
      </w:r>
      <w:r>
        <w:t xml:space="preserve"> </w:t>
      </w:r>
      <w:r>
        <w:t xml:space="preserve">[0.077, 0.797]; Figure 5 below);</w:t>
      </w:r>
      <w:r>
        <w:t xml:space="preserve"> </w:t>
      </w:r>
      <w:r>
        <w:t xml:space="preserve">across influential-month exclusion specifications;</w:t>
      </w:r>
    </w:p>
    <w:p>
      <w:pPr>
        <w:pStyle w:val="CaptionedFigure"/>
      </w:pPr>
      <w:r>
        <w:drawing>
          <wp:inline>
            <wp:extent cx="5334000" cy="4000499"/>
            <wp:effectExtent b="0" l="0" r="0" t="0"/>
            <wp:docPr descr="Figure 5. Leave-one-region-out cumulative spatial effect (Theta_3), Driscoll-Kraay 95% CI (Stage 18)." title="" id="38" name="Picture"/>
            <a:graphic>
              <a:graphicData uri="http://schemas.openxmlformats.org/drawingml/2006/picture">
                <pic:pic>
                  <pic:nvPicPr>
                    <pic:cNvPr descr="results_v2/final_robustness/figures/fig_1_loro_theta3_forest_plot.png" id="39" name="Picture"/>
                    <pic:cNvPicPr>
                      <a:picLocks noChangeArrowheads="1" noChangeAspect="1"/>
                    </pic:cNvPicPr>
                  </pic:nvPicPr>
                  <pic:blipFill>
                    <a:blip r:embed="rId37"/>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Figure 5. Leave-one-region-out cumulative spatial effect (Theta_3), Driscoll-Kraay 95% CI (Stage 18).</w:t>
      </w:r>
    </w:p>
    <w:p>
      <w:pPr>
        <w:pStyle w:val="BodyText"/>
      </w:pPr>
      <w:r>
        <w:t xml:space="preserve">across Queen, KNN</w:t>
      </w:r>
      <w:r>
        <w:t xml:space="preserve"> </w:t>
      </w:r>
      <w:r>
        <w:t xml:space="preserve">(k=4), and distance-band spatial weights (Table 5); across K=1/3/6 dynamic</w:t>
      </w:r>
      <w:r>
        <w:t xml:space="preserve"> </w:t>
      </w:r>
      <w:r>
        <w:t xml:space="preserve">horizons (Table 4); across the T0/T1 temporal-specification comparison</w:t>
      </w:r>
      <w:r>
        <w:t xml:space="preserve"> </w:t>
      </w:r>
      <w:r>
        <w:t xml:space="preserve">confirming Stage 17’s own finding; and across four inference methods –</w:t>
      </w:r>
      <w:r>
        <w:t xml:space="preserve"> </w:t>
      </w:r>
      <w:r>
        <w:t xml:space="preserve">Driscoll-Kraay, region-clustered, classical (diagnostic only), and a final</w:t>
      </w:r>
      <w:r>
        <w:t xml:space="preserve"> </w:t>
      </w:r>
      <w:r>
        <w:t xml:space="preserve">B=9999 wild-cluster bootstrap (p =</w:t>
      </w:r>
      <w:r>
        <w:t xml:space="preserve"> </w:t>
      </w:r>
      <w:r>
        <w:t xml:space="preserve">0.5754).</w:t>
      </w:r>
    </w:p>
    <w:bookmarkStart w:id="40" w:name="Xfa920bd85cc3361c00be66815b3b114f7b57003"/>
    <w:p>
      <w:pPr>
        <w:pStyle w:val="Heading3"/>
      </w:pPr>
      <w:r>
        <w:t xml:space="preserve">Statistical power: what spatial effect size could this design detect?</w:t>
      </w:r>
    </w:p>
    <w:p>
      <w:pPr>
        <w:pStyle w:val="FirstParagraph"/>
      </w:pPr>
      <w:r>
        <w:t xml:space="preserve">Because the null/weak spatial result above could in principle reflect either</w:t>
      </w:r>
      <w:r>
        <w:t xml:space="preserve"> </w:t>
      </w:r>
      <w:r>
        <w:t xml:space="preserve">a genuinely small (or zero) true effect, or simply limited statistical power</w:t>
      </w:r>
      <w:r>
        <w:t xml:space="preserve"> </w:t>
      </w:r>
      <w:r>
        <w:t xml:space="preserve">given N=13, a calibrated Monte Carlo simulation was run –</w:t>
      </w:r>
      <w:r>
        <w:t xml:space="preserve"> </w:t>
      </w:r>
      <w:r>
        <w:rPr>
          <w:b/>
          <w:bCs/>
        </w:rPr>
        <w:t xml:space="preserve">as a</w:t>
      </w:r>
      <w:r>
        <w:rPr>
          <w:b/>
          <w:bCs/>
        </w:rPr>
        <w:t xml:space="preserve"> </w:t>
      </w:r>
      <w:r>
        <w:rPr>
          <w:b/>
          <w:bCs/>
        </w:rPr>
        <w:t xml:space="preserve">design-sensitivity check, not a new empirical finding</w:t>
      </w:r>
      <w:r>
        <w:t xml:space="preserve"> </w:t>
      </w:r>
      <w:r>
        <w:t xml:space="preserve">– to ask what</w:t>
      </w:r>
      <w:r>
        <w:t xml:space="preserve"> </w:t>
      </w:r>
      <w:r>
        <w:t xml:space="preserve">magnitude of cumulative three-month spatial effect (Theta_3) this exact</w:t>
      </w:r>
      <w:r>
        <w:t xml:space="preserve"> </w:t>
      </w:r>
      <w:r>
        <w:t xml:space="preserve">design (N=13, T=154, the observed Queen weights, the locked K=3</w:t>
      </w:r>
      <w:r>
        <w:t xml:space="preserve"> </w:t>
      </w:r>
      <w:r>
        <w:t xml:space="preserve">specification, and residual dependence preserved via a moving-block</w:t>
      </w:r>
      <w:r>
        <w:t xml:space="preserve"> </w:t>
      </w:r>
      <w:r>
        <w:t xml:space="preserve">bootstrap) could reliably detect. Full design and results are in</w:t>
      </w:r>
      <w:r>
        <w:t xml:space="preserve"> </w:t>
      </w:r>
      <w:r>
        <w:rPr>
          <w:b/>
          <w:bCs/>
        </w:rPr>
        <w:t xml:space="preserve">Appendix B</w:t>
      </w:r>
      <w:r>
        <w:t xml:space="preserve">. Summary: across a pre-specified, symmetric effect-size grid</w:t>
      </w:r>
      <w:r>
        <w:t xml:space="preserve"> </w:t>
      </w:r>
      <w:r>
        <w:t xml:space="preserve">(|Theta_3| up to 0.20), estimated power never exceeds</w:t>
      </w:r>
      <w:r>
        <w:t xml:space="preserve"> </w:t>
      </w:r>
      <w:r>
        <w:t xml:space="preserve">57.7%, short of the conventional 80% threshold;</w:t>
      </w:r>
      <w:r>
        <w:t xml:space="preserve"> </w:t>
      </w:r>
      <w:r>
        <w:t xml:space="preserve">the design is classified</w:t>
      </w:r>
      <w:r>
        <w:t xml:space="preserve"> </w:t>
      </w:r>
      <w:r>
        <w:rPr>
          <w:b/>
          <w:bCs/>
        </w:rPr>
        <w:t xml:space="preserve">P3: Low power even for moderate effects</w:t>
      </w:r>
      <w:r>
        <w:t xml:space="preserve">. This means the design can</w:t>
      </w:r>
      <w:r>
        <w:t xml:space="preserve"> </w:t>
      </w:r>
      <w:r>
        <w:t xml:space="preserve">reliably detect only moderate-to-large cumulative spatial effects, and</w:t>
      </w:r>
      <w:r>
        <w:t xml:space="preserve"> </w:t>
      </w:r>
      <w:r>
        <w:rPr>
          <w:b/>
          <w:bCs/>
        </w:rPr>
        <w:t xml:space="preserve">small spatial effects cannot be excluded by this study’s null/weak</w:t>
      </w:r>
      <w:r>
        <w:rPr>
          <w:b/>
          <w:bCs/>
        </w:rPr>
        <w:t xml:space="preserve"> </w:t>
      </w:r>
      <w:r>
        <w:rPr>
          <w:b/>
          <w:bCs/>
        </w:rPr>
        <w:t xml:space="preserve">result</w:t>
      </w:r>
      <w:r>
        <w:t xml:space="preserve"> </w:t>
      </w:r>
      <w:r>
        <w:t xml:space="preserve">– a point carried through to the</w:t>
      </w:r>
      <w:r>
        <w:t xml:space="preserve"> </w:t>
      </w:r>
      <w:hyperlink w:anchor="discussion">
        <w:r>
          <w:rPr>
            <w:rStyle w:val="Hyperlink"/>
          </w:rPr>
          <w:t xml:space="preserve">Discussion</w:t>
        </w:r>
      </w:hyperlink>
      <w:r>
        <w:t xml:space="preserve"> </w:t>
      </w:r>
      <w:r>
        <w:t xml:space="preserve">and</w:t>
      </w:r>
      <w:r>
        <w:t xml:space="preserve"> </w:t>
      </w:r>
      <w:hyperlink w:anchor="limitations">
        <w:r>
          <w:rPr>
            <w:rStyle w:val="Hyperlink"/>
          </w:rPr>
          <w:t xml:space="preserve">Limitations</w:t>
        </w:r>
      </w:hyperlink>
      <w:r>
        <w:t xml:space="preserve"> </w:t>
      </w:r>
      <w:r>
        <w:t xml:space="preserve">below.</w:t>
      </w:r>
    </w:p>
    <w:bookmarkEnd w:id="40"/>
    <w:bookmarkEnd w:id="41"/>
    <w:bookmarkStart w:id="42" w:name="discussion"/>
    <w:p>
      <w:pPr>
        <w:pStyle w:val="Heading2"/>
      </w:pPr>
      <w:r>
        <w:t xml:space="preserve">Discussion</w:t>
      </w:r>
    </w:p>
    <w:p>
      <w:pPr>
        <w:pStyle w:val="FirstParagraph"/>
      </w:pPr>
      <w:r>
        <w:t xml:space="preserve">The central empirical pattern – a large, statistically dominant share of</w:t>
      </w:r>
      <w:r>
        <w:t xml:space="preserve"> </w:t>
      </w:r>
      <w:r>
        <w:t xml:space="preserve">common temporal variation, meaningful own-region persistence, and no robust</w:t>
      </w:r>
      <w:r>
        <w:t xml:space="preserve"> </w:t>
      </w:r>
      <w:r>
        <w:t xml:space="preserve">spatial predictive dependence across neighbouring regions – is economically</w:t>
      </w:r>
      <w:r>
        <w:t xml:space="preserve"> </w:t>
      </w:r>
      <w:r>
        <w:t xml:space="preserve">plausible for several reasons. These are offered as</w:t>
      </w:r>
      <w:r>
        <w:t xml:space="preserve"> </w:t>
      </w:r>
      <w:r>
        <w:rPr>
          <w:b/>
          <w:bCs/>
        </w:rPr>
        <w:t xml:space="preserve">possible</w:t>
      </w:r>
      <w:r>
        <w:rPr>
          <w:b/>
          <w:bCs/>
        </w:rPr>
        <w:t xml:space="preserve"> </w:t>
      </w:r>
      <w:r>
        <w:rPr>
          <w:b/>
          <w:bCs/>
        </w:rPr>
        <w:t xml:space="preserve">explanations (category C)</w:t>
      </w:r>
      <w:r>
        <w:t xml:space="preserve">, distinct from what is directly</w:t>
      </w:r>
      <w:r>
        <w:t xml:space="preserve"> </w:t>
      </w:r>
      <w:r>
        <w:rPr>
          <w:b/>
          <w:bCs/>
        </w:rPr>
        <w:t xml:space="preserve">statistically</w:t>
      </w:r>
      <w:r>
        <w:rPr>
          <w:b/>
          <w:bCs/>
        </w:rPr>
        <w:t xml:space="preserve"> </w:t>
      </w:r>
      <w:r>
        <w:rPr>
          <w:b/>
          <w:bCs/>
        </w:rPr>
        <w:t xml:space="preserve">estimated (category A)</w:t>
      </w:r>
      <w:r>
        <w:t xml:space="preserve"> </w:t>
      </w:r>
      <w:r>
        <w:t xml:space="preserve">above and from any specific</w:t>
      </w:r>
      <w:r>
        <w:t xml:space="preserve"> </w:t>
      </w:r>
      <w:r>
        <w:rPr>
          <w:b/>
          <w:bCs/>
        </w:rPr>
        <w:t xml:space="preserve">economic</w:t>
      </w:r>
      <w:r>
        <w:rPr>
          <w:b/>
          <w:bCs/>
        </w:rPr>
        <w:t xml:space="preserve"> </w:t>
      </w:r>
      <w:r>
        <w:rPr>
          <w:b/>
          <w:bCs/>
        </w:rPr>
        <w:t xml:space="preserve">interpretation (category B)</w:t>
      </w:r>
      <w:r>
        <w:t xml:space="preserve"> </w:t>
      </w:r>
      <w:r>
        <w:t xml:space="preserve">of it; none is a mechanism established by</w:t>
      </w:r>
      <w:r>
        <w:t xml:space="preserve"> </w:t>
      </w:r>
      <w:r>
        <w:t xml:space="preserve">this analysis, and the month fixed effects themselves identify only that</w:t>
      </w:r>
      <w:r>
        <w:t xml:space="preserve"> </w:t>
      </w:r>
      <w:r>
        <w:t xml:space="preserve">temporal variation is shared across regions, not which economic force</w:t>
      </w:r>
      <w:r>
        <w:t xml:space="preserve"> </w:t>
      </w:r>
      <w:r>
        <w:t xml:space="preserve">produces it:</w:t>
      </w:r>
    </w:p>
    <w:p>
      <w:pPr>
        <w:pStyle w:val="Compact"/>
        <w:numPr>
          <w:ilvl w:val="0"/>
          <w:numId w:val="1001"/>
        </w:numPr>
      </w:pPr>
      <w:r>
        <w:rPr>
          <w:b/>
          <w:bCs/>
        </w:rPr>
        <w:t xml:space="preserve">National pricing forces may dominate regional neighbour effects.</w:t>
      </w:r>
      <w:r>
        <w:t xml:space="preserve"> </w:t>
      </w:r>
      <w:r>
        <w:t xml:space="preserve">Saudi</w:t>
      </w:r>
      <w:r>
        <w:t xml:space="preserve"> </w:t>
      </w:r>
      <w:r>
        <w:t xml:space="preserve">Arabia is a single-currency, administratively centralized economy with</w:t>
      </w:r>
      <w:r>
        <w:t xml:space="preserve"> </w:t>
      </w:r>
      <w:r>
        <w:t xml:space="preserve">nationally set fuel and utility prices and a single VAT rate; the channels</w:t>
      </w:r>
      <w:r>
        <w:t xml:space="preserve"> </w:t>
      </w:r>
      <w:r>
        <w:t xml:space="preserve">through which one region’s price pressure would spread specifically to its</w:t>
      </w:r>
      <w:r>
        <w:t xml:space="preserve"> </w:t>
      </w:r>
      <w:r>
        <w:t xml:space="preserve">geographic neighbours (rather than to the whole country at once) may</w:t>
      </w:r>
      <w:r>
        <w:t xml:space="preserve"> </w:t>
      </w:r>
      <w:r>
        <w:t xml:space="preserve">simply be weak relative to nationwide drivers.</w:t>
      </w:r>
    </w:p>
    <w:p>
      <w:pPr>
        <w:pStyle w:val="Compact"/>
        <w:numPr>
          <w:ilvl w:val="0"/>
          <w:numId w:val="1001"/>
        </w:numPr>
      </w:pPr>
      <w:r>
        <w:rPr>
          <w:b/>
          <w:bCs/>
        </w:rPr>
        <w:t xml:space="preserve">Integrated national markets.</w:t>
      </w:r>
      <w:r>
        <w:t xml:space="preserve"> </w:t>
      </w:r>
      <w:r>
        <w:t xml:space="preserve">If goods, especially the CPI basket’s</w:t>
      </w:r>
      <w:r>
        <w:t xml:space="preserve"> </w:t>
      </w:r>
      <w:r>
        <w:t xml:space="preserve">heavily weighted tradable and administered-price components, are sourced</w:t>
      </w:r>
      <w:r>
        <w:t xml:space="preserve"> </w:t>
      </w:r>
      <w:r>
        <w:t xml:space="preserve">and priced through national or global supply chains rather than</w:t>
      </w:r>
      <w:r>
        <w:t xml:space="preserve"> </w:t>
      </w:r>
      <w:r>
        <w:t xml:space="preserve">region-to-region trade, geographic contiguity may not be the right</w:t>
      </w:r>
      <w:r>
        <w:t xml:space="preserve"> </w:t>
      </w:r>
      <w:r>
        <w:t xml:space="preserve">channel through which any real inflation transmission occurs (consistent</w:t>
      </w:r>
      <w:r>
        <w:t xml:space="preserve"> </w:t>
      </w:r>
      <w:r>
        <w:t xml:space="preserve">with Auer, Levchenko &amp; Sauré’s finding that input-output linkages, not</w:t>
      </w:r>
      <w:r>
        <w:t xml:space="preserve"> </w:t>
      </w:r>
      <w:r>
        <w:t xml:space="preserve">proximity per se, carry inflation spillovers internationally).</w:t>
      </w:r>
    </w:p>
    <w:p>
      <w:pPr>
        <w:pStyle w:val="Compact"/>
        <w:numPr>
          <w:ilvl w:val="0"/>
          <w:numId w:val="1001"/>
        </w:numPr>
      </w:pPr>
      <w:r>
        <w:rPr>
          <w:b/>
          <w:bCs/>
        </w:rPr>
        <w:t xml:space="preserve">Common policy/macro shocks are one plausible source of the common</w:t>
      </w:r>
      <w:r>
        <w:rPr>
          <w:b/>
          <w:bCs/>
        </w:rPr>
        <w:t xml:space="preserve"> </w:t>
      </w:r>
      <w:r>
        <w:rPr>
          <w:b/>
          <w:bCs/>
        </w:rPr>
        <w:t xml:space="preserve">temporal variation, not a separate finding.</w:t>
      </w:r>
      <w:r>
        <w:t xml:space="preserve"> </w:t>
      </w:r>
      <w:r>
        <w:t xml:space="preserve">VAT changes and oil-price</w:t>
      </w:r>
      <w:r>
        <w:t xml:space="preserve"> </w:t>
      </w:r>
      <w:r>
        <w:t xml:space="preserve">movements, if they matter, would hit all regions in the same calendar</w:t>
      </w:r>
      <w:r>
        <w:t xml:space="preserve"> </w:t>
      </w:r>
      <w:r>
        <w:t xml:space="preserve">month; a model that already includes month fixed effects has, by</w:t>
      </w:r>
      <w:r>
        <w:t xml:space="preserve"> </w:t>
      </w:r>
      <w:r>
        <w:t xml:space="preserve">construction, absorbed whatever common temporal variation exists that</w:t>
      </w:r>
      <w:r>
        <w:t xml:space="preserve"> </w:t>
      </w:r>
      <w:r>
        <w:t xml:space="preserve">month, from whatever source – so the</w:t>
      </w:r>
      <w:r>
        <w:t xml:space="preserve"> </w:t>
      </w:r>
      <w:r>
        <w:rPr>
          <w:i/>
          <w:iCs/>
        </w:rPr>
        <w:t xml:space="preserve">residual</w:t>
      </w:r>
      <w:r>
        <w:t xml:space="preserve"> </w:t>
      </w:r>
      <w:r>
        <w:t xml:space="preserve">spatial test correctly</w:t>
      </w:r>
      <w:r>
        <w:t xml:space="preserve"> </w:t>
      </w:r>
      <w:r>
        <w:t xml:space="preserve">finds little left to explain, regardless of which specific national force</w:t>
      </w:r>
      <w:r>
        <w:t xml:space="preserve"> </w:t>
      </w:r>
      <w:r>
        <w:t xml:space="preserve">(if any single one dominates) generated that common variation.</w:t>
      </w:r>
    </w:p>
    <w:p>
      <w:pPr>
        <w:pStyle w:val="Compact"/>
        <w:numPr>
          <w:ilvl w:val="0"/>
          <w:numId w:val="1001"/>
        </w:numPr>
      </w:pPr>
      <w:r>
        <w:rPr>
          <w:b/>
          <w:bCs/>
        </w:rPr>
        <w:t xml:space="preserve">Administrative-region aggregation may be too coarse.</w:t>
      </w:r>
      <w:r>
        <w:t xml:space="preserve"> </w:t>
      </w:r>
      <w:r>
        <w:t xml:space="preserve">Thirteen large</w:t>
      </w:r>
      <w:r>
        <w:t xml:space="preserve"> </w:t>
      </w:r>
      <w:r>
        <w:t xml:space="preserve">administrative regions aggregate substantial internal heterogeneity (e.g.</w:t>
      </w:r>
      <w:r>
        <w:t xml:space="preserve"> </w:t>
      </w:r>
      <w:r>
        <w:t xml:space="preserve">a large city and its rural periphery within one region); if genuine</w:t>
      </w:r>
      <w:r>
        <w:t xml:space="preserve"> </w:t>
      </w:r>
      <w:r>
        <w:t xml:space="preserve">spatial spillovers operate at a finer geography (city or district level)</w:t>
      </w:r>
      <w:r>
        <w:t xml:space="preserve"> </w:t>
      </w:r>
      <w:r>
        <w:t xml:space="preserve">or through specific product categories rather than the aggregate CPI</w:t>
      </w:r>
      <w:r>
        <w:t xml:space="preserve"> </w:t>
      </w:r>
      <w:r>
        <w:t xml:space="preserve">basket, this panel’s resolution could not detect them even if they exist.</w:t>
      </w:r>
    </w:p>
    <w:bookmarkEnd w:id="42"/>
    <w:bookmarkStart w:id="43" w:name="limitations"/>
    <w:p>
      <w:pPr>
        <w:pStyle w:val="Heading2"/>
      </w:pPr>
      <w:r>
        <w:t xml:space="preserve">Limitations</w:t>
      </w:r>
    </w:p>
    <w:p>
      <w:pPr>
        <w:pStyle w:val="Compact"/>
        <w:numPr>
          <w:ilvl w:val="0"/>
          <w:numId w:val="1002"/>
        </w:numPr>
      </w:pPr>
      <w:r>
        <w:rPr>
          <w:b/>
          <w:bCs/>
        </w:rPr>
        <w:t xml:space="preserve">Small cross-section (N=13) limits what can be ruled out, not the</w:t>
      </w:r>
      <w:r>
        <w:rPr>
          <w:b/>
          <w:bCs/>
        </w:rPr>
        <w:t xml:space="preserve"> </w:t>
      </w:r>
      <w:r>
        <w:rPr>
          <w:b/>
          <w:bCs/>
        </w:rPr>
        <w:t xml:space="preserve">validity of the test itself.</w:t>
      </w:r>
      <w:r>
        <w:t xml:space="preserve"> </w:t>
      </w:r>
      <w:r>
        <w:t xml:space="preserve">The time dimension is reasonably long for</w:t>
      </w:r>
      <w:r>
        <w:t xml:space="preserve"> </w:t>
      </w:r>
      <w:r>
        <w:t xml:space="preserve">monthly dynamics (T=154 months in the final K=3 sample), and every</w:t>
      </w:r>
      <w:r>
        <w:t xml:space="preserve"> </w:t>
      </w:r>
      <w:r>
        <w:t xml:space="preserve">inference method used here (Driscoll-Kraay, cluster-robust, wild-cluster</w:t>
      </w:r>
      <w:r>
        <w:t xml:space="preserve"> </w:t>
      </w:r>
      <w:r>
        <w:t xml:space="preserve">bootstrap) was chosen specifically because ordinary asymptotics are</w:t>
      </w:r>
      <w:r>
        <w:t xml:space="preserve"> </w:t>
      </w:r>
      <w:r>
        <w:t xml:space="preserve">unreliable with only 13 cross-sectional units. But N=13 fundamentally</w:t>
      </w:r>
      <w:r>
        <w:t xml:space="preserve"> </w:t>
      </w:r>
      <w:r>
        <w:t xml:space="preserve">limits statistical</w:t>
      </w:r>
      <w:r>
        <w:t xml:space="preserve"> </w:t>
      </w:r>
      <w:r>
        <w:rPr>
          <w:i/>
          <w:iCs/>
        </w:rPr>
        <w:t xml:space="preserve">power</w:t>
      </w:r>
      <w:r>
        <w:t xml:space="preserve">, particularly for weak or heterogeneous</w:t>
      </w:r>
      <w:r>
        <w:t xml:space="preserve"> </w:t>
      </w:r>
      <w:r>
        <w:t xml:space="preserve">spatial effects and for the more complex state-dependent/nonlinear</w:t>
      </w:r>
      <w:r>
        <w:t xml:space="preserve"> </w:t>
      </w:r>
      <w:r>
        <w:t xml:space="preserve">specifications explored in Stage 15. A calibrated Monte Carlo power</w:t>
      </w:r>
      <w:r>
        <w:t xml:space="preserve"> </w:t>
      </w:r>
      <w:r>
        <w:t xml:space="preserve">analysis (Appendix B) finds that this design has adequate power to</w:t>
      </w:r>
      <w:r>
        <w:t xml:space="preserve"> </w:t>
      </w:r>
      <w:r>
        <w:t xml:space="preserve">detect only moderate-to-large cumulative spatial effects (roughly</w:t>
      </w:r>
      <w:r>
        <w:t xml:space="preserve"> </w:t>
      </w:r>
      <w:r>
        <w:t xml:space="preserve">|Theta_3| &gt; 0.20) and limited power below that – the pre-specified</w:t>
      </w:r>
      <w:r>
        <w:t xml:space="preserve"> </w:t>
      </w:r>
      <w:r>
        <w:t xml:space="preserve">effect-size grid’s 80%-power threshold was not reached within the tested</w:t>
      </w:r>
      <w:r>
        <w:t xml:space="preserve"> </w:t>
      </w:r>
      <w:r>
        <w:t xml:space="preserve">range.</w:t>
      </w:r>
      <w:r>
        <w:t xml:space="preserve"> </w:t>
      </w:r>
      <w:r>
        <w:rPr>
          <w:b/>
          <w:bCs/>
        </w:rPr>
        <w:t xml:space="preserve">This is a distinction between absence of evidence and evidence</w:t>
      </w:r>
      <w:r>
        <w:rPr>
          <w:b/>
          <w:bCs/>
        </w:rPr>
        <w:t xml:space="preserve"> </w:t>
      </w:r>
      <w:r>
        <w:rPr>
          <w:b/>
          <w:bCs/>
        </w:rPr>
        <w:t xml:space="preserve">of absence</w:t>
      </w:r>
      <w:r>
        <w:t xml:space="preserve">: the null/weak result reported here means no spatial</w:t>
      </w:r>
      <w:r>
        <w:t xml:space="preserve"> </w:t>
      </w:r>
      <w:r>
        <w:t xml:space="preserve">predictive dependence</w:t>
      </w:r>
      <w:r>
        <w:t xml:space="preserve"> </w:t>
      </w:r>
      <w:r>
        <w:rPr>
          <w:i/>
          <w:iCs/>
        </w:rPr>
        <w:t xml:space="preserve">of the magnitude this design could reliably</w:t>
      </w:r>
      <w:r>
        <w:rPr>
          <w:i/>
          <w:iCs/>
        </w:rPr>
        <w:t xml:space="preserve"> </w:t>
      </w:r>
      <w:r>
        <w:rPr>
          <w:i/>
          <w:iCs/>
        </w:rPr>
        <w:t xml:space="preserve">detect</w:t>
      </w:r>
      <w:r>
        <w:t xml:space="preserve"> </w:t>
      </w:r>
      <w:r>
        <w:t xml:space="preserve">was found – it does not mean, and this paper does not claim,</w:t>
      </w:r>
      <w:r>
        <w:t xml:space="preserve"> </w:t>
      </w:r>
      <w:r>
        <w:t xml:space="preserve">that smaller spatial effects are ruled out. The width of the observed</w:t>
      </w:r>
      <w:r>
        <w:t xml:space="preserve"> </w:t>
      </w:r>
      <w:r>
        <w:t xml:space="preserve">confidence interval for the cumulative spatial effect (Table 3) is</w:t>
      </w:r>
      <w:r>
        <w:t xml:space="preserve"> </w:t>
      </w:r>
      <w:r>
        <w:t xml:space="preserve">consistent with this: it remains wide enough to admit economically small</w:t>
      </w:r>
      <w:r>
        <w:t xml:space="preserve"> </w:t>
      </w:r>
      <w:r>
        <w:t xml:space="preserve">effects alongside zero.</w:t>
      </w:r>
    </w:p>
    <w:p>
      <w:pPr>
        <w:pStyle w:val="Compact"/>
        <w:numPr>
          <w:ilvl w:val="0"/>
          <w:numId w:val="1002"/>
        </w:numPr>
      </w:pPr>
      <w:r>
        <w:rPr>
          <w:b/>
          <w:bCs/>
        </w:rPr>
        <w:t xml:space="preserve">Administrative-region aggregation</w:t>
      </w:r>
      <w:r>
        <w:t xml:space="preserve">, as discussed above, may obscure</w:t>
      </w:r>
      <w:r>
        <w:t xml:space="preserve"> </w:t>
      </w:r>
      <w:r>
        <w:t xml:space="preserve">finer-grained spatial dependence.</w:t>
      </w:r>
    </w:p>
    <w:p>
      <w:pPr>
        <w:pStyle w:val="Compact"/>
        <w:numPr>
          <w:ilvl w:val="0"/>
          <w:numId w:val="1002"/>
        </w:numPr>
      </w:pPr>
      <w:r>
        <w:rPr>
          <w:b/>
          <w:bCs/>
        </w:rPr>
        <w:t xml:space="preserve">No region x category CPI history is available</w:t>
      </w:r>
      <w:r>
        <w:t xml:space="preserve"> </w:t>
      </w:r>
      <w:r>
        <w:t xml:space="preserve">over a long enough</w:t>
      </w:r>
      <w:r>
        <w:t xml:space="preserve"> </w:t>
      </w:r>
      <w:r>
        <w:t xml:space="preserve">window to test whether spatial dependence is concentrated in specific</w:t>
      </w:r>
      <w:r>
        <w:t xml:space="preserve"> </w:t>
      </w:r>
      <w:r>
        <w:t xml:space="preserve">product categories (e.g. housing, transport) rather than the aggregate</w:t>
      </w:r>
      <w:r>
        <w:t xml:space="preserve"> </w:t>
      </w:r>
      <w:r>
        <w:t xml:space="preserve">index.</w:t>
      </w:r>
    </w:p>
    <w:p>
      <w:pPr>
        <w:pStyle w:val="Compact"/>
        <w:numPr>
          <w:ilvl w:val="0"/>
          <w:numId w:val="1002"/>
        </w:numPr>
      </w:pPr>
      <w:r>
        <w:rPr>
          <w:b/>
          <w:bCs/>
        </w:rPr>
        <w:t xml:space="preserve">Moderate residual temporal persistence remains</w:t>
      </w:r>
      <w:r>
        <w:t xml:space="preserve"> </w:t>
      </w:r>
      <w:r>
        <w:t xml:space="preserve">(Stage 17-18; final</w:t>
      </w:r>
      <w:r>
        <w:t xml:space="preserve"> </w:t>
      </w:r>
      <w:r>
        <w:t xml:space="preserve">classification T2) and is not resolved by any tested extension – the</w:t>
      </w:r>
      <w:r>
        <w:t xml:space="preserve"> </w:t>
      </w:r>
      <w:r>
        <w:t xml:space="preserve">final model’s residuals still show some region-level serial dependence</w:t>
      </w:r>
      <w:r>
        <w:t xml:space="preserve"> </w:t>
      </w:r>
      <w:r>
        <w:t xml:space="preserve">that this analysis does not fully explain.</w:t>
      </w:r>
    </w:p>
    <w:p>
      <w:pPr>
        <w:pStyle w:val="Compact"/>
        <w:numPr>
          <w:ilvl w:val="0"/>
          <w:numId w:val="1002"/>
        </w:numPr>
      </w:pPr>
      <w:r>
        <w:rPr>
          <w:b/>
          <w:bCs/>
        </w:rPr>
        <w:t xml:space="preserve">Spatial-weight uncertainty.</w:t>
      </w:r>
      <w:r>
        <w:t xml:space="preserve"> </w:t>
      </w:r>
      <w:r>
        <w:t xml:space="preserve">Only Queen contiguity, KNN (k=4), and a</w:t>
      </w:r>
      <w:r>
        <w:t xml:space="preserve"> </w:t>
      </w:r>
      <w:r>
        <w:t xml:space="preserve">distance-band matrix were tested; Queen and Rook contiguity are identical</w:t>
      </w:r>
      <w:r>
        <w:t xml:space="preserve"> </w:t>
      </w:r>
      <w:r>
        <w:t xml:space="preserve">in this map and are not independent checks. KNN and distance-band</w:t>
      </w:r>
      <w:r>
        <w:t xml:space="preserve"> </w:t>
      </w:r>
      <w:r>
        <w:t xml:space="preserve">neighbours use great-circle distances between WGS84 region centroids; the</w:t>
      </w:r>
      <w:r>
        <w:t xml:space="preserve"> </w:t>
      </w:r>
      <w:r>
        <w:t xml:space="preserve">distance band is 1.05 times the largest nearest-neighbour distance (about</w:t>
      </w:r>
      <w:r>
        <w:t xml:space="preserve"> </w:t>
      </w:r>
      <w:r>
        <w:t xml:space="preserve">501 km). Versions up to v1.0 applied Euclidean distance to longitude/latitude</w:t>
      </w:r>
      <w:r>
        <w:t xml:space="preserve"> </w:t>
      </w:r>
      <w:r>
        <w:t xml:space="preserve">degrees; correcting this changed the KNN and distance-band robustness</w:t>
      </w:r>
      <w:r>
        <w:t xml:space="preserve"> </w:t>
      </w:r>
      <w:r>
        <w:t xml:space="preserve">numbers; the main conclusions are unchanged, with one added qualification</w:t>
      </w:r>
      <w:r>
        <w:t xml:space="preserve"> </w:t>
      </w:r>
      <w:r>
        <w:t xml:space="preserve">for the July 2020 episode (Stage 16 above; see</w:t>
      </w:r>
      <w:r>
        <w:t xml:space="preserve"> </w:t>
      </w:r>
      <w:r>
        <w:rPr>
          <w:rStyle w:val="VerbatimChar"/>
        </w:rPr>
        <w:t xml:space="preserve">results_v2/distance_correction/</w:t>
      </w:r>
      <w:r>
        <w:t xml:space="preserve">). A genuinely different notion</w:t>
      </w:r>
      <w:r>
        <w:t xml:space="preserve"> </w:t>
      </w:r>
      <w:r>
        <w:t xml:space="preserve">of</w:t>
      </w:r>
      <w:r>
        <w:t xml:space="preserve"> </w:t>
      </w:r>
      <w:r>
        <w:t xml:space="preserve">“neighbour”</w:t>
      </w:r>
      <w:r>
        <w:t xml:space="preserve"> </w:t>
      </w:r>
      <w:r>
        <w:t xml:space="preserve">(e.g. trade-flow-weighted) was not tested.</w:t>
      </w:r>
    </w:p>
    <w:p>
      <w:pPr>
        <w:pStyle w:val="Compact"/>
        <w:numPr>
          <w:ilvl w:val="0"/>
          <w:numId w:val="1002"/>
        </w:numPr>
      </w:pPr>
      <w:r>
        <w:rPr>
          <w:b/>
          <w:bCs/>
        </w:rPr>
        <w:t xml:space="preserve">No causal identification.</w:t>
      </w:r>
      <w:r>
        <w:t xml:space="preserve"> </w:t>
      </w:r>
      <w:r>
        <w:t xml:space="preserve">Every result in this paper is a predictive/</w:t>
      </w:r>
      <w:r>
        <w:t xml:space="preserve"> </w:t>
      </w:r>
      <w:r>
        <w:t xml:space="preserve">associational test, not a causal design; in particular, the verified</w:t>
      </w:r>
      <w:r>
        <w:t xml:space="preserve"> </w:t>
      </w:r>
      <w:r>
        <w:t xml:space="preserve">national shock episodes are tested for</w:t>
      </w:r>
      <w:r>
        <w:t xml:space="preserve"> </w:t>
      </w:r>
      <w:r>
        <w:rPr>
          <w:i/>
          <w:iCs/>
        </w:rPr>
        <w:t xml:space="preserve">association</w:t>
      </w:r>
      <w:r>
        <w:t xml:space="preserve"> </w:t>
      </w:r>
      <w:r>
        <w:t xml:space="preserve">with parameter</w:t>
      </w:r>
      <w:r>
        <w:t xml:space="preserve"> </w:t>
      </w:r>
      <w:r>
        <w:t xml:space="preserve">instability, not for a causal treatment effect, and two of the three</w:t>
      </w:r>
      <w:r>
        <w:t xml:space="preserve"> </w:t>
      </w:r>
      <w:r>
        <w:t xml:space="preserve">episodes are explicitly confounded with other simultaneous national</w:t>
      </w:r>
      <w:r>
        <w:t xml:space="preserve"> </w:t>
      </w:r>
      <w:r>
        <w:t xml:space="preserve">events (documented in Stage 16’s registry) and cannot be causally isolated</w:t>
      </w:r>
      <w:r>
        <w:t xml:space="preserve"> </w:t>
      </w:r>
      <w:r>
        <w:t xml:space="preserve">with this data.</w:t>
      </w:r>
    </w:p>
    <w:p>
      <w:pPr>
        <w:pStyle w:val="Compact"/>
        <w:numPr>
          <w:ilvl w:val="0"/>
          <w:numId w:val="1002"/>
        </w:numPr>
      </w:pPr>
      <w:r>
        <w:rPr>
          <w:b/>
          <w:bCs/>
        </w:rPr>
        <w:t xml:space="preserve">Local/city-level mechanisms are not identifiable</w:t>
      </w:r>
      <w:r>
        <w:t xml:space="preserve"> </w:t>
      </w:r>
      <w:r>
        <w:t xml:space="preserve">in the current,</w:t>
      </w:r>
      <w:r>
        <w:t xml:space="preserve"> </w:t>
      </w:r>
      <w:r>
        <w:t xml:space="preserve">region-level data – a null finding at the administrative-region level</w:t>
      </w:r>
      <w:r>
        <w:t xml:space="preserve"> </w:t>
      </w:r>
      <w:r>
        <w:t xml:space="preserve">does not rule out spatial dependence at a finer geography.</w:t>
      </w:r>
    </w:p>
    <w:bookmarkEnd w:id="43"/>
    <w:bookmarkStart w:id="44" w:name="future-research"/>
    <w:p>
      <w:pPr>
        <w:pStyle w:val="Heading2"/>
      </w:pPr>
      <w:r>
        <w:t xml:space="preserve">Future Research</w:t>
      </w:r>
    </w:p>
    <w:p>
      <w:pPr>
        <w:pStyle w:val="FirstParagraph"/>
      </w:pPr>
      <w:r>
        <w:t xml:space="preserve">The findings above – no robust spatial predictive dependence at the</w:t>
      </w:r>
      <w:r>
        <w:t xml:space="preserve"> </w:t>
      </w:r>
      <w:r>
        <w:t xml:space="preserve">13-region level, but a design with limited power for small effects and</w:t>
      </w:r>
      <w:r>
        <w:t xml:space="preserve"> </w:t>
      </w:r>
      <w:r>
        <w:t xml:space="preserve">several documented reasons administrative-region aggregation might mask a</w:t>
      </w:r>
      <w:r>
        <w:t xml:space="preserve"> </w:t>
      </w:r>
      <w:r>
        <w:t xml:space="preserve">real but finer-grained pattern – motivate a</w:t>
      </w:r>
      <w:r>
        <w:t xml:space="preserve"> </w:t>
      </w:r>
      <w:r>
        <w:rPr>
          <w:b/>
          <w:bCs/>
        </w:rPr>
        <w:t xml:space="preserve">sequential</w:t>
      </w:r>
      <w:r>
        <w:t xml:space="preserve"> </w:t>
      </w:r>
      <w:r>
        <w:t xml:space="preserve">research</w:t>
      </w:r>
      <w:r>
        <w:t xml:space="preserve"> </w:t>
      </w:r>
      <w:r>
        <w:t xml:space="preserve">agenda, each step building on what the previous one would find, rather</w:t>
      </w:r>
      <w:r>
        <w:t xml:space="preserve"> </w:t>
      </w:r>
      <w:r>
        <w:t xml:space="preserve">than a list of unrelated extensions.</w:t>
      </w:r>
    </w:p>
    <w:p>
      <w:pPr>
        <w:pStyle w:val="BodyText"/>
      </w:pPr>
      <w:r>
        <w:rPr>
          <w:b/>
          <w:bCs/>
        </w:rPr>
        <w:t xml:space="preserve">Step 1 – Finer geography.</w:t>
      </w:r>
      <w:r>
        <w:t xml:space="preserve"> </w:t>
      </w:r>
      <w:r>
        <w:rPr>
          <w:i/>
          <w:iCs/>
        </w:rPr>
        <w:t xml:space="preserve">Question:</w:t>
      </w:r>
      <w:r>
        <w:t xml:space="preserve"> </w:t>
      </w:r>
      <w:r>
        <w:t xml:space="preserve">does spatial predictive</w:t>
      </w:r>
      <w:r>
        <w:t xml:space="preserve"> </w:t>
      </w:r>
      <w:r>
        <w:t xml:space="preserve">dependence emerge at the city or governorate level even if it is weak at</w:t>
      </w:r>
      <w:r>
        <w:t xml:space="preserve"> </w:t>
      </w:r>
      <w:r>
        <w:t xml:space="preserve">the 13-region level?</w:t>
      </w:r>
      <w:r>
        <w:t xml:space="preserve"> </w:t>
      </w:r>
      <w:r>
        <w:rPr>
          <w:i/>
          <w:iCs/>
        </w:rPr>
        <w:t xml:space="preserve">Motivation:</w:t>
      </w:r>
      <w:r>
        <w:t xml:space="preserve"> </w:t>
      </w:r>
      <w:r>
        <w:t xml:space="preserve">administrative-region aggregation</w:t>
      </w:r>
      <w:r>
        <w:t xml:space="preserve"> </w:t>
      </w:r>
      <w:r>
        <w:t xml:space="preserve">combines, within one region, a major city and its rural periphery, which</w:t>
      </w:r>
      <w:r>
        <w:t xml:space="preserve"> </w:t>
      </w:r>
      <w:r>
        <w:t xml:space="preserve">could average away genuine local price propagation. This step requires</w:t>
      </w:r>
      <w:r>
        <w:t xml:space="preserve"> </w:t>
      </w:r>
      <w:r>
        <w:t xml:space="preserve">sub-regional CPI data that, to our knowledge, does not currently exist in</w:t>
      </w:r>
      <w:r>
        <w:t xml:space="preserve"> </w:t>
      </w:r>
      <w:r>
        <w:t xml:space="preserve">a form usable for this analysis – we do not claim it does; obtaining or</w:t>
      </w:r>
      <w:r>
        <w:t xml:space="preserve"> </w:t>
      </w:r>
      <w:r>
        <w:t xml:space="preserve">constructing it would be the first task of this step, not an assumption of</w:t>
      </w:r>
      <w:r>
        <w:t xml:space="preserve"> </w:t>
      </w:r>
      <w:r>
        <w:t xml:space="preserve">it.</w:t>
      </w:r>
    </w:p>
    <w:p>
      <w:pPr>
        <w:pStyle w:val="BodyText"/>
      </w:pPr>
      <w:r>
        <w:rPr>
          <w:b/>
          <w:bCs/>
        </w:rPr>
        <w:t xml:space="preserve">Step 2 – Category-level inflation.</w:t>
      </w:r>
      <w:r>
        <w:t xml:space="preserve"> </w:t>
      </w:r>
      <w:r>
        <w:rPr>
          <w:i/>
          <w:iCs/>
        </w:rPr>
        <w:t xml:space="preserve">Question:</w:t>
      </w:r>
      <w:r>
        <w:t xml:space="preserve"> </w:t>
      </w:r>
      <w:r>
        <w:t xml:space="preserve">does spatial dependence</w:t>
      </w:r>
      <w:r>
        <w:t xml:space="preserve"> </w:t>
      </w:r>
      <w:r>
        <w:t xml:space="preserve">differ across inflation components – food, housing/utilities, transport,</w:t>
      </w:r>
      <w:r>
        <w:t xml:space="preserve"> </w:t>
      </w:r>
      <w:r>
        <w:t xml:space="preserve">restaurants/accommodation – rather than being uniformly absent in the</w:t>
      </w:r>
      <w:r>
        <w:t xml:space="preserve"> </w:t>
      </w:r>
      <w:r>
        <w:t xml:space="preserve">aggregate index?</w:t>
      </w:r>
      <w:r>
        <w:t xml:space="preserve"> </w:t>
      </w:r>
      <w:r>
        <w:rPr>
          <w:i/>
          <w:iCs/>
        </w:rPr>
        <w:t xml:space="preserve">Motivation:</w:t>
      </w:r>
      <w:r>
        <w:t xml:space="preserve"> </w:t>
      </w:r>
      <w:r>
        <w:t xml:space="preserve">headline CPI averages across categories</w:t>
      </w:r>
      <w:r>
        <w:t xml:space="preserve"> </w:t>
      </w:r>
      <w:r>
        <w:t xml:space="preserve">with plausibly very different spatial economics (e.g. a nationally-priced</w:t>
      </w:r>
      <w:r>
        <w:t xml:space="preserve"> </w:t>
      </w:r>
      <w:r>
        <w:t xml:space="preserve">administered utility versus a locally-sourced perishable food category);</w:t>
      </w:r>
      <w:r>
        <w:t xml:space="preserve"> </w:t>
      </w:r>
      <w:r>
        <w:t xml:space="preserve">a sector-specific test could find dependence the aggregate index cannot.</w:t>
      </w:r>
      <w:r>
        <w:t xml:space="preserve"> </w:t>
      </w:r>
      <w:r>
        <w:t xml:space="preserve">This step is explicitly constrained by the documented historical</w:t>
      </w:r>
      <w:r>
        <w:t xml:space="preserve"> </w:t>
      </w:r>
      <w:r>
        <w:t xml:space="preserve">region-by-category CPI data limitation already noted in this paper’s</w:t>
      </w:r>
      <w:r>
        <w:t xml:space="preserve"> </w:t>
      </w:r>
      <w:r>
        <w:t xml:space="preserve">Limitations – a long enough region x category panel is not currently</w:t>
      </w:r>
      <w:r>
        <w:t xml:space="preserve"> </w:t>
      </w:r>
      <w:r>
        <w:t xml:space="preserve">available.</w:t>
      </w:r>
    </w:p>
    <w:p>
      <w:pPr>
        <w:pStyle w:val="BodyText"/>
      </w:pPr>
      <w:r>
        <w:rPr>
          <w:b/>
          <w:bCs/>
        </w:rPr>
        <w:t xml:space="preserve">Step 3 – Economic connectivity beyond geography.</w:t>
      </w:r>
      <w:r>
        <w:t xml:space="preserve"> </w:t>
      </w:r>
      <w:r>
        <w:t xml:space="preserve">Building on whatever</w:t>
      </w:r>
      <w:r>
        <w:t xml:space="preserve"> </w:t>
      </w:r>
      <w:r>
        <w:t xml:space="preserve">Steps 1-2 find, future work may move beyond a purely geographic</w:t>
      </w:r>
      <w:r>
        <w:t xml:space="preserve"> </w:t>
      </w:r>
      <w:r>
        <w:t xml:space="preserve">contiguity matrix</w:t>
      </w:r>
      <w:r>
        <w:t xml:space="preserve"> </w:t>
      </w:r>
      <m:oMath>
        <m:r>
          <m:t>W</m:t>
        </m:r>
      </m:oMath>
      <w:r>
        <w:t xml:space="preserve"> </w:t>
      </w:r>
      <w:r>
        <w:t xml:space="preserve">to economically meaningful connectivity: transport</w:t>
      </w:r>
      <w:r>
        <w:t xml:space="preserve"> </w:t>
      </w:r>
      <w:r>
        <w:t xml:space="preserve">links, internal trade flows, logistics networks, labour/consumer mobility,</w:t>
      </w:r>
      <w:r>
        <w:t xml:space="preserve"> </w:t>
      </w:r>
      <w:r>
        <w:t xml:space="preserve">or payment flows, where valid data become available. The central</w:t>
      </w:r>
      <w:r>
        <w:t xml:space="preserve"> </w:t>
      </w:r>
      <w:r>
        <w:t xml:space="preserve">hypothesis this step would test –</w:t>
      </w:r>
      <w:r>
        <w:t xml:space="preserve"> </w:t>
      </w:r>
      <w:r>
        <w:rPr>
          <w:b/>
          <w:bCs/>
        </w:rPr>
        <w:t xml:space="preserve">not demonstrated by MAKANI</w:t>
      </w:r>
      <w:r>
        <w:t xml:space="preserve"> </w:t>
      </w:r>
      <w:r>
        <w:t xml:space="preserve">– is</w:t>
      </w:r>
      <w:r>
        <w:t xml:space="preserve"> </w:t>
      </w:r>
      <w:r>
        <w:t xml:space="preserve">that economic connectivity may be more informative than administrative</w:t>
      </w:r>
      <w:r>
        <w:t xml:space="preserve"> </w:t>
      </w:r>
      <w:r>
        <w:t xml:space="preserve">adjacency for detecting real inflation co-movement across regions.</w:t>
      </w:r>
    </w:p>
    <w:p>
      <w:pPr>
        <w:pStyle w:val="BodyText"/>
      </w:pPr>
      <w:r>
        <w:rPr>
          <w:b/>
          <w:bCs/>
        </w:rPr>
        <w:t xml:space="preserve">Step 4 – Heterogeneous interactions.</w:t>
      </w:r>
      <w:r>
        <w:t xml:space="preserve"> </w:t>
      </w:r>
      <w:r>
        <w:t xml:space="preserve">Only with richer cross-sectional</w:t>
      </w:r>
      <w:r>
        <w:t xml:space="preserve"> </w:t>
      </w:r>
      <w:r>
        <w:t xml:space="preserve">data (from Steps 1-3) would it become meaningful to examine whether spatial</w:t>
      </w:r>
      <w:r>
        <w:t xml:space="preserve"> </w:t>
      </w:r>
      <w:r>
        <w:t xml:space="preserve">predictive content varies systematically with regional characteristics,</w:t>
      </w:r>
      <w:r>
        <w:t xml:space="preserve"> </w:t>
      </w:r>
      <w:r>
        <w:t xml:space="preserve">i.e. interactions of the form</w:t>
      </w:r>
      <w:r>
        <w:t xml:space="preserve"> </w:t>
      </w:r>
      <m:oMath>
        <m:r>
          <m:t>W</m:t>
        </m:r>
        <m:sSub>
          <m:e>
            <m:r>
              <m:t>π</m:t>
            </m:r>
          </m:e>
          <m:sub>
            <m:r>
              <m:t>t</m:t>
            </m:r>
            <m:r>
              <m:rPr>
                <m:sty m:val="p"/>
              </m:rPr>
              <m:t>−</m:t>
            </m:r>
            <m:r>
              <m:t>k</m:t>
            </m:r>
          </m:sub>
        </m:sSub>
        <m:r>
          <m:rPr>
            <m:sty m:val="p"/>
          </m:rPr>
          <m:t>×</m:t>
        </m:r>
        <m:sSub>
          <m:e>
            <m:r>
              <m:t>Z</m:t>
            </m:r>
          </m:e>
          <m:sub>
            <m:r>
              <m:t>i</m:t>
            </m:r>
          </m:sub>
        </m:sSub>
      </m:oMath>
      <w:r>
        <w:t xml:space="preserve">, where</w:t>
      </w:r>
      <w:r>
        <w:t xml:space="preserve"> </w:t>
      </w:r>
      <m:oMath>
        <m:sSub>
          <m:e>
            <m:r>
              <m:t>Z</m:t>
            </m:r>
          </m:e>
          <m:sub>
            <m:r>
              <m:t>i</m:t>
            </m:r>
          </m:sub>
        </m:sSub>
      </m:oMath>
      <w:r>
        <w:t xml:space="preserve"> </w:t>
      </w:r>
      <w:r>
        <w:t xml:space="preserve">might</w:t>
      </w:r>
      <w:r>
        <w:t xml:space="preserve"> </w:t>
      </w:r>
      <w:r>
        <w:t xml:space="preserve">represent urbanization, market structure, logistics connectivity, sector</w:t>
      </w:r>
      <w:r>
        <w:t xml:space="preserve"> </w:t>
      </w:r>
      <w:r>
        <w:t xml:space="preserve">composition, population density, or another theoretically justified</w:t>
      </w:r>
      <w:r>
        <w:t xml:space="preserve"> </w:t>
      </w:r>
      <w:r>
        <w:t xml:space="preserve">regional characteristic.</w:t>
      </w:r>
      <w:r>
        <w:t xml:space="preserve"> </w:t>
      </w:r>
      <w:r>
        <w:rPr>
          <w:b/>
          <w:bCs/>
        </w:rPr>
        <w:t xml:space="preserve">This interaction is explicitly NOT added to the</w:t>
      </w:r>
      <w:r>
        <w:rPr>
          <w:b/>
          <w:bCs/>
        </w:rPr>
        <w:t xml:space="preserve"> </w:t>
      </w:r>
      <w:r>
        <w:rPr>
          <w:b/>
          <w:bCs/>
        </w:rPr>
        <w:t xml:space="preserve">current MAKANI empirical model</w:t>
      </w:r>
      <w:r>
        <w:t xml:space="preserve"> </w:t>
      </w:r>
      <w:r>
        <w:t xml:space="preserve">– Stage 15 already tested state-dependent</w:t>
      </w:r>
      <w:r>
        <w:t xml:space="preserve"> </w:t>
      </w:r>
      <w:r>
        <w:t xml:space="preserve">spatial effects along one dimension (the national inflation regime) and</w:t>
      </w:r>
      <w:r>
        <w:t xml:space="preserve"> </w:t>
      </w:r>
      <w:r>
        <w:t xml:space="preserve">found no robust evidence, and this guardrail was maintained throughout the</w:t>
      </w:r>
      <w:r>
        <w:t xml:space="preserve"> </w:t>
      </w:r>
      <w:r>
        <w:t xml:space="preserve">pre-submission refinement reported here. Step 4 is framed as a hypothesis</w:t>
      </w:r>
      <w:r>
        <w:t xml:space="preserve"> </w:t>
      </w:r>
      <w:r>
        <w:t xml:space="preserve">generated by the present study for future work with adequate data, not as</w:t>
      </w:r>
      <w:r>
        <w:t xml:space="preserve"> </w:t>
      </w:r>
      <w:r>
        <w:t xml:space="preserve">an extension to reopen now.</w:t>
      </w:r>
    </w:p>
    <w:bookmarkEnd w:id="44"/>
    <w:bookmarkStart w:id="45" w:name="conclusion"/>
    <w:p>
      <w:pPr>
        <w:pStyle w:val="Heading2"/>
      </w:pPr>
      <w:r>
        <w:t xml:space="preserve">Conclusion</w:t>
      </w:r>
    </w:p>
    <w:p>
      <w:pPr>
        <w:pStyle w:val="FirstParagraph"/>
      </w:pPr>
      <w:r>
        <w:rPr>
          <w:b/>
          <w:bCs/>
        </w:rPr>
        <w:t xml:space="preserve">Common temporal variation accounts for a substantial share of regional</w:t>
      </w:r>
      <w:r>
        <w:rPr>
          <w:b/>
          <w:bCs/>
        </w:rPr>
        <w:t xml:space="preserve"> </w:t>
      </w:r>
      <w:r>
        <w:rPr>
          <w:b/>
          <w:bCs/>
        </w:rPr>
        <w:t xml:space="preserve">inflation dynamics, while the available 13-region panel provides no robust</w:t>
      </w:r>
      <w:r>
        <w:rPr>
          <w:b/>
          <w:bCs/>
        </w:rPr>
        <w:t xml:space="preserve"> </w:t>
      </w:r>
      <w:r>
        <w:rPr>
          <w:b/>
          <w:bCs/>
        </w:rPr>
        <w:t xml:space="preserve">evidence of spatial predictive dependence after accounting for regional</w:t>
      </w:r>
      <w:r>
        <w:rPr>
          <w:b/>
          <w:bCs/>
        </w:rPr>
        <w:t xml:space="preserve"> </w:t>
      </w:r>
      <w:r>
        <w:rPr>
          <w:b/>
          <w:bCs/>
        </w:rPr>
        <w:t xml:space="preserve">dynamics.</w:t>
      </w:r>
      <w:r>
        <w:t xml:space="preserve"> </w:t>
      </w:r>
      <w:r>
        <w:t xml:space="preserve">This is the central conclusion of ten confirmatory stages</w:t>
      </w:r>
      <w:r>
        <w:t xml:space="preserve"> </w:t>
      </w:r>
      <w:r>
        <w:t xml:space="preserve">spanning contemporaneous spatial dependence, lag-1 predictive content,</w:t>
      </w:r>
      <w:r>
        <w:t xml:space="preserve"> </w:t>
      </w:r>
      <w:r>
        <w:t xml:space="preserve">distributed lags to six months, nonlinear and state-dependent extensions,</w:t>
      </w:r>
      <w:r>
        <w:t xml:space="preserve"> </w:t>
      </w:r>
      <w:r>
        <w:t xml:space="preserve">verified national shock episodes, stationarity, seasonality, and a final</w:t>
      </w:r>
      <w:r>
        <w:t xml:space="preserve"> </w:t>
      </w:r>
      <w:r>
        <w:t xml:space="preserve">robustness battery covering region omission, influential months,</w:t>
      </w:r>
      <w:r>
        <w:t xml:space="preserve"> </w:t>
      </w:r>
      <w:r>
        <w:t xml:space="preserve">spatial-weight choice, dynamic horizon, and inference method. The final</w:t>
      </w:r>
      <w:r>
        <w:t xml:space="preserve"> </w:t>
      </w:r>
      <w:r>
        <w:t xml:space="preserve">spatial evidence classification is</w:t>
      </w:r>
      <w:r>
        <w:t xml:space="preserve"> </w:t>
      </w:r>
      <w:r>
        <w:rPr>
          <w:b/>
          <w:bCs/>
        </w:rPr>
        <w:t xml:space="preserve">B: Weak/suggestive but non-robust spatial dependence</w:t>
      </w:r>
      <w:r>
        <w:t xml:space="preserve">, and the final</w:t>
      </w:r>
      <w:r>
        <w:t xml:space="preserve"> </w:t>
      </w:r>
      <w:r>
        <w:t xml:space="preserve">temporal-dynamics classification – reported separately, as the two are</w:t>
      </w:r>
      <w:r>
        <w:t xml:space="preserve"> </w:t>
      </w:r>
      <w:r>
        <w:t xml:space="preserve">conceptually distinct – is</w:t>
      </w:r>
      <w:r>
        <w:t xml:space="preserve"> </w:t>
      </w:r>
      <w:r>
        <w:rPr>
          <w:b/>
          <w:bCs/>
        </w:rPr>
        <w:t xml:space="preserve">T2: Moderate but non-decisive temporal persistence</w:t>
      </w:r>
      <w:r>
        <w:t xml:space="preserve">.</w:t>
      </w:r>
    </w:p>
    <w:p>
      <w:pPr>
        <w:pStyle w:val="BodyText"/>
      </w:pPr>
      <w:r>
        <w:t xml:space="preserve">This is not evidence that</w:t>
      </w:r>
      <w:r>
        <w:t xml:space="preserve"> </w:t>
      </w:r>
      <w:r>
        <w:t xml:space="preserve">“no spatial dependence exists”</w:t>
      </w:r>
      <w:r>
        <w:t xml:space="preserve"> </w:t>
      </w:r>
      <w:r>
        <w:t xml:space="preserve">in any absolute</w:t>
      </w:r>
      <w:r>
        <w:t xml:space="preserve"> </w:t>
      </w:r>
      <w:r>
        <w:t xml:space="preserve">sense – no robust spatial predictive dependence is detected in the</w:t>
      </w:r>
      <w:r>
        <w:t xml:space="preserve"> </w:t>
      </w:r>
      <w:r>
        <w:t xml:space="preserve">available data. That is, at the administrative-region level, over the</w:t>
      </w:r>
      <w:r>
        <w:t xml:space="preserve"> </w:t>
      </w:r>
      <w:r>
        <w:t xml:space="preserve">horizons tested, and after accounting for common temporal variation and</w:t>
      </w:r>
      <w:r>
        <w:t xml:space="preserve"> </w:t>
      </w:r>
      <w:r>
        <w:t xml:space="preserve">each region’s own persistence, no</w:t>
      </w:r>
      <w:r>
        <w:t xml:space="preserve"> </w:t>
      </w:r>
      <w:r>
        <w:rPr>
          <w:i/>
          <w:iCs/>
        </w:rPr>
        <w:t xml:space="preserve">predictive</w:t>
      </w:r>
      <w:r>
        <w:t xml:space="preserve"> </w:t>
      </w:r>
      <w:r>
        <w:t xml:space="preserve">spatial signal survives</w:t>
      </w:r>
      <w:r>
        <w:t xml:space="preserve"> </w:t>
      </w:r>
      <w:r>
        <w:t xml:space="preserve">rigorous, multiply-corrected, robustness-checked testing. Common temporal</w:t>
      </w:r>
      <w:r>
        <w:t xml:space="preserve"> </w:t>
      </w:r>
      <w:r>
        <w:t xml:space="preserve">variation and local region-specific dynamics, not spatial transmission</w:t>
      </w:r>
      <w:r>
        <w:t xml:space="preserve"> </w:t>
      </w:r>
      <w:r>
        <w:t xml:space="preserve">across neighbouring regions, characterize the empirical pattern of Saudi</w:t>
      </w:r>
      <w:r>
        <w:t xml:space="preserve"> </w:t>
      </w:r>
      <w:r>
        <w:t xml:space="preserve">regional inflation that this study identifies. Because the available</w:t>
      </w:r>
      <w:r>
        <w:t xml:space="preserve"> </w:t>
      </w:r>
      <w:r>
        <w:t xml:space="preserve">cross-section (N=13) limits this design’s power to moderate-to-large</w:t>
      </w:r>
      <w:r>
        <w:t xml:space="preserve"> </w:t>
      </w:r>
      <w:r>
        <w:t xml:space="preserve">effects (Appendix B), this finding should be read as</w:t>
      </w:r>
      <w:r>
        <w:t xml:space="preserve"> </w:t>
      </w:r>
      <w:r>
        <w:t xml:space="preserve">“no robust evidence</w:t>
      </w:r>
      <w:r>
        <w:t xml:space="preserve"> </w:t>
      </w:r>
      <w:r>
        <w:t xml:space="preserve">of the spatial effect sizes this study could reliably detect,”</w:t>
      </w:r>
      <w:r>
        <w:t xml:space="preserve"> </w:t>
      </w:r>
      <w:r>
        <w:t xml:space="preserve">not as</w:t>
      </w:r>
      <w:r>
        <w:t xml:space="preserve"> </w:t>
      </w:r>
      <w:r>
        <w:t xml:space="preserve">evidence that small spatial effects are absent.</w:t>
      </w:r>
    </w:p>
    <w:bookmarkEnd w:id="45"/>
    <w:bookmarkStart w:id="52" w:name="references"/>
    <w:p>
      <w:pPr>
        <w:pStyle w:val="Heading2"/>
      </w:pPr>
      <w:r>
        <w:t xml:space="preserve">References</w:t>
      </w:r>
    </w:p>
    <w:p>
      <w:pPr>
        <w:pStyle w:val="FirstParagraph"/>
      </w:pPr>
      <w:r>
        <w:t xml:space="preserve">Auer, R., Levchenko, A. A., &amp; Sauré, P. (2017).</w:t>
      </w:r>
      <w:r>
        <w:t xml:space="preserve"> </w:t>
      </w:r>
      <w:r>
        <w:rPr>
          <w:i/>
          <w:iCs/>
        </w:rPr>
        <w:t xml:space="preserve">International Inflation</w:t>
      </w:r>
      <w:r>
        <w:rPr>
          <w:i/>
          <w:iCs/>
        </w:rPr>
        <w:t xml:space="preserve"> </w:t>
      </w:r>
      <w:r>
        <w:rPr>
          <w:i/>
          <w:iCs/>
        </w:rPr>
        <w:t xml:space="preserve">Spillovers through Input Linkages</w:t>
      </w:r>
      <w:r>
        <w:t xml:space="preserve">. BIS Working Paper No. 623. Bank for</w:t>
      </w:r>
      <w:r>
        <w:t xml:space="preserve"> </w:t>
      </w:r>
      <w:r>
        <w:t xml:space="preserve">International Settlements.</w:t>
      </w:r>
      <w:r>
        <w:t xml:space="preserve"> </w:t>
      </w:r>
      <w:hyperlink r:id="rId46">
        <w:r>
          <w:rPr>
            <w:rStyle w:val="Hyperlink"/>
          </w:rPr>
          <w:t xml:space="preserve">https://www.bis.org/publ/work623.pdf</w:t>
        </w:r>
      </w:hyperlink>
    </w:p>
    <w:p>
      <w:pPr>
        <w:pStyle w:val="BodyText"/>
      </w:pPr>
      <w:r>
        <w:t xml:space="preserve">Ciccarelli, M., &amp; Mojon, B. (2010). Global Inflation.</w:t>
      </w:r>
      <w:r>
        <w:t xml:space="preserve"> </w:t>
      </w:r>
      <w:r>
        <w:rPr>
          <w:i/>
          <w:iCs/>
        </w:rPr>
        <w:t xml:space="preserve">The Review of</w:t>
      </w:r>
      <w:r>
        <w:rPr>
          <w:i/>
          <w:iCs/>
        </w:rPr>
        <w:t xml:space="preserve"> </w:t>
      </w:r>
      <w:r>
        <w:rPr>
          <w:i/>
          <w:iCs/>
        </w:rPr>
        <w:t xml:space="preserve">Economics and Statistics</w:t>
      </w:r>
      <w:r>
        <w:t xml:space="preserve">, 92(3), 524-535.</w:t>
      </w:r>
      <w:r>
        <w:t xml:space="preserve"> </w:t>
      </w:r>
      <w:hyperlink r:id="rId47">
        <w:r>
          <w:rPr>
            <w:rStyle w:val="Hyperlink"/>
          </w:rPr>
          <w:t xml:space="preserve">https://direct.mit.edu/rest/article/92/3/524/57826/Global-Inflation</w:t>
        </w:r>
      </w:hyperlink>
    </w:p>
    <w:p>
      <w:pPr>
        <w:pStyle w:val="BodyText"/>
      </w:pPr>
      <w:r>
        <w:t xml:space="preserve">Elhorst, J. P. (2017). Spatial Panel Data Analysis. In S. Shekhar, H. Xiong,</w:t>
      </w:r>
      <w:r>
        <w:t xml:space="preserve"> </w:t>
      </w:r>
      <w:r>
        <w:t xml:space="preserve">&amp; X. Zhou (Eds.),</w:t>
      </w:r>
      <w:r>
        <w:t xml:space="preserve"> </w:t>
      </w:r>
      <w:r>
        <w:rPr>
          <w:i/>
          <w:iCs/>
        </w:rPr>
        <w:t xml:space="preserve">Encyclopedia of GIS</w:t>
      </w:r>
      <w:r>
        <w:t xml:space="preserve"> </w:t>
      </w:r>
      <w:r>
        <w:t xml:space="preserve">(2nd ed., pp. 2050-2058). Springer.</w:t>
      </w:r>
      <w:r>
        <w:t xml:space="preserve"> </w:t>
      </w:r>
      <w:hyperlink r:id="rId48">
        <w:r>
          <w:rPr>
            <w:rStyle w:val="Hyperlink"/>
          </w:rPr>
          <w:t xml:space="preserve">https://doi.org/10.1007/978-3-319-17885-1_1641</w:t>
        </w:r>
      </w:hyperlink>
    </w:p>
    <w:p>
      <w:pPr>
        <w:pStyle w:val="BodyText"/>
      </w:pPr>
      <w:r>
        <w:t xml:space="preserve">Fareed, F., Rezghi, A., &amp; Sandoz, C. (2023).</w:t>
      </w:r>
      <w:r>
        <w:t xml:space="preserve"> </w:t>
      </w:r>
      <w:r>
        <w:rPr>
          <w:i/>
          <w:iCs/>
        </w:rPr>
        <w:t xml:space="preserve">Inflation Dynamics in the Gulf</w:t>
      </w:r>
      <w:r>
        <w:rPr>
          <w:i/>
          <w:iCs/>
        </w:rPr>
        <w:t xml:space="preserve"> </w:t>
      </w:r>
      <w:r>
        <w:rPr>
          <w:i/>
          <w:iCs/>
        </w:rPr>
        <w:t xml:space="preserve">Cooperation Council (GCC): What is the Role of External Factors?</w:t>
      </w:r>
      <w:r>
        <w:t xml:space="preserve"> </w:t>
      </w:r>
      <w:r>
        <w:t xml:space="preserve">IMF</w:t>
      </w:r>
      <w:r>
        <w:t xml:space="preserve"> </w:t>
      </w:r>
      <w:r>
        <w:t xml:space="preserve">Working Paper WP/23/263. International Monetary Fund.</w:t>
      </w:r>
      <w:r>
        <w:t xml:space="preserve"> </w:t>
      </w:r>
      <w:hyperlink r:id="rId49">
        <w:r>
          <w:rPr>
            <w:rStyle w:val="Hyperlink"/>
          </w:rPr>
          <w:t xml:space="preserve">https://www.imf.org/en/Publications/WP/Issues/2023/12/15/Inflation-Dynamics-in-the-Gulf-Cooperation-Council-GCC-What-is-the-Role-of-External-Factors-542414</w:t>
        </w:r>
      </w:hyperlink>
    </w:p>
    <w:p>
      <w:pPr>
        <w:pStyle w:val="BodyText"/>
      </w:pPr>
      <w:r>
        <w:t xml:space="preserve">Hasan, M. M., &amp; Alogeel, H. (2008).</w:t>
      </w:r>
      <w:r>
        <w:t xml:space="preserve"> </w:t>
      </w:r>
      <w:r>
        <w:rPr>
          <w:i/>
          <w:iCs/>
        </w:rPr>
        <w:t xml:space="preserve">Understanding the Inflationary Process</w:t>
      </w:r>
      <w:r>
        <w:rPr>
          <w:i/>
          <w:iCs/>
        </w:rPr>
        <w:t xml:space="preserve"> </w:t>
      </w:r>
      <w:r>
        <w:rPr>
          <w:i/>
          <w:iCs/>
        </w:rPr>
        <w:t xml:space="preserve">in the GCC Region: The Case of Saudi Arabia and Kuwait</w:t>
      </w:r>
      <w:r>
        <w:t xml:space="preserve">. IMF Working Paper</w:t>
      </w:r>
      <w:r>
        <w:t xml:space="preserve"> </w:t>
      </w:r>
      <w:r>
        <w:t xml:space="preserve">WP/08/193. International Monetary Fund.</w:t>
      </w:r>
      <w:r>
        <w:t xml:space="preserve"> </w:t>
      </w:r>
      <w:hyperlink r:id="rId50">
        <w:r>
          <w:rPr>
            <w:rStyle w:val="Hyperlink"/>
          </w:rPr>
          <w:t xml:space="preserve">https://www.imf.org/external/pubs/ft/wp/2008/wp08193.pdf</w:t>
        </w:r>
      </w:hyperlink>
    </w:p>
    <w:p>
      <w:pPr>
        <w:pStyle w:val="BodyText"/>
      </w:pPr>
      <w:r>
        <w:t xml:space="preserve">Marques, H., Pino, G., &amp; Tena, J. D. Regional Inflation Dynamics Using</w:t>
      </w:r>
      <w:r>
        <w:t xml:space="preserve"> </w:t>
      </w:r>
      <w:r>
        <w:t xml:space="preserve">Space-Time Models.</w:t>
      </w:r>
      <w:r>
        <w:t xml:space="preserve"> </w:t>
      </w:r>
      <w:r>
        <w:rPr>
          <w:i/>
          <w:iCs/>
        </w:rPr>
        <w:t xml:space="preserve">Empirical Economics</w:t>
      </w:r>
      <w:r>
        <w:t xml:space="preserve">.</w:t>
      </w:r>
      <w:r>
        <w:t xml:space="preserve"> </w:t>
      </w:r>
      <w:hyperlink r:id="rId51">
        <w:r>
          <w:rPr>
            <w:rStyle w:val="Hyperlink"/>
          </w:rPr>
          <w:t xml:space="preserve">https://link.springer.com/article/10.1007/s00181-013-0763-9</w:t>
        </w:r>
      </w:hyperlink>
    </w:p>
    <w:bookmarkEnd w:id="52"/>
    <w:bookmarkStart w:id="53" w:name="reproducibility"/>
    <w:p>
      <w:pPr>
        <w:pStyle w:val="Heading2"/>
      </w:pPr>
      <w:r>
        <w:t xml:space="preserve">Reproducibility</w:t>
      </w:r>
    </w:p>
    <w:p>
      <w:pPr>
        <w:pStyle w:val="FirstParagraph"/>
      </w:pPr>
      <w:r>
        <w:rPr>
          <w:b/>
          <w:bCs/>
        </w:rPr>
        <w:t xml:space="preserve">Frozen baseline.</w:t>
      </w:r>
      <w:r>
        <w:t xml:space="preserve"> </w:t>
      </w:r>
      <w:r>
        <w:rPr>
          <w:rStyle w:val="VerbatimChar"/>
        </w:rPr>
        <w:t xml:space="preserve">baseline/v1.0/</w:t>
      </w:r>
      <w:r>
        <w:t xml:space="preserve"> </w:t>
      </w:r>
      <w:r>
        <w:t xml:space="preserve">(git tag</w:t>
      </w:r>
      <w:r>
        <w:t xml:space="preserve"> </w:t>
      </w:r>
      <w:r>
        <w:rPr>
          <w:rStyle w:val="VerbatimChar"/>
        </w:rPr>
        <w:t xml:space="preserve">baseline-v1.0</w:t>
      </w:r>
      <w:r>
        <w:t xml:space="preserve">, commit</w:t>
      </w:r>
      <w:r>
        <w:t xml:space="preserve"> </w:t>
      </w:r>
      <w:r>
        <w:rPr>
          <w:rStyle w:val="VerbatimChar"/>
        </w:rPr>
        <w:t xml:space="preserve">72147ab</w:t>
      </w:r>
      <w:r>
        <w:t xml:space="preserve">), checksummed via</w:t>
      </w:r>
      <w:r>
        <w:t xml:space="preserve"> </w:t>
      </w:r>
      <w:r>
        <w:rPr>
          <w:rStyle w:val="VerbatimChar"/>
        </w:rPr>
        <w:t xml:space="preserve">baseline/v1.0/MANIFEST.sha256</w:t>
      </w:r>
      <w:r>
        <w:t xml:space="preserve"> </w:t>
      </w:r>
      <w:r>
        <w:t xml:space="preserve">(38/38 files</w:t>
      </w:r>
      <w:r>
        <w:t xml:space="preserve"> </w:t>
      </w:r>
      <w:r>
        <w:t xml:space="preserve">verified after every subsequent stage, including this one). No file in it</w:t>
      </w:r>
      <w:r>
        <w:t xml:space="preserve"> </w:t>
      </w:r>
      <w:r>
        <w:t xml:space="preserve">was read, modified, or sourced by any v2 stage.</w:t>
      </w:r>
    </w:p>
    <w:p>
      <w:pPr>
        <w:pStyle w:val="BodyText"/>
      </w:pPr>
      <w:r>
        <w:rPr>
          <w:b/>
          <w:bCs/>
        </w:rPr>
        <w:t xml:space="preserve">Immutable region identity.</w:t>
      </w:r>
      <w:r>
        <w:t xml:space="preserve"> </w:t>
      </w:r>
      <w:r>
        <w:t xml:space="preserve">Every v2 stage uses the same 13-region</w:t>
      </w:r>
      <w:r>
        <w:t xml:space="preserve"> </w:t>
      </w:r>
      <w:r>
        <w:rPr>
          <w:rStyle w:val="VerbatimChar"/>
        </w:rPr>
        <w:t xml:space="preserve">region_id</w:t>
      </w:r>
      <w:r>
        <w:t xml:space="preserve"> </w:t>
      </w:r>
      <w:r>
        <w:t xml:space="preserve">(R01-R13), defined once in</w:t>
      </w:r>
      <w:r>
        <w:t xml:space="preserve"> </w:t>
      </w:r>
      <w:r>
        <w:rPr>
          <w:rStyle w:val="VerbatimChar"/>
        </w:rPr>
        <w:t xml:space="preserve">data_v2/region_id_registry.csv</w:t>
      </w:r>
      <w:r>
        <w:t xml:space="preserve"> </w:t>
      </w:r>
      <w:r>
        <w:t xml:space="preserve">and</w:t>
      </w:r>
      <w:r>
        <w:t xml:space="preserve"> </w:t>
      </w:r>
      <w:r>
        <w:t xml:space="preserve">never re-derived, alongside the same alphabetically sorted</w:t>
      </w:r>
      <w:r>
        <w:t xml:space="preserve"> </w:t>
      </w:r>
      <w:r>
        <w:rPr>
          <w:rStyle w:val="VerbatimChar"/>
        </w:rPr>
        <w:t xml:space="preserve">region_order</w:t>
      </w:r>
      <w:r>
        <w:t xml:space="preserve"> </w:t>
      </w:r>
      <w:r>
        <w:t xml:space="preserve">used consistently for spatial-weight matrix construction from Stage 12</w:t>
      </w:r>
      <w:r>
        <w:t xml:space="preserve"> </w:t>
      </w:r>
      <w:r>
        <w:t xml:space="preserve">onward.</w:t>
      </w:r>
    </w:p>
    <w:p>
      <w:pPr>
        <w:pStyle w:val="BodyText"/>
      </w:pPr>
      <w:r>
        <w:rPr>
          <w:b/>
          <w:bCs/>
        </w:rPr>
        <w:t xml:space="preserve">Workflow.</w:t>
      </w:r>
      <w:r>
        <w:t xml:space="preserve"> </w:t>
      </w:r>
      <w:r>
        <w:t xml:space="preserve">R /</w:t>
      </w:r>
      <w:r>
        <w:t xml:space="preserve"> </w:t>
      </w:r>
      <w:r>
        <w:rPr>
          <w:rStyle w:val="VerbatimChar"/>
        </w:rPr>
        <w:t xml:space="preserve">renv</w:t>
      </w:r>
      <w:r>
        <w:t xml:space="preserve"> </w:t>
      </w:r>
      <w:r>
        <w:t xml:space="preserve">(locked at R 4.4.1;</w:t>
      </w:r>
      <w:r>
        <w:t xml:space="preserve"> </w:t>
      </w:r>
      <w:r>
        <w:rPr>
          <w:rStyle w:val="VerbatimChar"/>
        </w:rPr>
        <w:t xml:space="preserve">renv.lock</w:t>
      </w:r>
      <w:r>
        <w:t xml:space="preserve"> </w:t>
      </w:r>
      <w:r>
        <w:t xml:space="preserve">pins every package</w:t>
      </w:r>
      <w:r>
        <w:t xml:space="preserve"> </w:t>
      </w:r>
      <w:r>
        <w:t xml:space="preserve">version). No new package was installed at any v2 stage; where a desired</w:t>
      </w:r>
      <w:r>
        <w:t xml:space="preserve"> </w:t>
      </w:r>
      <w:r>
        <w:t xml:space="preserve">method’s package was unavailable (e.g. </w:t>
      </w:r>
      <w:r>
        <w:rPr>
          <w:rStyle w:val="VerbatimChar"/>
        </w:rPr>
        <w:t xml:space="preserve">strucchange</w:t>
      </w:r>
      <w:r>
        <w:t xml:space="preserve">,</w:t>
      </w:r>
      <w:r>
        <w:t xml:space="preserve"> </w:t>
      </w:r>
      <w:r>
        <w:rPr>
          <w:rStyle w:val="VerbatimChar"/>
        </w:rPr>
        <w:t xml:space="preserve">tseries</w:t>
      </w:r>
      <w:r>
        <w:t xml:space="preserve">,</w:t>
      </w:r>
      <w:r>
        <w:t xml:space="preserve"> </w:t>
      </w:r>
      <w:r>
        <w:rPr>
          <w:rStyle w:val="VerbatimChar"/>
        </w:rPr>
        <w:t xml:space="preserve">urca</w:t>
      </w:r>
      <w:r>
        <w:t xml:space="preserve">,</w:t>
      </w:r>
      <w:r>
        <w:t xml:space="preserve"> </w:t>
      </w:r>
      <w:r>
        <w:rPr>
          <w:rStyle w:val="VerbatimChar"/>
        </w:rPr>
        <w:t xml:space="preserve">plm</w:t>
      </w:r>
      <w:r>
        <w:t xml:space="preserve">), the underlying well-established algorithm was implemented directly</w:t>
      </w:r>
      <w:r>
        <w:t xml:space="preserve"> </w:t>
      </w:r>
      <w:r>
        <w:t xml:space="preserve">in base R rather than altering the environment, documented explicitly in</w:t>
      </w:r>
      <w:r>
        <w:t xml:space="preserve"> </w:t>
      </w:r>
      <w:r>
        <w:t xml:space="preserve">each script’s header.</w:t>
      </w:r>
    </w:p>
    <w:p>
      <w:pPr>
        <w:pStyle w:val="BodyText"/>
      </w:pPr>
      <w:r>
        <w:rPr>
          <w:b/>
          <w:bCs/>
        </w:rPr>
        <w:t xml:space="preserve">Staged scripts and commits (v2, Stages 9-19):</w:t>
      </w:r>
    </w:p>
    <w:p>
      <w:pPr>
        <w:pStyle w:val="TableCaption"/>
      </w:pPr>
      <w:r>
        <w:t xml:space="preserve">Staged v2 scripts and their commit hashes on branch</w:t>
      </w:r>
      <w:r>
        <w:t xml:space="preserve"> </w:t>
      </w:r>
      <w:r>
        <w:rPr>
          <w:rStyle w:val="VerbatimChar"/>
        </w:rPr>
        <w:t xml:space="preserve">makani-v2-panel</w:t>
      </w:r>
      <w:r>
        <w:t xml:space="preserve">.</w:t>
      </w:r>
    </w:p>
    <w:tbl>
      <w:tblPr>
        <w:tblStyle w:val="Table"/>
        <w:tblW w:type="pct" w:w="5000"/>
        <w:tblLayout w:type="fixed"/>
        <w:tblLook w:firstRow="1" w:lastRow="0" w:firstColumn="0" w:lastColumn="0" w:noHBand="0" w:noVBand="0" w:val="0020"/>
        <w:tblCaption w:val="Staged v2 scripts and their commit hashes on branch makani-v2-panel."/>
      </w:tblPr>
      <w:tblGrid>
        <w:gridCol w:w="2578"/>
        <w:gridCol w:w="4052"/>
        <w:gridCol w:w="1289"/>
      </w:tblGrid>
      <w:tr>
        <w:trPr>
          <w:tblHeader w:val="on"/>
        </w:trPr>
        <w:tc>
          <w:tcPr/>
          <w:p>
            <w:pPr>
              <w:pStyle w:val="Compact"/>
              <w:jc w:val="left"/>
            </w:pPr>
            <w:r>
              <w:t xml:space="preserve">Stage</w:t>
            </w:r>
          </w:p>
        </w:tc>
        <w:tc>
          <w:tcPr/>
          <w:p>
            <w:pPr>
              <w:pStyle w:val="Compact"/>
              <w:jc w:val="left"/>
            </w:pPr>
            <w:r>
              <w:t xml:space="preserve">Script</w:t>
            </w:r>
          </w:p>
        </w:tc>
        <w:tc>
          <w:tcPr/>
          <w:p>
            <w:pPr>
              <w:pStyle w:val="Compact"/>
              <w:jc w:val="left"/>
            </w:pPr>
            <w:r>
              <w:t xml:space="preserve">Commit</w:t>
            </w:r>
          </w:p>
        </w:tc>
      </w:tr>
      <w:tr>
        <w:tc>
          <w:tcPr/>
          <w:p>
            <w:pPr>
              <w:pStyle w:val="Compact"/>
              <w:jc w:val="left"/>
            </w:pPr>
            <w:r>
              <w:t xml:space="preserve">9 (panel build)</w:t>
            </w:r>
          </w:p>
        </w:tc>
        <w:tc>
          <w:tcPr/>
          <w:p>
            <w:pPr>
              <w:pStyle w:val="Compact"/>
              <w:jc w:val="left"/>
            </w:pPr>
            <w:r>
              <w:t xml:space="preserve">scripts/09_panel_build.R</w:t>
            </w:r>
          </w:p>
        </w:tc>
        <w:tc>
          <w:tcPr/>
          <w:p>
            <w:pPr>
              <w:pStyle w:val="Compact"/>
              <w:jc w:val="left"/>
            </w:pPr>
            <w:r>
              <w:t xml:space="preserve">9b4bc89</w:t>
            </w:r>
          </w:p>
        </w:tc>
      </w:tr>
      <w:tr>
        <w:tc>
          <w:tcPr/>
          <w:p>
            <w:pPr>
              <w:pStyle w:val="Compact"/>
              <w:jc w:val="left"/>
            </w:pPr>
            <w:r>
              <w:t xml:space="preserve">11 (TWFE decomposition)</w:t>
            </w:r>
          </w:p>
        </w:tc>
        <w:tc>
          <w:tcPr/>
          <w:p>
            <w:pPr>
              <w:pStyle w:val="Compact"/>
              <w:jc w:val="left"/>
            </w:pPr>
            <w:r>
              <w:t xml:space="preserve">scripts/11_twfe_common_shocks.R</w:t>
            </w:r>
          </w:p>
        </w:tc>
        <w:tc>
          <w:tcPr/>
          <w:p>
            <w:pPr>
              <w:pStyle w:val="Compact"/>
              <w:jc w:val="left"/>
            </w:pPr>
            <w:r>
              <w:t xml:space="preserve">e626dee</w:t>
            </w:r>
          </w:p>
        </w:tc>
      </w:tr>
      <w:tr>
        <w:tc>
          <w:tcPr/>
          <w:p>
            <w:pPr>
              <w:pStyle w:val="Compact"/>
              <w:jc w:val="left"/>
            </w:pPr>
            <w:r>
              <w:t xml:space="preserve">12 (Moran’s I)</w:t>
            </w:r>
          </w:p>
        </w:tc>
        <w:tc>
          <w:tcPr/>
          <w:p>
            <w:pPr>
              <w:pStyle w:val="Compact"/>
              <w:jc w:val="left"/>
            </w:pPr>
            <w:r>
              <w:t xml:space="preserve">scripts/12_residual_spatial_tests.R</w:t>
            </w:r>
          </w:p>
        </w:tc>
        <w:tc>
          <w:tcPr/>
          <w:p>
            <w:pPr>
              <w:pStyle w:val="Compact"/>
              <w:jc w:val="left"/>
            </w:pPr>
            <w:r>
              <w:t xml:space="preserve">e626dee</w:t>
            </w:r>
          </w:p>
        </w:tc>
      </w:tr>
      <w:tr>
        <w:tc>
          <w:tcPr/>
          <w:p>
            <w:pPr>
              <w:pStyle w:val="Compact"/>
              <w:jc w:val="left"/>
            </w:pPr>
            <w:r>
              <w:t xml:space="preserve">13 (lag-1 spatial)</w:t>
            </w:r>
          </w:p>
        </w:tc>
        <w:tc>
          <w:tcPr/>
          <w:p>
            <w:pPr>
              <w:pStyle w:val="Compact"/>
              <w:jc w:val="left"/>
            </w:pPr>
            <w:r>
              <w:t xml:space="preserve">scripts/13_lagged_spatial_transmission.R</w:t>
            </w:r>
          </w:p>
        </w:tc>
        <w:tc>
          <w:tcPr/>
          <w:p>
            <w:pPr>
              <w:pStyle w:val="Compact"/>
              <w:jc w:val="left"/>
            </w:pPr>
            <w:r>
              <w:t xml:space="preserve">f7f5d5d</w:t>
            </w:r>
          </w:p>
        </w:tc>
      </w:tr>
      <w:tr>
        <w:tc>
          <w:tcPr/>
          <w:p>
            <w:pPr>
              <w:pStyle w:val="Compact"/>
              <w:jc w:val="left"/>
            </w:pPr>
            <w:r>
              <w:t xml:space="preserve">14 (distributed lags)</w:t>
            </w:r>
          </w:p>
        </w:tc>
        <w:tc>
          <w:tcPr/>
          <w:p>
            <w:pPr>
              <w:pStyle w:val="Compact"/>
              <w:jc w:val="left"/>
            </w:pPr>
            <w:r>
              <w:t xml:space="preserve">scripts/14_distributed_spatial_lags.R</w:t>
            </w:r>
          </w:p>
        </w:tc>
        <w:tc>
          <w:tcPr/>
          <w:p>
            <w:pPr>
              <w:pStyle w:val="Compact"/>
              <w:jc w:val="left"/>
            </w:pPr>
            <w:r>
              <w:t xml:space="preserve">fd7ef10</w:t>
            </w:r>
          </w:p>
        </w:tc>
      </w:tr>
      <w:tr>
        <w:tc>
          <w:tcPr/>
          <w:p>
            <w:pPr>
              <w:pStyle w:val="Compact"/>
              <w:jc w:val="left"/>
            </w:pPr>
            <w:r>
              <w:t xml:space="preserve">15 (nonlinear)</w:t>
            </w:r>
          </w:p>
        </w:tc>
        <w:tc>
          <w:tcPr/>
          <w:p>
            <w:pPr>
              <w:pStyle w:val="Compact"/>
              <w:jc w:val="left"/>
            </w:pPr>
            <w:r>
              <w:t xml:space="preserve">scripts/15_nonlinear_spatial_dynamics.R</w:t>
            </w:r>
          </w:p>
        </w:tc>
        <w:tc>
          <w:tcPr/>
          <w:p>
            <w:pPr>
              <w:pStyle w:val="Compact"/>
              <w:jc w:val="left"/>
            </w:pPr>
            <w:r>
              <w:t xml:space="preserve">c63dba5</w:t>
            </w:r>
          </w:p>
        </w:tc>
      </w:tr>
      <w:tr>
        <w:tc>
          <w:tcPr/>
          <w:p>
            <w:pPr>
              <w:pStyle w:val="Compact"/>
              <w:jc w:val="left"/>
            </w:pPr>
            <w:r>
              <w:t xml:space="preserve">16 (structural shocks)</w:t>
            </w:r>
          </w:p>
        </w:tc>
        <w:tc>
          <w:tcPr/>
          <w:p>
            <w:pPr>
              <w:pStyle w:val="Compact"/>
              <w:jc w:val="left"/>
            </w:pPr>
            <w:r>
              <w:t xml:space="preserve">scripts/16_structural_shocks.R</w:t>
            </w:r>
          </w:p>
        </w:tc>
        <w:tc>
          <w:tcPr/>
          <w:p>
            <w:pPr>
              <w:pStyle w:val="Compact"/>
              <w:jc w:val="left"/>
            </w:pPr>
            <w:r>
              <w:t xml:space="preserve">bc4fde0</w:t>
            </w:r>
          </w:p>
        </w:tc>
      </w:tr>
      <w:tr>
        <w:tc>
          <w:tcPr/>
          <w:p>
            <w:pPr>
              <w:pStyle w:val="Compact"/>
              <w:jc w:val="left"/>
            </w:pPr>
            <w:r>
              <w:t xml:space="preserve">17 (stationarity/temporal)</w:t>
            </w:r>
          </w:p>
        </w:tc>
        <w:tc>
          <w:tcPr/>
          <w:p>
            <w:pPr>
              <w:pStyle w:val="Compact"/>
              <w:jc w:val="left"/>
            </w:pPr>
            <w:r>
              <w:t xml:space="preserve">scripts/17_stationarity_temporal_dynamics.R</w:t>
            </w:r>
          </w:p>
        </w:tc>
        <w:tc>
          <w:tcPr/>
          <w:p>
            <w:pPr>
              <w:pStyle w:val="Compact"/>
              <w:jc w:val="left"/>
            </w:pPr>
            <w:r>
              <w:t xml:space="preserve">e0566f5</w:t>
            </w:r>
          </w:p>
        </w:tc>
      </w:tr>
      <w:tr>
        <w:tc>
          <w:tcPr/>
          <w:p>
            <w:pPr>
              <w:pStyle w:val="Compact"/>
              <w:jc w:val="left"/>
            </w:pPr>
            <w:r>
              <w:t xml:space="preserve">18 (final robustness)</w:t>
            </w:r>
          </w:p>
        </w:tc>
        <w:tc>
          <w:tcPr/>
          <w:p>
            <w:pPr>
              <w:pStyle w:val="Compact"/>
              <w:jc w:val="left"/>
            </w:pPr>
            <w:r>
              <w:t xml:space="preserve">scripts/18_final_robustness_model_lock.R</w:t>
            </w:r>
          </w:p>
        </w:tc>
        <w:tc>
          <w:tcPr/>
          <w:p>
            <w:pPr>
              <w:pStyle w:val="Compact"/>
              <w:jc w:val="left"/>
            </w:pPr>
            <w:r>
              <w:t xml:space="preserve">5565b1a</w:t>
            </w:r>
          </w:p>
        </w:tc>
      </w:tr>
      <w:tr>
        <w:tc>
          <w:tcPr/>
          <w:p>
            <w:pPr>
              <w:pStyle w:val="Compact"/>
              <w:jc w:val="left"/>
            </w:pPr>
            <w:r>
              <w:t xml:space="preserve">19 (manuscript integration)</w:t>
            </w:r>
          </w:p>
        </w:tc>
        <w:tc>
          <w:tcPr/>
          <w:p>
            <w:pPr>
              <w:pStyle w:val="Compact"/>
              <w:jc w:val="left"/>
            </w:pPr>
            <w:r>
              <w:t xml:space="preserve">paper.qmd (this file)</w:t>
            </w:r>
          </w:p>
        </w:tc>
        <w:tc>
          <w:tcPr/>
          <w:p>
            <w:pPr>
              <w:pStyle w:val="Compact"/>
              <w:jc w:val="left"/>
            </w:pPr>
            <w:r>
              <w:t xml:space="preserve">(this commit)</w:t>
            </w:r>
          </w:p>
        </w:tc>
      </w:tr>
    </w:tbl>
    <w:p>
      <w:pPr>
        <w:pStyle w:val="BodyText"/>
      </w:pPr>
      <w:r>
        <w:rPr>
          <w:b/>
          <w:bCs/>
        </w:rPr>
        <w:t xml:space="preserve">Machine-readable outputs.</w:t>
      </w:r>
      <w:r>
        <w:t xml:space="preserve"> </w:t>
      </w:r>
      <w:r>
        <w:t xml:space="preserve">Every number reported in the Results and</w:t>
      </w:r>
      <w:r>
        <w:t xml:space="preserve"> </w:t>
      </w:r>
      <w:r>
        <w:t xml:space="preserve">Robustness sections above is read programmatically, at render time, from the</w:t>
      </w:r>
      <w:r>
        <w:t xml:space="preserve"> </w:t>
      </w:r>
      <w:r>
        <w:t xml:space="preserve">CSV/TXT tables committed alongside each stage’s script (</w:t>
      </w:r>
      <w:r>
        <w:rPr>
          <w:rStyle w:val="VerbatimChar"/>
        </w:rPr>
        <w:t xml:space="preserve">results_v2/*/tables/</w:t>
      </w:r>
      <w:r>
        <w:t xml:space="preserve">)</w:t>
      </w:r>
      <w:r>
        <w:t xml:space="preserve"> </w:t>
      </w:r>
      <w:r>
        <w:t xml:space="preserve">– none is hand-typed. The full sensitivity analyses referenced but not</w:t>
      </w:r>
      <w:r>
        <w:t xml:space="preserve"> </w:t>
      </w:r>
      <w:r>
        <w:t xml:space="preserve">reproduced in full here (e.g. the complete leave-one-region-out table, the</w:t>
      </w:r>
      <w:r>
        <w:t xml:space="preserve"> </w:t>
      </w:r>
      <w:r>
        <w:t xml:space="preserve">full stationarity-by-region table) are available in those same directories.</w:t>
      </w:r>
    </w:p>
    <w:bookmarkEnd w:id="53"/>
    <w:bookmarkStart w:id="87" w:name="Xc5ef7f4e0f93585f1d50adcdcb60f0f6dd4701f"/>
    <w:p>
      <w:pPr>
        <w:pStyle w:val="Heading2"/>
      </w:pPr>
      <w:r>
        <w:t xml:space="preserve">Appendix A: Exploratory Baseline Analysis (v1, Preliminary)</w:t>
      </w:r>
    </w:p>
    <w:p>
      <w:pPr>
        <w:pStyle w:val="FirstParagraph"/>
      </w:pPr>
      <w:r>
        <w:rPr>
          <w:b/>
          <w:bCs/>
        </w:rPr>
        <w:t xml:space="preserve">Read this appendix as the project’s original exploratory phase (Stages</w:t>
      </w:r>
      <w:r>
        <w:rPr>
          <w:b/>
          <w:bCs/>
        </w:rPr>
        <w:t xml:space="preserve"> </w:t>
      </w:r>
      <w:r>
        <w:rPr>
          <w:b/>
          <w:bCs/>
        </w:rPr>
        <w:t xml:space="preserve">1-8), retained here in full for transparency.</w:t>
      </w:r>
      <w:r>
        <w:t xml:space="preserve"> </w:t>
      </w:r>
      <w:r>
        <w:t xml:space="preserve">It precedes, and its</w:t>
      </w:r>
      <w:r>
        <w:t xml:space="preserve"> </w:t>
      </w:r>
      <w:r>
        <w:t xml:space="preserve">suggestive spatial-clustering reading is superseded in interpretation by,</w:t>
      </w:r>
      <w:r>
        <w:t xml:space="preserve"> </w:t>
      </w:r>
      <w:r>
        <w:t xml:space="preserve">the confirmatory dynamic-panel analysis in the main text above (Stages</w:t>
      </w:r>
      <w:r>
        <w:t xml:space="preserve"> </w:t>
      </w:r>
      <w:r>
        <w:t xml:space="preserve">9-18), which found no robust spatial predictive dependence after multiple-</w:t>
      </w:r>
      <w:r>
        <w:t xml:space="preserve"> </w:t>
      </w:r>
      <w:r>
        <w:t xml:space="preserve">testing correction and a full robustness battery. Where this appendix’s</w:t>
      </w:r>
      <w:r>
        <w:t xml:space="preserve"> </w:t>
      </w:r>
      <w:r>
        <w:t xml:space="preserve">original language (below) describes a pattern as more than suggestive, the</w:t>
      </w:r>
      <w:r>
        <w:t xml:space="preserve"> </w:t>
      </w:r>
      <w:r>
        <w:t xml:space="preserve">main text’s finding should be treated as authoritative.</w:t>
      </w:r>
    </w:p>
    <w:bookmarkStart w:id="54" w:name="data-v1"/>
    <w:p>
      <w:pPr>
        <w:pStyle w:val="Heading3"/>
      </w:pPr>
      <w:r>
        <w:t xml:space="preserve">Data (v1)</w:t>
      </w:r>
    </w:p>
    <w:p>
      <w:pPr>
        <w:pStyle w:val="FirstParagraph"/>
      </w:pPr>
      <w:r>
        <w:t xml:space="preserve">This study uses monthly Consumer Price Index (CPI) data for Saudi Arabia’s thirteen administrative regions, published by the General Authority for Statistics (GASTAT), reference (base) year 2023 = 100. The series spans January 2013 to February 2026 and reflects GASTAT’s updated CPI methodology, effective August 2025, under which the regional-level series was re-linked back to 2013. Inflation is computed as the log difference of the CPI index, ln(CPI_t / CPI_(t-1)), for each region.</w:t>
      </w:r>
    </w:p>
    <w:bookmarkEnd w:id="54"/>
    <w:bookmarkStart w:id="57" w:name="methodology-v1"/>
    <w:p>
      <w:pPr>
        <w:pStyle w:val="Heading3"/>
      </w:pPr>
      <w:r>
        <w:t xml:space="preserve">Methodology (v1)</w:t>
      </w:r>
    </w:p>
    <w:bookmarkStart w:id="55" w:name="data-engineering"/>
    <w:p>
      <w:pPr>
        <w:pStyle w:val="Heading4"/>
      </w:pPr>
      <w:r>
        <w:t xml:space="preserve">Data Engineering</w:t>
      </w:r>
    </w:p>
    <w:p>
      <w:pPr>
        <w:pStyle w:val="FirstParagraph"/>
      </w:pPr>
      <w:r>
        <w:t xml:space="preserve">The raw GASTAT series is rebuilt into an analysis-ready panel on every pipeline run rather than read from a static cache. The annual-average row included in the raw file for each year is excluded before any ordering, the month/year fields are coerced to integers (avoiding a lexicographic month order such as</w:t>
      </w:r>
      <w:r>
        <w:t xml:space="preserve"> </w:t>
      </w:r>
      <w:r>
        <w:t xml:space="preserve">“1, 10, 11, 12, 2, …”</w:t>
      </w:r>
      <w:r>
        <w:t xml:space="preserve">), and each region’s series is explicitly sorted chronologically before the month-over-month log-difference is taken. This ordering step matters: computing the log-difference on a text-sorted series silently misattributes several months per year to the wrong prior period. The resulting long-format panel (</w:t>
      </w:r>
      <w:r>
        <w:rPr>
          <w:rStyle w:val="VerbatimChar"/>
        </w:rPr>
        <w:t xml:space="preserve">date</w:t>
      </w:r>
      <w:r>
        <w:t xml:space="preserve">,</w:t>
      </w:r>
      <w:r>
        <w:t xml:space="preserve"> </w:t>
      </w:r>
      <w:r>
        <w:rPr>
          <w:rStyle w:val="VerbatimChar"/>
        </w:rPr>
        <w:t xml:space="preserve">Region</w:t>
      </w:r>
      <w:r>
        <w:t xml:space="preserve">,</w:t>
      </w:r>
      <w:r>
        <w:t xml:space="preserve"> </w:t>
      </w:r>
      <w:r>
        <w:rPr>
          <w:rStyle w:val="VerbatimChar"/>
        </w:rPr>
        <w:t xml:space="preserve">CPI</w:t>
      </w:r>
      <w:r>
        <w:t xml:space="preserve">,</w:t>
      </w:r>
      <w:r>
        <w:t xml:space="preserve"> </w:t>
      </w:r>
      <w:r>
        <w:rPr>
          <w:rStyle w:val="VerbatimChar"/>
        </w:rPr>
        <w:t xml:space="preserve">inflation</w:t>
      </w:r>
      <w:r>
        <w:t xml:space="preserve">) is the single input to every analysis step below.</w:t>
      </w:r>
    </w:p>
    <w:bookmarkEnd w:id="55"/>
    <w:bookmarkStart w:id="56" w:name="analytical-approach"/>
    <w:p>
      <w:pPr>
        <w:pStyle w:val="Heading4"/>
      </w:pPr>
      <w:r>
        <w:t xml:space="preserve">Analytical Approach</w:t>
      </w:r>
    </w:p>
    <w:p>
      <w:pPr>
        <w:pStyle w:val="FirstParagraph"/>
      </w:pPr>
      <w:r>
        <w:t xml:space="preserve">To explore regional interactions, the data is transformed into a wide format, allowing the computation of a correlation matrix across regions.</w:t>
      </w:r>
    </w:p>
    <w:p>
      <w:pPr>
        <w:pStyle w:val="BodyText"/>
      </w:pPr>
      <w:r>
        <w:t xml:space="preserve">Spatial analysis is conducted using regional shapefiles, enabling visualization of geographic variation in inflation patterns. In addition, the Global Moran’s I statistic is computed on each region’s mean inflation using a queen-contiguity spatial weights matrix, to test formally whether spatial clustering exists rather than relying on visual inspection of the map alone.</w:t>
      </w:r>
    </w:p>
    <w:bookmarkEnd w:id="56"/>
    <w:bookmarkEnd w:id="57"/>
    <w:bookmarkStart w:id="62" w:name="descriptive-statistics-v1"/>
    <w:p>
      <w:pPr>
        <w:pStyle w:val="Heading3"/>
      </w:pPr>
      <w:r>
        <w:t xml:space="preserve">Descriptive Statistics (v1)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098"/>
        <w:gridCol w:w="2293"/>
        <w:gridCol w:w="1755"/>
        <w:gridCol w:w="1193"/>
        <w:gridCol w:w="1242"/>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22"/>
                <w:szCs w:val="22"/>
                <w:color w:val="000000"/>
              </w:rPr>
              <w:t xml:space="preserve">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22"/>
                <w:szCs w:val="22"/>
                <w:color w:val="000000"/>
              </w:rPr>
              <w:t xml:space="preserve">Mean Inflation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22"/>
                <w:szCs w:val="22"/>
                <w:color w:val="000000"/>
              </w:rPr>
              <w:t xml:space="preserve">Std. Dev.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22"/>
                <w:szCs w:val="22"/>
                <w:color w:val="000000"/>
              </w:rPr>
              <w:t xml:space="preserve">Min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22"/>
                <w:szCs w:val="22"/>
                <w:color w:val="000000"/>
              </w:rPr>
              <w:t xml:space="preserve">Max (%)</w:t>
            </w:r>
          </w:p>
        </w:tc>
      </w:tr>
      <w:tr>
        <w:trPr>
          <w:trHeight w:val="572"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Al Baha</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0.22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1.63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-6.38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8.00</w:t>
            </w:r>
          </w:p>
        </w:tc>
      </w:tr>
      <w:tr>
        <w:trPr>
          <w:trHeight w:val="57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Madinah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1.18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-2.74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12.73</w:t>
            </w:r>
          </w:p>
        </w:tc>
      </w:tr>
      <w:tr>
        <w:trPr>
          <w:trHeight w:val="61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Riyadh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6.97</w:t>
            </w:r>
          </w:p>
        </w:tc>
      </w:tr>
      <w:tr>
        <w:trPr>
          <w:trHeight w:val="61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Al Qassim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-4.62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6.94</w:t>
            </w:r>
          </w:p>
        </w:tc>
      </w:tr>
      <w:tr>
        <w:trPr>
          <w:trHeight w:val="56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Aseer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-3.53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6.81</w:t>
            </w:r>
          </w:p>
        </w:tc>
      </w:tr>
      <w:tr>
        <w:trPr>
          <w:trHeight w:val="57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Makkah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-1.07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5.60</w:t>
            </w:r>
          </w:p>
        </w:tc>
      </w:tr>
      <w:tr>
        <w:trPr>
          <w:trHeight w:val="61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Najran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-1.38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4.71</w:t>
            </w:r>
          </w:p>
        </w:tc>
      </w:tr>
      <w:tr>
        <w:trPr>
          <w:trHeight w:val="57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Eastern Province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-3.30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5.53</w:t>
            </w:r>
          </w:p>
        </w:tc>
      </w:tr>
      <w:tr>
        <w:trPr>
          <w:trHeight w:val="57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Tabouk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-1.43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5.04</w:t>
            </w:r>
          </w:p>
        </w:tc>
      </w:tr>
      <w:tr>
        <w:trPr>
          <w:trHeight w:val="56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Jazan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-5.43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5.85</w:t>
            </w:r>
          </w:p>
        </w:tc>
      </w:tr>
      <w:tr>
        <w:trPr>
          <w:trHeight w:val="57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Al Jouf</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-3.01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4.48</w:t>
            </w:r>
          </w:p>
        </w:tc>
      </w:tr>
      <w:tr>
        <w:trPr>
          <w:trHeight w:val="57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Hail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-3.57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5.26</w:t>
            </w:r>
          </w:p>
        </w:tc>
      </w:tr>
      <w:tr>
        <w:trPr>
          <w:trHeight w:val="572"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Northern Borders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1.01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-5.04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4.53</w:t>
            </w:r>
          </w:p>
        </w:tc>
      </w:tr>
    </w:tbl>
    <w:p>
      <w:pPr>
        <w:pStyle w:val="FirstParagraph"/>
      </w:pPr>
      <w:r>
        <w:rPr>
          <w:i/>
          <w:iCs/>
        </w:rPr>
        <w:t xml:space="preserve">Table A1. Descriptive statistics of monthly regional inflation rates (%).</w:t>
      </w:r>
    </w:p>
    <w:bookmarkStart w:id="61" w:name="distribution-of-inflation"/>
    <w:p>
      <w:pPr>
        <w:pStyle w:val="Heading4"/>
      </w:pPr>
      <w:r>
        <w:t xml:space="preserve">Distribution of Inflation</w:t>
      </w:r>
    </w:p>
    <w:p>
      <w:pPr>
        <w:pStyle w:val="FirstParagraph"/>
      </w:pPr>
      <w:r>
        <w:drawing>
          <wp:inline>
            <wp:extent cx="4620126" cy="3696101"/>
            <wp:effectExtent b="0" l="0" r="0" t="0"/>
            <wp:docPr descr="" title="" id="59" name="Picture"/>
            <a:graphic>
              <a:graphicData uri="http://schemas.openxmlformats.org/drawingml/2006/picture">
                <pic:pic>
                  <pic:nvPicPr>
                    <pic:cNvPr descr="paper_files/figure-docx/unnamed-chunk-4-1.png" id="60" name="Picture"/>
                    <pic:cNvPicPr>
                      <a:picLocks noChangeArrowheads="1" noChangeAspect="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
          <w:iCs/>
        </w:rPr>
        <w:t xml:space="preserve">Figure A1. Distribution of inflation across Saudi regions.</w:t>
      </w:r>
    </w:p>
    <w:p>
      <w:pPr>
        <w:pStyle w:val="BodyText"/>
      </w:pPr>
      <w:r>
        <w:t xml:space="preserve">The distribution of inflation suggests that values are concentrated within a narrow range, indicating relatively low dispersion across regions.</w:t>
      </w:r>
    </w:p>
    <w:bookmarkEnd w:id="61"/>
    <w:bookmarkEnd w:id="62"/>
    <w:bookmarkStart w:id="85" w:name="results-v1"/>
    <w:p>
      <w:pPr>
        <w:pStyle w:val="Heading3"/>
      </w:pPr>
      <w:r>
        <w:t xml:space="preserve">Results (v1)</w:t>
      </w:r>
    </w:p>
    <w:bookmarkStart w:id="66" w:name="correlation-analysis"/>
    <w:p>
      <w:pPr>
        <w:pStyle w:val="Heading4"/>
      </w:pPr>
      <w:r>
        <w:t xml:space="preserve">Correlation Analysis</w:t>
      </w:r>
    </w:p>
    <w:p>
      <w:pPr>
        <w:pStyle w:val="FirstParagraph"/>
      </w:pPr>
      <w:r>
        <w:t xml:space="preserve">Figure A2 illustrates the correlation structure across Saudi regions, revealing moderate to high positive relationships.</w:t>
      </w:r>
    </w:p>
    <w:p>
      <w:pPr>
        <w:pStyle w:val="BodyText"/>
      </w:pPr>
      <w:r>
        <w:drawing>
          <wp:inline>
            <wp:extent cx="5334000" cy="4445000"/>
            <wp:effectExtent b="0" l="0" r="0" t="0"/>
            <wp:docPr descr="" title="" id="64" name="Picture"/>
            <a:graphic>
              <a:graphicData uri="http://schemas.openxmlformats.org/drawingml/2006/picture">
                <pic:pic>
                  <pic:nvPicPr>
                    <pic:cNvPr descr="results/figures/correlation.png" id="65" name="Picture"/>
                    <pic:cNvPicPr>
                      <a:picLocks noChangeArrowheads="1" noChangeAspect="1"/>
                    </pic:cNvPicPr>
                  </pic:nvPicPr>
                  <pic:blipFill>
                    <a:blip r:embed="rId63"/>
                    <a:stretch>
                      <a:fillRect/>
                    </a:stretch>
                  </pic:blipFill>
                  <pic:spPr bwMode="auto">
                    <a:xfrm>
                      <a:off x="0" y="0"/>
                      <a:ext cx="5334000" cy="4445000"/>
                    </a:xfrm>
                    <a:prstGeom prst="rect">
                      <a:avLst/>
                    </a:prstGeom>
                    <a:noFill/>
                    <a:ln w="9525">
                      <a:noFill/>
                      <a:headEnd/>
                      <a:tailEnd/>
                    </a:ln>
                  </pic:spPr>
                </pic:pic>
              </a:graphicData>
            </a:graphic>
          </wp:inline>
        </w:drawing>
      </w:r>
    </w:p>
    <w:p>
      <w:pPr>
        <w:pStyle w:val="BodyText"/>
      </w:pPr>
      <w:r>
        <w:t xml:space="preserve">Figure A2: Correlation matrix of inflation across Saudi regions.</w:t>
      </w:r>
    </w:p>
    <w:p>
      <w:pPr>
        <w:pStyle w:val="BodyText"/>
      </w:pPr>
      <w:r>
        <w:t xml:space="preserve">The correlation matrix indicates moderate to high positive correlations across</w:t>
      </w:r>
      <w:r>
        <w:t xml:space="preserve"> </w:t>
      </w:r>
      <w:r>
        <w:t xml:space="preserve">regions. On its own, a high pairwise correlation does not establish that</w:t>
      </w:r>
      <w:r>
        <w:t xml:space="preserve"> </w:t>
      </w:r>
      <w:r>
        <w:t xml:space="preserve">regions interact economically with one another; it is equally consistent with</w:t>
      </w:r>
      <w:r>
        <w:t xml:space="preserve"> </w:t>
      </w:r>
      <w:r>
        <w:t xml:space="preserve">all regions responding to the same national-level drivers (monetary policy,</w:t>
      </w:r>
      <w:r>
        <w:t xml:space="preserve"> </w:t>
      </w:r>
      <w:r>
        <w:t xml:space="preserve">oil prices, or nationwide fiscal shocks such as VAT changes) without any</w:t>
      </w:r>
      <w:r>
        <w:t xml:space="preserve"> </w:t>
      </w:r>
      <w:r>
        <w:t xml:space="preserve">direct regional interaction. This reading is confirmed directly by the main</w:t>
      </w:r>
      <w:r>
        <w:t xml:space="preserve"> </w:t>
      </w:r>
      <w:r>
        <w:t xml:space="preserve">text’s confirmatory dynamic-panel analysis above, which finds no robust</w:t>
      </w:r>
      <w:r>
        <w:t xml:space="preserve"> </w:t>
      </w:r>
      <w:r>
        <w:t xml:space="preserve">spatial</w:t>
      </w:r>
      <w:r>
        <w:t xml:space="preserve"> </w:t>
      </w:r>
      <w:r>
        <w:rPr>
          <w:i/>
          <w:iCs/>
        </w:rPr>
        <w:t xml:space="preserve">predictive</w:t>
      </w:r>
      <w:r>
        <w:t xml:space="preserve"> </w:t>
      </w:r>
      <w:r>
        <w:t xml:space="preserve">dependence once common month effects are accounted for.</w:t>
      </w:r>
    </w:p>
    <w:p>
      <w:pPr>
        <w:pStyle w:val="BodyText"/>
      </w:pPr>
      <w:r>
        <w:t xml:space="preserve">However, variations in correlation strength imply that regional-specific factors also play a role.</w:t>
      </w:r>
    </w:p>
    <w:bookmarkEnd w:id="66"/>
    <w:bookmarkStart w:id="67" w:name="X089a43ea8d5e30d032426626df2b887451ec562"/>
    <w:p>
      <w:pPr>
        <w:pStyle w:val="Heading4"/>
      </w:pPr>
      <w:r>
        <w:t xml:space="preserve">Statistical Significance of Regional Correlations</w:t>
      </w:r>
    </w:p>
    <w:p>
      <w:pPr>
        <w:pStyle w:val="FirstParagraph"/>
      </w:pPr>
      <w:r>
        <w:t xml:space="preserve">Correlation coefficients alone do not indicate whether a relationship is</w:t>
      </w:r>
      <w:r>
        <w:t xml:space="preserve"> </w:t>
      </w:r>
      <w:r>
        <w:t xml:space="preserve">statistically distinguishable from zero. Testing all 78 regional</w:t>
      </w:r>
      <w:r>
        <w:t xml:space="preserve"> </w:t>
      </w:r>
      <w:r>
        <w:t xml:space="preserve">pairs individually (Pearson correlation test), 74 of 78</w:t>
      </w:r>
      <w:r>
        <w:t xml:space="preserve"> </w:t>
      </w:r>
      <w:r>
        <w:t xml:space="preserve">pairs (94.9%) are significant at the raw 5%</w:t>
      </w:r>
      <w:r>
        <w:t xml:space="preserve"> </w:t>
      </w:r>
      <w:r>
        <w:t xml:space="preserve">level. Of the 4 non-significant pairs, 4</w:t>
      </w:r>
      <w:r>
        <w:t xml:space="preserve"> </w:t>
      </w:r>
      <w:r>
        <w:t xml:space="preserve">involve the Northern Borders region. This pattern</w:t>
      </w:r>
      <w:r>
        <w:t xml:space="preserve"> </w:t>
      </w:r>
      <w:r>
        <w:rPr>
          <w:b/>
          <w:bCs/>
        </w:rPr>
        <w:t xml:space="preserve">may reflect</w:t>
      </w:r>
      <w:r>
        <w:t xml:space="preserve"> </w:t>
      </w:r>
      <w:r>
        <w:t xml:space="preserve">the</w:t>
      </w:r>
      <w:r>
        <w:t xml:space="preserve"> </w:t>
      </w:r>
      <w:r>
        <w:t xml:space="preserve">relatively distinct economic characteristics of the Northern Borders region</w:t>
      </w:r>
      <w:r>
        <w:t xml:space="preserve"> </w:t>
      </w:r>
      <w:r>
        <w:t xml:space="preserve">(e.g. population size, trade exposure, or border-related retail dynamics);</w:t>
      </w:r>
      <w:r>
        <w:t xml:space="preserve"> </w:t>
      </w:r>
      <w:r>
        <w:t xml:space="preserve">however, this study does not formally test which of these factors, if any,</w:t>
      </w:r>
      <w:r>
        <w:t xml:space="preserve"> </w:t>
      </w:r>
      <w:r>
        <w:t xml:space="preserve">is responsible, and the pattern could equally be driven by chance given the</w:t>
      </w:r>
      <w:r>
        <w:t xml:space="preserve"> </w:t>
      </w:r>
      <w:r>
        <w:t xml:space="preserve">number of pairwise tests performed. This should be read as a descriptive</w:t>
      </w:r>
      <w:r>
        <w:t xml:space="preserve"> </w:t>
      </w:r>
      <w:r>
        <w:t xml:space="preserve">observation rather than a causal explanation.</w:t>
      </w:r>
    </w:p>
    <w:p>
      <w:pPr>
        <w:pStyle w:val="BodyText"/>
      </w:pPr>
      <w:r>
        <w:t xml:space="preserve">Because 78 pairwise tests are performed simultaneously, the raw 5% threshold</w:t>
      </w:r>
      <w:r>
        <w:t xml:space="preserve"> </w:t>
      </w:r>
      <w:r>
        <w:t xml:space="preserve">understates the false-positive risk. Applying a Benjamini-Hochberg (FDR)</w:t>
      </w:r>
      <w:r>
        <w:t xml:space="preserve"> </w:t>
      </w:r>
      <w:r>
        <w:t xml:space="preserve">correction across all 78 tests, 74 of 78 pairs remain</w:t>
      </w:r>
      <w:r>
        <w:t xml:space="preserve"> </w:t>
      </w:r>
      <w:r>
        <w:t xml:space="preserve">significant — identical to the raw-p-value count, so the multiple-testing concern does not change the substantive conclusion here.</w:t>
      </w:r>
    </w:p>
    <w:p>
      <w:r>
        <w:pict>
          <v:rect style="width:0;height:1.5pt" o:hralign="center" o:hrstd="t" o:hr="t"/>
        </w:pict>
      </w:r>
    </w:p>
    <w:bookmarkEnd w:id="67"/>
    <w:bookmarkStart w:id="71" w:name="spatial-analysis-map"/>
    <w:p>
      <w:pPr>
        <w:pStyle w:val="Heading4"/>
      </w:pPr>
      <w:r>
        <w:t xml:space="preserve">Spatial Analysis (Map)</w:t>
      </w:r>
    </w:p>
    <w:p>
      <w:pPr>
        <w:pStyle w:val="FirstParagraph"/>
      </w:pPr>
      <w:r>
        <w:drawing>
          <wp:inline>
            <wp:extent cx="4620126" cy="3696101"/>
            <wp:effectExtent b="0" l="0" r="0" t="0"/>
            <wp:docPr descr="" title="" id="69" name="Picture"/>
            <a:graphic>
              <a:graphicData uri="http://schemas.openxmlformats.org/drawingml/2006/picture">
                <pic:pic>
                  <pic:nvPicPr>
                    <pic:cNvPr descr="paper_files/figure-docx/unnamed-chunk-8-1.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Figure A3: Spatial distribution of inflation across Saudi regions.</w:t>
      </w:r>
      <w:r>
        <w:t xml:space="preserve"> </w:t>
      </w:r>
      <w:r>
        <w:t xml:space="preserve">However, the spatial map highlights variation across regions, indicating that inflation is not uniformly distributed geographically.</w:t>
      </w:r>
    </w:p>
    <w:p>
      <w:r>
        <w:pict>
          <v:rect style="width:0;height:1.5pt" o:hralign="center" o:hrstd="t" o:hr="t"/>
        </w:pict>
      </w:r>
    </w:p>
    <w:bookmarkEnd w:id="71"/>
    <w:bookmarkStart w:id="75" w:name="spatial-autocorrelation-morans-i"/>
    <w:p>
      <w:pPr>
        <w:pStyle w:val="Heading4"/>
      </w:pPr>
      <w:r>
        <w:t xml:space="preserve">Spatial Autocorrelation (Moran’s I)</w:t>
      </w:r>
    </w:p>
    <w:p>
      <w:pPr>
        <w:pStyle w:val="FirstParagraph"/>
      </w:pPr>
      <w:r>
        <w:t xml:space="preserve">The correlation matrix above treats all regions symmetrically and ignores geography.</w:t>
      </w:r>
      <w:r>
        <w:t xml:space="preserve"> </w:t>
      </w:r>
      <w:r>
        <w:t xml:space="preserve">To test formally whether regions with similar inflation levels tend to be</w:t>
      </w:r>
      <w:r>
        <w:t xml:space="preserve"> </w:t>
      </w:r>
      <w:r>
        <w:t xml:space="preserve">geographic neighbours, we compute the Global Moran’s I statistic on mean</w:t>
      </w:r>
      <w:r>
        <w:t xml:space="preserve"> </w:t>
      </w:r>
      <w:r>
        <w:t xml:space="preserve">regional inflation, using a queen-contiguity spatial weights matrix built from</w:t>
      </w:r>
      <w:r>
        <w:t xml:space="preserve"> </w:t>
      </w:r>
      <w:r>
        <w:t xml:space="preserve">the regional boundaries (</w:t>
      </w:r>
      <w:r>
        <w:rPr>
          <w:rStyle w:val="VerbatimChar"/>
        </w:rPr>
        <w:t xml:space="preserve">scripts/06_spatial_autocorrelation.R</w:t>
      </w:r>
      <w:r>
        <w:t xml:space="preserve">).</w:t>
      </w:r>
    </w:p>
    <w:p>
      <w:pPr>
        <w:pStyle w:val="BodyText"/>
      </w:pPr>
      <w:r>
        <w:t xml:space="preserve">Moran’s I ranges from -1 (perfect spatial dispersion) to +1 (perfect spatial</w:t>
      </w:r>
      <w:r>
        <w:t xml:space="preserve"> </w:t>
      </w:r>
      <w:r>
        <w:t xml:space="preserve">clustering), with a value near 0 indicating a spatially random pattern. The</w:t>
      </w:r>
      <w:r>
        <w:t xml:space="preserve"> </w:t>
      </w:r>
      <w:r>
        <w:t xml:space="preserve">estimated statistic is</w:t>
      </w:r>
      <w:r>
        <w:t xml:space="preserve"> </w:t>
      </w:r>
      <w:r>
        <w:rPr>
          <w:b/>
          <w:bCs/>
        </w:rPr>
        <w:t xml:space="preserve">I = 0.204</w:t>
      </w:r>
      <w:r>
        <w:t xml:space="preserve"> </w:t>
      </w:r>
      <w:r>
        <w:t xml:space="preserve">(z = 1.68,</w:t>
      </w:r>
      <w:r>
        <w:t xml:space="preserve"> </w:t>
      </w:r>
      <w:r>
        <w:t xml:space="preserve">p = 0.046).</w:t>
      </w:r>
    </w:p>
    <w:p>
      <w:pPr>
        <w:pStyle w:val="BodyText"/>
      </w:pPr>
      <w:r>
        <w:t xml:space="preserve">With only 13 regions, this p-value relies on an asymptotic (normal/randomisation)</w:t>
      </w:r>
      <w:r>
        <w:t xml:space="preserve"> </w:t>
      </w:r>
      <w:r>
        <w:t xml:space="preserve">approximation that may not hold well at such a small sample size. As a</w:t>
      </w:r>
      <w:r>
        <w:t xml:space="preserve"> </w:t>
      </w:r>
      <w:r>
        <w:t xml:space="preserve">robustness check, we additionally computed a Monte Carlo permutation test</w:t>
      </w:r>
      <w:r>
        <w:t xml:space="preserve"> </w:t>
      </w:r>
      <w:r>
        <w:t xml:space="preserve">(9999 random re-shufflings of the map): this</w:t>
      </w:r>
      <w:r>
        <w:t xml:space="preserve"> </w:t>
      </w:r>
      <w:r>
        <w:t xml:space="preserve">gives</w:t>
      </w:r>
      <w:r>
        <w:t xml:space="preserve"> </w:t>
      </w:r>
      <w:r>
        <w:rPr>
          <w:b/>
          <w:bCs/>
        </w:rPr>
        <w:t xml:space="preserve">I = 0.204, p =</w:t>
      </w:r>
      <w:r>
        <w:rPr>
          <w:b/>
          <w:bCs/>
        </w:rPr>
        <w:t xml:space="preserve"> </w:t>
      </w:r>
      <w:r>
        <w:rPr>
          <w:b/>
          <w:bCs/>
        </w:rPr>
        <w:t xml:space="preserve">0.0575</w:t>
      </w:r>
      <w:r>
        <w:t xml:space="preserve">. This permutation-based p-value is above the conventional 0.05 threshold, in contrast to the asymptotic test above — the evidence for spatial clustering is therefore borderline and sensitive to the testing method, and should be interpreted with caution rather than treated as a firmly established result.</w:t>
      </w:r>
    </w:p>
    <w:p>
      <w:pPr>
        <w:pStyle w:val="BodyText"/>
      </w:pPr>
      <w:r>
        <w:t xml:space="preserve">This full-sample, time-collapsed test is superseded by the main text’s</w:t>
      </w:r>
      <w:r>
        <w:t xml:space="preserve"> </w:t>
      </w:r>
      <w:r>
        <w:t xml:space="preserve">monthly permutation Moran’s I (Stage 12), which tests every one of 157</w:t>
      </w:r>
      <w:r>
        <w:t xml:space="preserve"> </w:t>
      </w:r>
      <w:r>
        <w:t xml:space="preserve">months separately and finds that no nominal monthly significance survives</w:t>
      </w:r>
      <w:r>
        <w:t xml:space="preserve"> </w:t>
      </w:r>
      <w:r>
        <w:t xml:space="preserve">multiple-testing correction (see</w:t>
      </w:r>
      <w:r>
        <w:t xml:space="preserve"> </w:t>
      </w:r>
      <w:hyperlink w:anchor="results">
        <w:r>
          <w:rPr>
            <w:rStyle w:val="Hyperlink"/>
          </w:rPr>
          <w:t xml:space="preserve">Results</w:t>
        </w:r>
      </w:hyperlink>
      <w:r>
        <w:t xml:space="preserve">).</w:t>
      </w:r>
    </w:p>
    <w:p>
      <w:pPr>
        <w:pStyle w:val="BodyText"/>
      </w:pPr>
      <w:r>
        <w:drawing>
          <wp:inline>
            <wp:extent cx="5334000" cy="4445000"/>
            <wp:effectExtent b="0" l="0" r="0" t="0"/>
            <wp:docPr descr="" title="" id="73" name="Picture"/>
            <a:graphic>
              <a:graphicData uri="http://schemas.openxmlformats.org/drawingml/2006/picture">
                <pic:pic>
                  <pic:nvPicPr>
                    <pic:cNvPr descr="results/figures/moran_scatter_plot.png" id="74" name="Picture"/>
                    <pic:cNvPicPr>
                      <a:picLocks noChangeArrowheads="1" noChangeAspect="1"/>
                    </pic:cNvPicPr>
                  </pic:nvPicPr>
                  <pic:blipFill>
                    <a:blip r:embed="rId72"/>
                    <a:stretch>
                      <a:fillRect/>
                    </a:stretch>
                  </pic:blipFill>
                  <pic:spPr bwMode="auto">
                    <a:xfrm>
                      <a:off x="0" y="0"/>
                      <a:ext cx="5334000" cy="4445000"/>
                    </a:xfrm>
                    <a:prstGeom prst="rect">
                      <a:avLst/>
                    </a:prstGeom>
                    <a:noFill/>
                    <a:ln w="9525">
                      <a:noFill/>
                      <a:headEnd/>
                      <a:tailEnd/>
                    </a:ln>
                  </pic:spPr>
                </pic:pic>
              </a:graphicData>
            </a:graphic>
          </wp:inline>
        </w:drawing>
      </w:r>
    </w:p>
    <w:p>
      <w:pPr>
        <w:pStyle w:val="BodyText"/>
      </w:pPr>
      <w:r>
        <w:t xml:space="preserve">Figure A4: Moran scatter plot of regional mean inflation. The horizontal axis</w:t>
      </w:r>
      <w:r>
        <w:t xml:space="preserve"> </w:t>
      </w:r>
      <w:r>
        <w:t xml:space="preserve">shows each region’s own mean inflation; the vertical axis shows the average</w:t>
      </w:r>
      <w:r>
        <w:t xml:space="preserve"> </w:t>
      </w:r>
      <w:r>
        <w:t xml:space="preserve">mean inflation of its geographic neighbours. A positive slope indicates</w:t>
      </w:r>
      <w:r>
        <w:t xml:space="preserve"> </w:t>
      </w:r>
      <w:r>
        <w:t xml:space="preserve">spatial clustering (similar values located near each other).</w:t>
      </w:r>
    </w:p>
    <w:p>
      <w:pPr>
        <w:pStyle w:val="BodyText"/>
      </w:pPr>
      <w:r>
        <w:t xml:space="preserve">With p = 0.046 (below the conventional 0.05 threshold), the positive Moran’s I is nominally significant on this single full-sample test: regional inflation in Saudi Arabia’s time-averaged pattern is not randomly distributed in space. As the main text’s monthly-resolution confirmatory test shows, however, this full-sample pattern does not translate into robust month-by-month spatial predictive dependence.</w:t>
      </w:r>
    </w:p>
    <w:p>
      <w:r>
        <w:pict>
          <v:rect style="width:0;height:1.5pt" o:hralign="center" o:hrstd="t" o:hr="t"/>
        </w:pict>
      </w:r>
    </w:p>
    <w:bookmarkEnd w:id="75"/>
    <w:bookmarkStart w:id="79" w:name="local-spatial-clusters-lisa"/>
    <w:p>
      <w:pPr>
        <w:pStyle w:val="Heading4"/>
      </w:pPr>
      <w:r>
        <w:t xml:space="preserve">Local Spatial Clusters (LISA)</w:t>
      </w:r>
    </w:p>
    <w:p>
      <w:pPr>
        <w:pStyle w:val="FirstParagraph"/>
      </w:pPr>
      <w:r>
        <w:t xml:space="preserve">Global Moran’s I indicates whether spatial clustering exists overall, but not</w:t>
      </w:r>
      <w:r>
        <w:t xml:space="preserve"> </w:t>
      </w:r>
      <w:r>
        <w:rPr>
          <w:i/>
          <w:iCs/>
        </w:rPr>
        <w:t xml:space="preserve">where</w:t>
      </w:r>
      <w:r>
        <w:t xml:space="preserve"> </w:t>
      </w:r>
      <w:r>
        <w:t xml:space="preserve">it occurs. To locate specific clusters, we compute the Local</w:t>
      </w:r>
      <w:r>
        <w:t xml:space="preserve"> </w:t>
      </w:r>
      <w:r>
        <w:t xml:space="preserve">Indicators of Spatial Association (LISA / local Moran’s I) for each region,</w:t>
      </w:r>
      <w:r>
        <w:t xml:space="preserve"> </w:t>
      </w:r>
      <w:r>
        <w:t xml:space="preserve">classifying it as High-High or Low-Low (a region and its neighbours share</w:t>
      </w:r>
      <w:r>
        <w:t xml:space="preserve"> </w:t>
      </w:r>
      <w:r>
        <w:t xml:space="preserve">similarly high or low inflation — a cluster), High-Low or Low-High (a region</w:t>
      </w:r>
      <w:r>
        <w:t xml:space="preserve"> </w:t>
      </w:r>
      <w:r>
        <w:t xml:space="preserve">differs from its neighbours — a spatial outlier), or not statistically</w:t>
      </w:r>
      <w:r>
        <w:t xml:space="preserve"> </w:t>
      </w:r>
      <w:r>
        <w:t xml:space="preserve">significant (p ≥ 0.05).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942"/>
        <w:gridCol w:w="1951"/>
        <w:gridCol w:w="1169"/>
        <w:gridCol w:w="1230"/>
        <w:gridCol w:w="1242"/>
        <w:gridCol w:w="1792"/>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22"/>
                <w:szCs w:val="22"/>
                <w:color w:val="000000"/>
              </w:rPr>
              <w:t xml:space="preserve">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22"/>
                <w:szCs w:val="22"/>
                <w:color w:val="000000"/>
              </w:rPr>
              <w:t xml:space="preserve">Mean_Inflation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22"/>
                <w:szCs w:val="22"/>
                <w:color w:val="000000"/>
              </w:rPr>
              <w:t xml:space="preserve">Local_I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22"/>
                <w:szCs w:val="22"/>
                <w:color w:val="000000"/>
              </w:rPr>
              <w:t xml:space="preserve">Z_value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22"/>
                <w:szCs w:val="22"/>
                <w:color w:val="000000"/>
              </w:rPr>
              <w:t xml:space="preserve">P_value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22"/>
                <w:szCs w:val="22"/>
                <w:color w:val="000000"/>
              </w:rPr>
              <w:t xml:space="preserve">Cluster</w:t>
            </w:r>
          </w:p>
        </w:tc>
      </w:tr>
      <w:tr>
        <w:trPr>
          <w:trHeight w:val="616"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Ash Sharqiyah</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0.0006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-0.067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0.9600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Not significant</w:t>
            </w:r>
          </w:p>
        </w:tc>
      </w:tr>
      <w:tr>
        <w:trPr>
          <w:trHeight w:val="61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Al Hudud ash Shamaliyah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0.0003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0.460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1.14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0.2560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Not significant</w:t>
            </w:r>
          </w:p>
        </w:tc>
      </w:tr>
      <w:tr>
        <w:trPr>
          <w:trHeight w:val="57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Al Jawf</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0.0005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1.014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2.16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0.0311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Low-Low</w:t>
            </w:r>
          </w:p>
        </w:tc>
      </w:tr>
      <w:tr>
        <w:trPr>
          <w:trHeight w:val="61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Najran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0.0012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0.5540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Not significant</w:t>
            </w:r>
          </w:p>
        </w:tc>
      </w:tr>
      <w:tr>
        <w:trPr>
          <w:trHeight w:val="61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`Asir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0.0013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0.208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1.56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0.1180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Not significant</w:t>
            </w:r>
          </w:p>
        </w:tc>
      </w:tr>
      <w:tr>
        <w:trPr>
          <w:trHeight w:val="61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Jizan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0.0005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-0.337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0.6860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Not significant</w:t>
            </w:r>
          </w:p>
        </w:tc>
      </w:tr>
      <w:tr>
        <w:trPr>
          <w:trHeight w:val="61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Tabuk</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0.0005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0.181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0.5940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Not significant</w:t>
            </w:r>
          </w:p>
        </w:tc>
      </w:tr>
      <w:tr>
        <w:trPr>
          <w:trHeight w:val="61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Al Madinah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0.0019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0.6840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Not significant</w:t>
            </w:r>
          </w:p>
        </w:tc>
      </w:tr>
      <w:tr>
        <w:trPr>
          <w:trHeight w:val="61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Makkah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0.0013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0.249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2.16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0.0307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High-High</w:t>
            </w:r>
          </w:p>
        </w:tc>
      </w:tr>
      <w:tr>
        <w:trPr>
          <w:trHeight w:val="61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Ar Riyad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0.0018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0.7380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Not significant</w:t>
            </w:r>
          </w:p>
        </w:tc>
      </w:tr>
      <w:tr>
        <w:trPr>
          <w:trHeight w:val="61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Al Quassim</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0.0013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0.222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1.06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0.2890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Not significant</w:t>
            </w:r>
          </w:p>
        </w:tc>
      </w:tr>
      <w:tr>
        <w:trPr>
          <w:trHeight w:val="61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Hail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0.0005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0.7480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Not significant</w:t>
            </w:r>
          </w:p>
        </w:tc>
      </w:tr>
      <w:tr>
        <w:trPr>
          <w:trHeight w:val="616"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Al Bahah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0.0022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0.642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0.84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0.3980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Not significant</w:t>
            </w:r>
          </w:p>
        </w:tc>
      </w:tr>
    </w:tbl>
    <w:p>
      <w:pPr>
        <w:pStyle w:val="BodyText"/>
      </w:pPr>
      <w:r>
        <w:rPr>
          <w:i/>
          <w:iCs/>
        </w:rPr>
        <w:t xml:space="preserve">Table A2. Local Moran’s I (LISA) results by region.</w:t>
      </w:r>
    </w:p>
    <w:p>
      <w:pPr>
        <w:pStyle w:val="BodyText"/>
      </w:pPr>
      <w:r>
        <w:drawing>
          <wp:inline>
            <wp:extent cx="5334000" cy="4572000"/>
            <wp:effectExtent b="0" l="0" r="0" t="0"/>
            <wp:docPr descr="" title="" id="77" name="Picture"/>
            <a:graphic>
              <a:graphicData uri="http://schemas.openxmlformats.org/drawingml/2006/picture">
                <pic:pic>
                  <pic:nvPicPr>
                    <pic:cNvPr descr="results/figures/lisa_cluster_map.png" id="78" name="Picture"/>
                    <pic:cNvPicPr>
                      <a:picLocks noChangeArrowheads="1" noChangeAspect="1"/>
                    </pic:cNvPicPr>
                  </pic:nvPicPr>
                  <pic:blipFill>
                    <a:blip r:embed="rId76"/>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t xml:space="preserve">Figure A5: LISA cluster map of regional mean inflation (Queen contiguity, p &lt; 0.05).</w:t>
      </w:r>
    </w:p>
    <w:p>
      <w:pPr>
        <w:pStyle w:val="BodyText"/>
      </w:pPr>
      <w:r>
        <w:t xml:space="preserve">At the 5% significance level, 2 of the 13 regions form a</w:t>
      </w:r>
      <w:r>
        <w:t xml:space="preserve"> </w:t>
      </w:r>
      <w:r>
        <w:t xml:space="preserve">statistically significant local cluster or spatial outlier; the remainder do</w:t>
      </w:r>
      <w:r>
        <w:t xml:space="preserve"> </w:t>
      </w:r>
      <w:r>
        <w:t xml:space="preserve">not show a significant local pattern once tested individually. Given that</w:t>
      </w:r>
      <w:r>
        <w:t xml:space="preserve"> </w:t>
      </w:r>
      <w:r>
        <w:t xml:space="preserve">each local test is based on a single neighbourhood within a 13-region map,</w:t>
      </w:r>
      <w:r>
        <w:t xml:space="preserve"> </w:t>
      </w:r>
      <w:r>
        <w:t xml:space="preserve">these results should be read as exploratory/descriptive rather than</w:t>
      </w:r>
      <w:r>
        <w:t xml:space="preserve"> </w:t>
      </w:r>
      <w:r>
        <w:t xml:space="preserve">confirmatory, and are reported without multiple-testing correction.</w:t>
      </w:r>
    </w:p>
    <w:p>
      <w:pPr>
        <w:pStyle w:val="BodyText"/>
      </w:pPr>
      <w:r>
        <w:t xml:space="preserve">Economically, these two clusters have plausible (though untested) regional</w:t>
      </w:r>
      <w:r>
        <w:t xml:space="preserve"> </w:t>
      </w:r>
      <w:r>
        <w:t xml:space="preserve">interpretations, offered here as they were in the original exploratory</w:t>
      </w:r>
      <w:r>
        <w:t xml:space="preserve"> </w:t>
      </w:r>
      <w:r>
        <w:t xml:space="preserve">phase. The High-High cluster centred on Makkah</w:t>
      </w:r>
      <w:r>
        <w:t xml:space="preserve"> </w:t>
      </w:r>
      <w:r>
        <w:rPr>
          <w:b/>
          <w:bCs/>
        </w:rPr>
        <w:t xml:space="preserve">may reflect</w:t>
      </w:r>
      <w:r>
        <w:t xml:space="preserve"> </w:t>
      </w:r>
      <w:r>
        <w:t xml:space="preserve">the region’s distinctive demand structure tied to religious tourism</w:t>
      </w:r>
      <w:r>
        <w:t xml:space="preserve"> </w:t>
      </w:r>
      <w:r>
        <w:t xml:space="preserve">(Hajj and Umrah), which generates strong, correlated price pressure in</w:t>
      </w:r>
      <w:r>
        <w:t xml:space="preserve"> </w:t>
      </w:r>
      <w:r>
        <w:t xml:space="preserve">hospitality, transport, and retail sectors shared with neighbouring</w:t>
      </w:r>
      <w:r>
        <w:t xml:space="preserve"> </w:t>
      </w:r>
      <w:r>
        <w:t xml:space="preserve">regions. The Low-Low cluster centred on Al Jawf</w:t>
      </w:r>
      <w:r>
        <w:t xml:space="preserve"> </w:t>
      </w:r>
      <w:r>
        <w:rPr>
          <w:b/>
          <w:bCs/>
        </w:rPr>
        <w:t xml:space="preserve">may reflect</w:t>
      </w:r>
      <w:r>
        <w:t xml:space="preserve"> </w:t>
      </w:r>
      <w:r>
        <w:t xml:space="preserve">the</w:t>
      </w:r>
      <w:r>
        <w:t xml:space="preserve"> </w:t>
      </w:r>
      <w:r>
        <w:t xml:space="preserve">comparatively smaller, less commercially dense regional economies of</w:t>
      </w:r>
      <w:r>
        <w:t xml:space="preserve"> </w:t>
      </w:r>
      <w:r>
        <w:t xml:space="preserve">Saudi Arabia’s northern periphery, which would be expected to see more</w:t>
      </w:r>
      <w:r>
        <w:t xml:space="preserve"> </w:t>
      </w:r>
      <w:r>
        <w:t xml:space="preserve">muted and more similar price pressure than the country’s larger commercial</w:t>
      </w:r>
      <w:r>
        <w:t xml:space="preserve"> </w:t>
      </w:r>
      <w:r>
        <w:t xml:space="preserve">and religious-tourism hubs. These interpretations are offered as plausible</w:t>
      </w:r>
      <w:r>
        <w:t xml:space="preserve"> </w:t>
      </w:r>
      <w:r>
        <w:t xml:space="preserve">readings consistent with known regional economic structure, not as</w:t>
      </w:r>
      <w:r>
        <w:t xml:space="preserve"> </w:t>
      </w:r>
      <w:r>
        <w:t xml:space="preserve">causal claims established by this analysis – and, per the main text, the</w:t>
      </w:r>
      <w:r>
        <w:t xml:space="preserve"> </w:t>
      </w:r>
      <w:r>
        <w:t xml:space="preserve">confirmatory dynamic-panel analysis does not find evidence that either</w:t>
      </w:r>
      <w:r>
        <w:t xml:space="preserve"> </w:t>
      </w:r>
      <w:r>
        <w:t xml:space="preserve">cluster reflects ongoing spatial</w:t>
      </w:r>
      <w:r>
        <w:t xml:space="preserve"> </w:t>
      </w:r>
      <w:r>
        <w:rPr>
          <w:i/>
          <w:iCs/>
        </w:rPr>
        <w:t xml:space="preserve">transmission</w:t>
      </w:r>
      <w:r>
        <w:t xml:space="preserve"> </w:t>
      </w:r>
      <w:r>
        <w:t xml:space="preserve">rather than shared exposure</w:t>
      </w:r>
      <w:r>
        <w:t xml:space="preserve"> </w:t>
      </w:r>
      <w:r>
        <w:t xml:space="preserve">to common shocks.</w:t>
      </w:r>
    </w:p>
    <w:p>
      <w:r>
        <w:pict>
          <v:rect style="width:0;height:1.5pt" o:hralign="center" o:hrstd="t" o:hr="t"/>
        </w:pict>
      </w:r>
    </w:p>
    <w:bookmarkEnd w:id="79"/>
    <w:bookmarkStart w:id="80" w:name="sensitivity-analysis-v1"/>
    <w:p>
      <w:pPr>
        <w:pStyle w:val="Heading4"/>
      </w:pPr>
      <w:r>
        <w:t xml:space="preserve">Sensitivity Analysis (v1)</w:t>
      </w:r>
    </w:p>
    <w:p>
      <w:pPr>
        <w:pStyle w:val="FirstParagraph"/>
      </w:pPr>
      <w:r>
        <w:t xml:space="preserve">Three robustness questions are addressed here: (1) how much of the</w:t>
      </w:r>
      <w:r>
        <w:t xml:space="preserve"> </w:t>
      </w:r>
      <w:r>
        <w:t xml:space="preserve">correlation and Moran’s I results are attributable to the two national VAT</w:t>
      </w:r>
      <w:r>
        <w:t xml:space="preserve"> </w:t>
      </w:r>
      <w:r>
        <w:t xml:space="preserve">policy shock months rather than ongoing regional co-movement, (2) whether a</w:t>
      </w:r>
      <w:r>
        <w:t xml:space="preserve"> </w:t>
      </w:r>
      <w:r>
        <w:t xml:space="preserve">single excluded month is wide enough given that VAT effects can plausibly</w:t>
      </w:r>
      <w:r>
        <w:t xml:space="preserve"> </w:t>
      </w:r>
      <w:r>
        <w:t xml:space="preserve">persist for longer than one month, and (3) how sensitive is the Moran’s I</w:t>
      </w:r>
      <w:r>
        <w:t xml:space="preserve"> </w:t>
      </w:r>
      <w:r>
        <w:t xml:space="preserve">result to the choice of spatial weights matrix (Queen contiguity was used</w:t>
      </w:r>
      <w:r>
        <w:t xml:space="preserve"> </w:t>
      </w:r>
      <w:r>
        <w:t xml:space="preserve">throughout the analysis above). On point (2), the table below tests not</w:t>
      </w:r>
      <w:r>
        <w:t xml:space="preserve"> </w:t>
      </w:r>
      <w:r>
        <w:t xml:space="preserve">just the single shock month but also a +/-1 month window, the calendar</w:t>
      </w:r>
      <w:r>
        <w:t xml:space="preserve"> </w:t>
      </w:r>
      <w:r>
        <w:t xml:space="preserve">quarter starting at the shock, and a six-month window starting at the</w:t>
      </w:r>
      <w:r>
        <w:t xml:space="preserve"> </w:t>
      </w:r>
      <w:r>
        <w:t xml:space="preserve">shock, for each VAT event individually and combined.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19"/>
        <w:gridCol w:w="2562"/>
        <w:gridCol w:w="2575"/>
        <w:gridCol w:w="2721"/>
        <w:gridCol w:w="1254"/>
        <w:gridCol w:w="2012"/>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6"/>
                <w:szCs w:val="16"/>
                <w:color w:val="000000"/>
              </w:rPr>
              <w:t xml:space="preserve">Scenario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6"/>
                <w:szCs w:val="16"/>
                <w:color w:val="000000"/>
              </w:rPr>
              <w:t xml:space="preserve">N_months_excluded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6"/>
                <w:szCs w:val="16"/>
                <w:color w:val="000000"/>
              </w:rPr>
              <w:t xml:space="preserve">Average_Correlation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6"/>
                <w:szCs w:val="16"/>
                <w:color w:val="000000"/>
              </w:rPr>
              <w:t xml:space="preserve">Maximum_Correlation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6"/>
                <w:szCs w:val="16"/>
                <w:color w:val="000000"/>
              </w:rPr>
              <w:t xml:space="preserve">Moran_I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6"/>
                <w:szCs w:val="16"/>
                <w:color w:val="000000"/>
              </w:rPr>
              <w:t xml:space="preserve">Moran_p_value</w:t>
            </w:r>
          </w:p>
        </w:tc>
      </w:tr>
      <w:tr>
        <w:trPr>
          <w:trHeight w:val="616"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Full Sample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0.486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0.828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0.204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0.0460</w:t>
            </w:r>
          </w:p>
        </w:tc>
      </w:tr>
      <w:tr>
        <w:trPr>
          <w:trHeight w:val="61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Excl. Jan 2018 (month)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0.535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0.822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0.119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0.1060</w:t>
            </w:r>
          </w:p>
        </w:tc>
      </w:tr>
      <w:tr>
        <w:trPr>
          <w:trHeight w:val="61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Excl. Jul 2020 (month)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0.299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0.854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0.195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0.0526</w:t>
            </w:r>
          </w:p>
        </w:tc>
      </w:tr>
      <w:tr>
        <w:trPr>
          <w:trHeight w:val="61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Excl. Both (month)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0.298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0.693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0.092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0.1440</w:t>
            </w:r>
          </w:p>
        </w:tc>
      </w:tr>
      <w:tr>
        <w:trPr>
          <w:trHeight w:val="61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Excl. Jan 2018 (+/-1 month)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0.537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0.833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0.127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0.0931</w:t>
            </w:r>
          </w:p>
        </w:tc>
      </w:tr>
      <w:tr>
        <w:trPr>
          <w:trHeight w:val="61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Excl. Jul 2020 (+/-1 month)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0.298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0.854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0.225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0.0359</w:t>
            </w:r>
          </w:p>
        </w:tc>
      </w:tr>
      <w:tr>
        <w:trPr>
          <w:trHeight w:val="61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Excl. Both (+/-1 month)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0.298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0.692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0.153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0.0706</w:t>
            </w:r>
          </w:p>
        </w:tc>
      </w:tr>
      <w:tr>
        <w:trPr>
          <w:trHeight w:val="61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Excl. Jan 2018 (quarter)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0.536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0.828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0.110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0.1140</w:t>
            </w:r>
          </w:p>
        </w:tc>
      </w:tr>
      <w:tr>
        <w:trPr>
          <w:trHeight w:val="61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Excl. Jul 2020 (quarter)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0.300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0.857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0.211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0.0427</w:t>
            </w:r>
          </w:p>
        </w:tc>
      </w:tr>
      <w:tr>
        <w:trPr>
          <w:trHeight w:val="61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Excl. Both (quarter)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0.301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0.686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0.108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0.1210</w:t>
            </w:r>
          </w:p>
        </w:tc>
      </w:tr>
      <w:tr>
        <w:trPr>
          <w:trHeight w:val="61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Excl. Jan 2018 (6 months)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0.538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0.826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0.088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0.1420</w:t>
            </w:r>
          </w:p>
        </w:tc>
      </w:tr>
      <w:tr>
        <w:trPr>
          <w:trHeight w:val="61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Excl. Jul 2020 (6 months)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0.304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0.856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0.218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0.0389</w:t>
            </w:r>
          </w:p>
        </w:tc>
      </w:tr>
      <w:tr>
        <w:trPr>
          <w:trHeight w:val="616"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Excl. Both (6 months)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12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0.302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0.680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0.124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0.1010</w:t>
            </w:r>
          </w:p>
        </w:tc>
      </w:tr>
    </w:tbl>
    <w:p>
      <w:pPr>
        <w:pStyle w:val="BodyText"/>
      </w:pPr>
      <w:r>
        <w:rPr>
          <w:i/>
          <w:iCs/>
        </w:rPr>
        <w:t xml:space="preserve">Table A3. Sensitivity of correlation and Moran’s I to the width of the excluded window around each VAT policy shock.</w:t>
      </w:r>
    </w:p>
    <w:p>
      <w:pPr>
        <w:pStyle w:val="BodyText"/>
      </w:pPr>
      <w:r>
        <w:t xml:space="preserve">Excluding both shock months (January 2018 and July 2020 only) reduces the</w:t>
      </w:r>
      <w:r>
        <w:t xml:space="preserve"> </w:t>
      </w:r>
      <w:r>
        <w:t xml:space="preserve">average pairwise regional correlation from 0.486 to</w:t>
      </w:r>
      <w:r>
        <w:t xml:space="preserve"> </w:t>
      </w:r>
      <w:r>
        <w:t xml:space="preserve">0.298 (a 38.7% reduction); widening the excluded window</w:t>
      </w:r>
      <w:r>
        <w:t xml:space="preserve"> </w:t>
      </w:r>
      <w:r>
        <w:t xml:space="preserve">to six months gives a similar result (0.302), so this is not an</w:t>
      </w:r>
      <w:r>
        <w:t xml:space="preserve"> </w:t>
      </w:r>
      <w:r>
        <w:t xml:space="preserve">artefact of the exact one-month cutoff. Across all 13</w:t>
      </w:r>
      <w:r>
        <w:t xml:space="preserve"> </w:t>
      </w:r>
      <w:r>
        <w:t xml:space="preserve">window specifications, Moran’s I clears the 5% threshold in</w:t>
      </w:r>
      <w:r>
        <w:t xml:space="preserve"> </w:t>
      </w:r>
      <w:r>
        <w:t xml:space="preserve">4 of them. Part of the correlation documented earlier</w:t>
      </w:r>
      <w:r>
        <w:t xml:space="preserve"> </w:t>
      </w:r>
      <w:r>
        <w:t xml:space="preserve">is therefore attributable to the two shared VAT shocks rather than ongoing</w:t>
      </w:r>
      <w:r>
        <w:t xml:space="preserve"> </w:t>
      </w:r>
      <w:r>
        <w:t xml:space="preserve">regional co-movement alone — though a meaningful common structure remains</w:t>
      </w:r>
      <w:r>
        <w:t xml:space="preserve"> </w:t>
      </w:r>
      <w:r>
        <w:t xml:space="preserve">even after excluding them. (The main text’s Stage-16 confirmatory analysis</w:t>
      </w:r>
      <w:r>
        <w:t xml:space="preserve"> </w:t>
      </w:r>
      <w:r>
        <w:t xml:space="preserve">formally tests these same two episodes, plus the 2015 energy-price reform,</w:t>
      </w:r>
      <w:r>
        <w:t xml:space="preserve"> </w:t>
      </w:r>
      <w:r>
        <w:t xml:space="preserve">for associated parameter</w:t>
      </w:r>
      <w:r>
        <w:t xml:space="preserve"> </w:t>
      </w:r>
      <w:r>
        <w:rPr>
          <w:i/>
          <w:iCs/>
        </w:rPr>
        <w:t xml:space="preserve">instability</w:t>
      </w:r>
      <w:r>
        <w:t xml:space="preserve"> </w:t>
      </w:r>
      <w:r>
        <w:t xml:space="preserve">rather than correlation, and finds</w:t>
      </w:r>
      <w:r>
        <w:t xml:space="preserve"> </w:t>
      </w:r>
      <w:r>
        <w:t xml:space="preserve">no robust evidence of either.)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83"/>
        <w:gridCol w:w="2036"/>
        <w:gridCol w:w="1254"/>
        <w:gridCol w:w="1230"/>
        <w:gridCol w:w="1242"/>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22"/>
                <w:szCs w:val="22"/>
                <w:color w:val="000000"/>
              </w:rPr>
              <w:t xml:space="preserve">Weight_Matrix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22"/>
                <w:szCs w:val="22"/>
                <w:color w:val="000000"/>
              </w:rPr>
              <w:t xml:space="preserve">Avg_Neighbors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22"/>
                <w:szCs w:val="22"/>
                <w:color w:val="000000"/>
              </w:rPr>
              <w:t xml:space="preserve">Moran_I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22"/>
                <w:szCs w:val="22"/>
                <w:color w:val="000000"/>
              </w:rPr>
              <w:t xml:space="preserve">Z_value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22"/>
                <w:szCs w:val="22"/>
                <w:color w:val="000000"/>
              </w:rPr>
              <w:t xml:space="preserve">P_value</w:t>
            </w:r>
          </w:p>
        </w:tc>
      </w:tr>
      <w:tr>
        <w:trPr>
          <w:trHeight w:val="616"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Queen contiguity</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4.00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0.204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1.68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0.046</w:t>
            </w:r>
          </w:p>
        </w:tc>
      </w:tr>
      <w:tr>
        <w:trPr>
          <w:trHeight w:val="61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Rook contiguity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4.00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0.204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1.68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0.046</w:t>
            </w:r>
          </w:p>
        </w:tc>
      </w:tr>
      <w:tr>
        <w:trPr>
          <w:trHeight w:val="616"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K-nearest neighbours (k=4)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4.00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0.161</w:t>
            </w:r>
          </w:p>
        </w:tc>
      </w:tr>
      <w:tr>
        <w:trPr>
          <w:trHeight w:val="572"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Distance band</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4.15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0.014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0.56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22"/>
                <w:szCs w:val="22"/>
                <w:color w:val="000000"/>
              </w:rPr>
              <w:t xml:space="preserve">0.287</w:t>
            </w:r>
          </w:p>
        </w:tc>
      </w:tr>
    </w:tbl>
    <w:p>
      <w:pPr>
        <w:pStyle w:val="BodyText"/>
      </w:pPr>
      <w:r>
        <w:rPr>
          <w:i/>
          <w:iCs/>
        </w:rPr>
        <w:t xml:space="preserve">Table A4. Global Moran’s I under alternative spatial weights matrices.</w:t>
      </w:r>
    </w:p>
    <w:p>
      <w:pPr>
        <w:pStyle w:val="BodyText"/>
      </w:pPr>
      <w:r>
        <w:t xml:space="preserve">The Moran’s I statistic clears the 5% threshold under 2 of</w:t>
      </w:r>
      <w:r>
        <w:t xml:space="preserve"> </w:t>
      </w:r>
      <w:r>
        <w:t xml:space="preserve">the 4 weight matrix specifications tested (Queen and Rook</w:t>
      </w:r>
      <w:r>
        <w:t xml:space="preserve"> </w:t>
      </w:r>
      <w:r>
        <w:t xml:space="preserve">contiguity; not KNN or distance band). Table A4 is part of the frozen v1.0</w:t>
      </w:r>
      <w:r>
        <w:t xml:space="preserve"> </w:t>
      </w:r>
      <w:r>
        <w:t xml:space="preserve">exploratory baseline: its KNN and distance-band matrices use Euclidean</w:t>
      </w:r>
      <w:r>
        <w:t xml:space="preserve"> </w:t>
      </w:r>
      <w:r>
        <w:t xml:space="preserve">distance on longitude/latitude degrees and are kept unchanged as a</w:t>
      </w:r>
      <w:r>
        <w:t xml:space="preserve"> </w:t>
      </w:r>
      <w:r>
        <w:t xml:space="preserve">historical record (see</w:t>
      </w:r>
      <w:r>
        <w:t xml:space="preserve"> </w:t>
      </w:r>
      <w:r>
        <w:rPr>
          <w:rStyle w:val="VerbatimChar"/>
        </w:rPr>
        <w:t xml:space="preserve">baseline/v1.0/METHODOLOGY_NOTE.md</w:t>
      </w:r>
      <w:r>
        <w:t xml:space="preserve">, section 5).</w:t>
      </w:r>
    </w:p>
    <w:p>
      <w:pPr>
        <w:pStyle w:val="BodyText"/>
      </w:pPr>
      <w:r>
        <w:rPr>
          <w:i/>
          <w:iCs/>
        </w:rPr>
        <w:t xml:space="preserve">A note on spatial regression (SAR/SEM):</w:t>
      </w:r>
      <w:r>
        <w:t xml:space="preserve"> </w:t>
      </w:r>
      <w:r>
        <w:t xml:space="preserve">we also fitted intercept-only</w:t>
      </w:r>
      <w:r>
        <w:t xml:space="preserve"> </w:t>
      </w:r>
      <w:r>
        <w:t xml:space="preserve">Spatial Lag and Spatial Error models as a further check. With no regional</w:t>
      </w:r>
      <w:r>
        <w:t xml:space="preserve"> </w:t>
      </w:r>
      <w:r>
        <w:t xml:space="preserve">covariates in this dataset (no population, trade, or sectoral data)</w:t>
      </w:r>
      <w:r>
        <w:t xml:space="preserve"> </w:t>
      </w:r>
      <w:r>
        <w:t xml:space="preserve">beyond CPI itself, these reduce to a statistical exercise rather than an</w:t>
      </w:r>
      <w:r>
        <w:t xml:space="preserve"> </w:t>
      </w:r>
      <w:r>
        <w:t xml:space="preserve">explanatory economic model, and their likelihood-ratio test against OLS</w:t>
      </w:r>
      <w:r>
        <w:t xml:space="preserve"> </w:t>
      </w:r>
      <w:r>
        <w:t xml:space="preserve">was not significant here. We therefore do not report them as a full</w:t>
      </w:r>
      <w:r>
        <w:t xml:space="preserve"> </w:t>
      </w:r>
      <w:r>
        <w:t xml:space="preserve">result — a proper SAR/SEM belongs in future work once regional covariates</w:t>
      </w:r>
      <w:r>
        <w:t xml:space="preserve"> </w:t>
      </w:r>
      <w:r>
        <w:t xml:space="preserve">are available to distinguish what the spatial dependence actually reflects.</w:t>
      </w:r>
    </w:p>
    <w:p>
      <w:r>
        <w:pict>
          <v:rect style="width:0;height:1.5pt" o:hralign="center" o:hrstd="t" o:hr="t"/>
        </w:pict>
      </w:r>
    </w:p>
    <w:bookmarkEnd w:id="80"/>
    <w:bookmarkStart w:id="84" w:name="morans-i-over-time-exploratory"/>
    <w:p>
      <w:pPr>
        <w:pStyle w:val="Heading4"/>
      </w:pPr>
      <w:r>
        <w:t xml:space="preserve">Moran’s I Over Time (Exploratory)</w:t>
      </w:r>
    </w:p>
    <w:p>
      <w:pPr>
        <w:pStyle w:val="FirstParagraph"/>
      </w:pPr>
      <w:r>
        <w:t xml:space="preserve">The Global and Local Moran’s I results above are computed on each region’s</w:t>
      </w:r>
      <w:r>
        <w:t xml:space="preserve"> </w:t>
      </w:r>
      <w:r>
        <w:t xml:space="preserve">mean inflation across the entire 2013-2026 sample, which collapses the time</w:t>
      </w:r>
      <w:r>
        <w:t xml:space="preserve"> </w:t>
      </w:r>
      <w:r>
        <w:t xml:space="preserve">dimension into a single number per region. As an exploratory check (not a</w:t>
      </w:r>
      <w:r>
        <w:t xml:space="preserve"> </w:t>
      </w:r>
      <w:r>
        <w:t xml:space="preserve">formal time-varying spatial model), we recompute Global Moran’s I</w:t>
      </w:r>
      <w:r>
        <w:t xml:space="preserve"> </w:t>
      </w:r>
      <w:r>
        <w:t xml:space="preserve">separately using each calendar year’s regional mean inflation.</w:t>
      </w:r>
    </w:p>
    <w:p>
      <w:pPr>
        <w:pStyle w:val="BodyText"/>
      </w:pPr>
      <w:r>
        <w:drawing>
          <wp:inline>
            <wp:extent cx="5334000" cy="3333749"/>
            <wp:effectExtent b="0" l="0" r="0" t="0"/>
            <wp:docPr descr="" title="" id="82" name="Picture"/>
            <a:graphic>
              <a:graphicData uri="http://schemas.openxmlformats.org/drawingml/2006/picture">
                <pic:pic>
                  <pic:nvPicPr>
                    <pic:cNvPr descr="results/figures/moran_over_time.png" id="83" name="Picture"/>
                    <pic:cNvPicPr>
                      <a:picLocks noChangeArrowheads="1" noChangeAspect="1"/>
                    </pic:cNvPicPr>
                  </pic:nvPicPr>
                  <pic:blipFill>
                    <a:blip r:embed="rId81"/>
                    <a:stretch>
                      <a:fillRect/>
                    </a:stretch>
                  </pic:blipFill>
                  <pic:spPr bwMode="auto">
                    <a:xfrm>
                      <a:off x="0" y="0"/>
                      <a:ext cx="5334000" cy="3333749"/>
                    </a:xfrm>
                    <a:prstGeom prst="rect">
                      <a:avLst/>
                    </a:prstGeom>
                    <a:noFill/>
                    <a:ln w="9525">
                      <a:noFill/>
                      <a:headEnd/>
                      <a:tailEnd/>
                    </a:ln>
                  </pic:spPr>
                </pic:pic>
              </a:graphicData>
            </a:graphic>
          </wp:inline>
        </w:drawing>
      </w:r>
    </w:p>
    <w:p>
      <w:pPr>
        <w:pStyle w:val="BodyText"/>
      </w:pPr>
      <w:r>
        <w:t xml:space="preserve">Figure A6: Global Moran’s I computed separately for each calendar year’s</w:t>
      </w:r>
      <w:r>
        <w:t xml:space="preserve"> </w:t>
      </w:r>
      <w:r>
        <w:t xml:space="preserve">regional mean inflation (exploratory). Red points indicate p &lt; 0.05 for</w:t>
      </w:r>
      <w:r>
        <w:t xml:space="preserve"> </w:t>
      </w:r>
      <w:r>
        <w:t xml:space="preserve">that year.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61"/>
        <w:gridCol w:w="1486"/>
        <w:gridCol w:w="1254"/>
        <w:gridCol w:w="1242"/>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6"/>
                <w:szCs w:val="16"/>
                <w:color w:val="000000"/>
              </w:rPr>
              <w:t xml:space="preserve">N_regions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6"/>
                <w:szCs w:val="16"/>
                <w:color w:val="000000"/>
              </w:rPr>
              <w:t xml:space="preserve">Moran_I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6"/>
                <w:szCs w:val="16"/>
                <w:color w:val="000000"/>
              </w:rPr>
              <w:t xml:space="preserve">P_value</w:t>
            </w:r>
          </w:p>
        </w:tc>
      </w:tr>
      <w:tr>
        <w:trPr>
          <w:trHeight w:val="592"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2,013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13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0.030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0.0603</w:t>
            </w:r>
          </w:p>
        </w:tc>
      </w:tr>
      <w:tr>
        <w:trPr>
          <w:trHeight w:val="59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2,014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-0.140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0.6330</w:t>
            </w:r>
          </w:p>
        </w:tc>
      </w:tr>
      <w:tr>
        <w:trPr>
          <w:trHeight w:val="59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2,015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0.052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0.1200</w:t>
            </w:r>
          </w:p>
        </w:tc>
      </w:tr>
      <w:tr>
        <w:trPr>
          <w:trHeight w:val="59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2,016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-0.180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0.7240</w:t>
            </w:r>
          </w:p>
        </w:tc>
      </w:tr>
      <w:tr>
        <w:trPr>
          <w:trHeight w:val="59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2,017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-0.139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0.6740</w:t>
            </w:r>
          </w:p>
        </w:tc>
      </w:tr>
      <w:tr>
        <w:trPr>
          <w:trHeight w:val="59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2,018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0.061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0.1950</w:t>
            </w:r>
          </w:p>
        </w:tc>
      </w:tr>
      <w:tr>
        <w:trPr>
          <w:trHeight w:val="59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2,019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-0.080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0.4930</w:t>
            </w:r>
          </w:p>
        </w:tc>
      </w:tr>
      <w:tr>
        <w:trPr>
          <w:trHeight w:val="59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2,020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-0.198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0.7550</w:t>
            </w:r>
          </w:p>
        </w:tc>
      </w:tr>
      <w:tr>
        <w:trPr>
          <w:trHeight w:val="59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2,021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0.063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0.1690</w:t>
            </w:r>
          </w:p>
        </w:tc>
      </w:tr>
      <w:tr>
        <w:trPr>
          <w:trHeight w:val="59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2,022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0.144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0.0829</w:t>
            </w:r>
          </w:p>
        </w:tc>
      </w:tr>
      <w:tr>
        <w:trPr>
          <w:trHeight w:val="59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2,023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0.099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0.0527</w:t>
            </w:r>
          </w:p>
        </w:tc>
      </w:tr>
      <w:tr>
        <w:trPr>
          <w:trHeight w:val="59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2,024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0.074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0.1660</w:t>
            </w:r>
          </w:p>
        </w:tc>
      </w:tr>
      <w:tr>
        <w:trPr>
          <w:trHeight w:val="592"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2,025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-0.107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0.5580</w:t>
            </w:r>
          </w:p>
        </w:tc>
      </w:tr>
      <w:tr>
        <w:trPr>
          <w:trHeight w:val="592"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2,026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13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0.087</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6"/>
                <w:szCs w:val="16"/>
                <w:color w:val="000000"/>
              </w:rPr>
              <w:t xml:space="preserve">0.1450</w:t>
            </w:r>
          </w:p>
        </w:tc>
      </w:tr>
    </w:tbl>
    <w:p>
      <w:pPr>
        <w:pStyle w:val="BodyText"/>
      </w:pPr>
      <w:r>
        <w:rPr>
          <w:i/>
          <w:iCs/>
        </w:rPr>
        <w:t xml:space="preserve">Table A5. Global Moran’s I by calendar year (exploratory).</w:t>
      </w:r>
    </w:p>
    <w:p>
      <w:pPr>
        <w:pStyle w:val="BodyText"/>
      </w:pPr>
      <w:r>
        <w:t xml:space="preserve">Moran’s I fluctuates in sign and magnitude across years, reaching</w:t>
      </w:r>
      <w:r>
        <w:t xml:space="preserve"> </w:t>
      </w:r>
      <w:r>
        <w:t xml:space="preserve">conventional significance (p &lt; 0.05) in 0 of 14</w:t>
      </w:r>
      <w:r>
        <w:t xml:space="preserve"> </w:t>
      </w:r>
      <w:r>
        <w:t xml:space="preserve">individual years. This should be read with one important caveat: each</w:t>
      </w:r>
      <w:r>
        <w:t xml:space="preserve"> </w:t>
      </w:r>
      <w:r>
        <w:t xml:space="preserve">year’s test uses only 13 regional observations, so its statistical power</w:t>
      </w:r>
      <w:r>
        <w:t xml:space="preserve"> </w:t>
      </w:r>
      <w:r>
        <w:t xml:space="preserve">to detect a true spatial pattern is low. The absence of a significant</w:t>
      </w:r>
      <w:r>
        <w:t xml:space="preserve"> </w:t>
      </w:r>
      <w:r>
        <w:t xml:space="preserve">result in a given year is therefore not evidence that no spatial pattern</w:t>
      </w:r>
      <w:r>
        <w:t xml:space="preserve"> </w:t>
      </w:r>
      <w:r>
        <w:t xml:space="preserve">existed that year — only that a 13-region test could not reliably detect</w:t>
      </w:r>
      <w:r>
        <w:t xml:space="preserve"> </w:t>
      </w:r>
      <w:r>
        <w:t xml:space="preserve">one at that scale. The main text’s monthly-resolution, multiply-corrected</w:t>
      </w:r>
      <w:r>
        <w:t xml:space="preserve"> </w:t>
      </w:r>
      <w:r>
        <w:t xml:space="preserve">Stage-12 test (157 months, pooling far more information than a year-by-year</w:t>
      </w:r>
      <w:r>
        <w:t xml:space="preserve"> </w:t>
      </w:r>
      <w:r>
        <w:t xml:space="preserve">split) supersedes this exploratory check.</w:t>
      </w:r>
    </w:p>
    <w:p>
      <w:pPr>
        <w:pStyle w:val="BodyText"/>
      </w:pPr>
      <w:r>
        <w:rPr>
          <w:b/>
          <w:bCs/>
        </w:rPr>
        <w:t xml:space="preserve">Taken together</w:t>
      </w:r>
      <w:r>
        <w:t xml:space="preserve">, the checks in this appendix (Monte Carlo, alternative</w:t>
      </w:r>
      <w:r>
        <w:t xml:space="preserve"> </w:t>
      </w:r>
      <w:r>
        <w:t xml:space="preserve">weights, wider VAT-exclusion windows, and the year-by-year breakdown) were,</w:t>
      </w:r>
      <w:r>
        <w:t xml:space="preserve"> </w:t>
      </w:r>
      <w:r>
        <w:t xml:space="preserve">at the time of the original exploratory analysis, read as pointing toward a</w:t>
      </w:r>
      <w:r>
        <w:t xml:space="preserve"> </w:t>
      </w:r>
      <w:r>
        <w:t xml:space="preserve">real but modest full-sample spatial pattern. The main text’s confirmatory</w:t>
      </w:r>
      <w:r>
        <w:t xml:space="preserve"> </w:t>
      </w:r>
      <w:r>
        <w:t xml:space="preserve">dynamic-panel sequence (Stages 9-18) tested this far more rigorously –</w:t>
      </w:r>
      <w:r>
        <w:t xml:space="preserve"> </w:t>
      </w:r>
      <w:r>
        <w:t xml:space="preserve">month by month, at multiple lag horizons, with multiple-testing correction,</w:t>
      </w:r>
      <w:r>
        <w:t xml:space="preserve"> </w:t>
      </w:r>
      <w:r>
        <w:t xml:space="preserve">and with a full robustness battery – and found that this pattern does not</w:t>
      </w:r>
      <w:r>
        <w:t xml:space="preserve"> </w:t>
      </w:r>
      <w:r>
        <w:t xml:space="preserve">constitute robust spatial</w:t>
      </w:r>
      <w:r>
        <w:t xml:space="preserve"> </w:t>
      </w:r>
      <w:r>
        <w:rPr>
          <w:i/>
          <w:iCs/>
        </w:rPr>
        <w:t xml:space="preserve">predictive</w:t>
      </w:r>
      <w:r>
        <w:t xml:space="preserve"> </w:t>
      </w:r>
      <w:r>
        <w:t xml:space="preserve">dependence. The correlation and LISA</w:t>
      </w:r>
      <w:r>
        <w:t xml:space="preserve"> </w:t>
      </w:r>
      <w:r>
        <w:t xml:space="preserve">findings above remain valid descriptive facts about the data; their</w:t>
      </w:r>
      <w:r>
        <w:t xml:space="preserve"> </w:t>
      </w:r>
      <w:r>
        <w:t xml:space="preserve">interpretation as evidence of regional spatial interaction is superseded by</w:t>
      </w:r>
      <w:r>
        <w:t xml:space="preserve"> </w:t>
      </w:r>
      <w:r>
        <w:t xml:space="preserve">the main text.</w:t>
      </w:r>
    </w:p>
    <w:bookmarkEnd w:id="84"/>
    <w:bookmarkEnd w:id="85"/>
    <w:bookmarkStart w:id="86" w:name="X5584aba1a063b5d44b27d71555fcf8a3f53b9d9"/>
    <w:p>
      <w:pPr>
        <w:pStyle w:val="Heading3"/>
      </w:pPr>
      <w:r>
        <w:t xml:space="preserve">Economic Interpretation (v1, superseded — see main text</w:t>
      </w:r>
      <w:r>
        <w:t xml:space="preserve"> </w:t>
      </w:r>
      <w:hyperlink w:anchor="discussion">
        <w:r>
          <w:rPr>
            <w:rStyle w:val="Hyperlink"/>
          </w:rPr>
          <w:t xml:space="preserve">Discussion</w:t>
        </w:r>
      </w:hyperlink>
      <w:r>
        <w:t xml:space="preserve">)</w:t>
      </w:r>
    </w:p>
    <w:p>
      <w:pPr>
        <w:pStyle w:val="FirstParagraph"/>
      </w:pPr>
      <w:r>
        <w:rPr>
          <w:i/>
          <w:iCs/>
        </w:rPr>
        <w:t xml:space="preserve">The paragraphs below are the original v1 economic interpretation, retained</w:t>
      </w:r>
      <w:r>
        <w:t xml:space="preserve"> </w:t>
      </w:r>
      <w:r>
        <w:rPr>
          <w:i/>
          <w:iCs/>
        </w:rPr>
        <w:t xml:space="preserve">for transparency. The main text’s</w:t>
      </w:r>
      <w:r>
        <w:rPr>
          <w:i/>
          <w:iCs/>
        </w:rPr>
        <w:t xml:space="preserve"> </w:t>
      </w:r>
      <w:hyperlink w:anchor="discussion">
        <w:r>
          <w:rPr>
            <w:rStyle w:val="Hyperlink"/>
            <w:i/>
            <w:iCs/>
          </w:rPr>
          <w:t xml:space="preserve">Discussion</w:t>
        </w:r>
      </w:hyperlink>
      <w:r>
        <w:rPr>
          <w:i/>
          <w:iCs/>
        </w:rPr>
        <w:t xml:space="preserve"> </w:t>
      </w:r>
      <w:r>
        <w:rPr>
          <w:i/>
          <w:iCs/>
        </w:rPr>
        <w:t xml:space="preserve">section, informed by the</w:t>
      </w:r>
      <w:r>
        <w:t xml:space="preserve"> </w:t>
      </w:r>
      <w:r>
        <w:rPr>
          <w:i/>
          <w:iCs/>
        </w:rPr>
        <w:t xml:space="preserve">full confirmatory analysis, is the paper’s authoritative interpretation.</w:t>
      </w:r>
    </w:p>
    <w:p>
      <w:pPr>
        <w:pStyle w:val="BodyText"/>
      </w:pPr>
      <w:r>
        <w:t xml:space="preserve">The findings suggest that inflation dynamics in Saudi Arabia are shaped by both national and regional forces.</w:t>
      </w:r>
    </w:p>
    <w:p>
      <w:pPr>
        <w:pStyle w:val="BodyText"/>
      </w:pPr>
      <w:r>
        <w:t xml:space="preserve">The relatively high inter-regional correlations point to common macroeconomic drivers — oil price movements, monetary policy, and imported inflation — reinforced by shared national fiscal shocks such as the 2018 and 2020 VAT changes, which alone account for part of the correlation documented above. Superimposed on this national layer, the LISA results point to two more local, structural stories: Makkah’s High-High cluster is consistent with religious-tourism demand pressure spilling into neighbouring markets, while Al Jawf’s Low-Low cluster is consistent with the more muted demand conditions typical of the northern periphery. Together these suggest that regional inflation in Saudi Arabia is best understood as shared national shocks landing on a map of otherwise fairly heterogeneous local economies, rather than as regions actively transmitting inflation to one another — a reading fully consistent with, and now confirmed by, the main text’s dynamic-panel findings.</w:t>
      </w:r>
    </w:p>
    <w:p>
      <w:pPr>
        <w:pStyle w:val="BodyText"/>
      </w:pPr>
      <w:r>
        <w:t xml:space="preserve">This dual structure implies that while national policies are effective in maintaining overall price stability, regional disparities persist due to structural differences in local economies.</w:t>
      </w:r>
    </w:p>
    <w:bookmarkEnd w:id="86"/>
    <w:bookmarkEnd w:id="87"/>
    <w:bookmarkStart w:id="103" w:name="X9bc3889c9d05e4b45cc130ad4a7bb7551b20464"/>
    <w:p>
      <w:pPr>
        <w:pStyle w:val="Heading2"/>
      </w:pPr>
      <w:r>
        <w:t xml:space="preserve">Appendix B: Simulation-Based Power / Minimum-Detectable-Effect Analysis</w:t>
      </w:r>
    </w:p>
    <w:p>
      <w:pPr>
        <w:pStyle w:val="FirstParagraph"/>
      </w:pPr>
      <w:r>
        <w:rPr>
          <w:b/>
          <w:bCs/>
        </w:rPr>
        <w:t xml:space="preserve">This is a design-sensitivity analysis, not a new empirical finding.</w:t>
      </w:r>
      <w:r>
        <w:t xml:space="preserve"> </w:t>
      </w:r>
      <w:r>
        <w:t xml:space="preserve">It</w:t>
      </w:r>
      <w:r>
        <w:t xml:space="preserve"> </w:t>
      </w:r>
      <w:r>
        <w:t xml:space="preserve">does not re-estimate, reinterpret, or alter any Stage 14-18 result reported</w:t>
      </w:r>
      <w:r>
        <w:t xml:space="preserve"> </w:t>
      </w:r>
      <w:r>
        <w:t xml:space="preserve">in the main text; it answers a different question: given this study’s</w:t>
      </w:r>
      <w:r>
        <w:t xml:space="preserve"> </w:t>
      </w:r>
      <w:r>
        <w:t xml:space="preserve">sample (N=13, T=154), the observed Queen spatial-weight structure, the</w:t>
      </w:r>
      <w:r>
        <w:t xml:space="preserve"> </w:t>
      </w:r>
      <w:r>
        <w:t xml:space="preserve">locked Stage-14 K=3 specification, and the observed residual dependence,</w:t>
      </w:r>
      <w:r>
        <w:t xml:space="preserve"> </w:t>
      </w:r>
      <w:r>
        <w:t xml:space="preserve">what magnitude of cumulative three-month spatial predictive effect</w:t>
      </w:r>
      <w:r>
        <w:t xml:space="preserve"> </w:t>
      </w:r>
      <w:r>
        <w:t xml:space="preserve">(Theta_3 = theta_1+theta_2+theta_3) could this design plausibly have</w:t>
      </w:r>
      <w:r>
        <w:t xml:space="preserve"> </w:t>
      </w:r>
      <w:r>
        <w:t xml:space="preserve">detected? Full script:</w:t>
      </w:r>
      <w:r>
        <w:t xml:space="preserve"> </w:t>
      </w:r>
      <w:r>
        <w:rPr>
          <w:rStyle w:val="VerbatimChar"/>
        </w:rPr>
        <w:t xml:space="preserve">scripts/20_power_mde_presubmission.R</w:t>
      </w:r>
      <w:r>
        <w:t xml:space="preserve">. Full</w:t>
      </w:r>
      <w:r>
        <w:t xml:space="preserve"> </w:t>
      </w:r>
      <w:r>
        <w:t xml:space="preserve">narrative report:</w:t>
      </w:r>
      <w:r>
        <w:t xml:space="preserve"> </w:t>
      </w:r>
      <w:r>
        <w:rPr>
          <w:rStyle w:val="VerbatimChar"/>
        </w:rPr>
        <w:t xml:space="preserve">results_v2/presubmission_refinement/power_mde/POWER_MDE_REPORT.md</w:t>
      </w:r>
      <w:r>
        <w:t xml:space="preserve">.</w:t>
      </w:r>
    </w:p>
    <w:bookmarkStart w:id="88" w:name="design"/>
    <w:p>
      <w:pPr>
        <w:pStyle w:val="Heading3"/>
      </w:pPr>
      <w:r>
        <w:t xml:space="preserve">Design</w:t>
      </w:r>
    </w:p>
    <w:p>
      <w:pPr>
        <w:pStyle w:val="TableCaption"/>
      </w:pPr>
      <w:r>
        <w:t xml:space="preserve">Table B1. Simulation design (pre-specified before any replication was run).</w:t>
      </w:r>
    </w:p>
    <w:tbl>
      <w:tblPr>
        <w:tblStyle w:val="Table"/>
        <w:tblW w:type="pct" w:w="5000"/>
        <w:tblLayout w:type="fixed"/>
        <w:tblLook w:firstRow="1" w:lastRow="0" w:firstColumn="0" w:lastColumn="0" w:noHBand="0" w:noVBand="0" w:val="0020"/>
        <w:tblCaption w:val="Table B1. Simulation design (pre-specified before any replication was run)."/>
      </w:tblPr>
      <w:tblGrid>
        <w:gridCol w:w="1691"/>
        <w:gridCol w:w="6228"/>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Estimand</w:t>
            </w:r>
          </w:p>
        </w:tc>
        <w:tc>
          <w:tcPr/>
          <w:p>
            <w:pPr>
              <w:pStyle w:val="Compact"/>
              <w:jc w:val="left"/>
            </w:pPr>
            <w:r>
              <w:t xml:space="preserve">Theta_3 = theta_1+theta_2+theta_3 (cumulative 3-month spatial predictive effect)</w:t>
            </w:r>
          </w:p>
        </w:tc>
      </w:tr>
      <w:tr>
        <w:tc>
          <w:tcPr/>
          <w:p>
            <w:pPr>
              <w:pStyle w:val="Compact"/>
              <w:jc w:val="left"/>
            </w:pPr>
            <w:r>
              <w:t xml:space="preserve">Effect-size grid (pre-specified)</w:t>
            </w:r>
          </w:p>
        </w:tc>
        <w:tc>
          <w:tcPr/>
          <w:p>
            <w:pPr>
              <w:pStyle w:val="Compact"/>
              <w:jc w:val="left"/>
            </w:pPr>
            <w:r>
              <w:t xml:space="preserve">-0.2, -0.15, -0.1, -0.075, -0.05, -0.025, 0, 0.025, 0.05, 0.075, 0.1, 0.15, 0.2</w:t>
            </w:r>
          </w:p>
        </w:tc>
      </w:tr>
      <w:tr>
        <w:tc>
          <w:tcPr/>
          <w:p>
            <w:pPr>
              <w:pStyle w:val="Compact"/>
              <w:jc w:val="left"/>
            </w:pPr>
            <w:r>
              <w:t xml:space="preserve">Primary lag-shape</w:t>
            </w:r>
          </w:p>
        </w:tc>
        <w:tc>
          <w:tcPr/>
          <w:p>
            <w:pPr>
              <w:pStyle w:val="Compact"/>
              <w:jc w:val="left"/>
            </w:pPr>
            <w:r>
              <w:t xml:space="preserve">Equal: theta_k = Theta_3/3 for k=1,2,3</w:t>
            </w:r>
          </w:p>
        </w:tc>
      </w:tr>
      <w:tr>
        <w:tc>
          <w:tcPr/>
          <w:p>
            <w:pPr>
              <w:pStyle w:val="Compact"/>
              <w:jc w:val="left"/>
            </w:pPr>
            <w:r>
              <w:t xml:space="preserve">Secondary lag-shape</w:t>
            </w:r>
          </w:p>
        </w:tc>
        <w:tc>
          <w:tcPr/>
          <w:p>
            <w:pPr>
              <w:pStyle w:val="Compact"/>
              <w:jc w:val="left"/>
            </w:pPr>
            <w:r>
              <w:t xml:space="preserve">Front-loaded: theta = Theta_3 x (0.6, 0.3, 0.1)</w:t>
            </w:r>
          </w:p>
        </w:tc>
      </w:tr>
      <w:tr>
        <w:tc>
          <w:tcPr/>
          <w:p>
            <w:pPr>
              <w:pStyle w:val="Compact"/>
              <w:jc w:val="left"/>
            </w:pPr>
            <w:r>
              <w:t xml:space="preserve">DGP</w:t>
            </w:r>
          </w:p>
        </w:tc>
        <w:tc>
          <w:tcPr/>
          <w:p>
            <w:pPr>
              <w:pStyle w:val="Compact"/>
              <w:jc w:val="left"/>
            </w:pPr>
            <w:r>
              <w:t xml:space="preserve">Fixed-regressor (observed own/spatial lags, region/month FE); y* = fitted(restricted model) + true spatial effect + moving-block-bootstrapped residual</w:t>
            </w:r>
          </w:p>
        </w:tc>
      </w:tr>
      <w:tr>
        <w:tc>
          <w:tcPr/>
          <w:p>
            <w:pPr>
              <w:pStyle w:val="Compact"/>
              <w:jc w:val="left"/>
            </w:pPr>
            <w:r>
              <w:t xml:space="preserve">Primary block length</w:t>
            </w:r>
          </w:p>
        </w:tc>
        <w:tc>
          <w:tcPr/>
          <w:p>
            <w:pPr>
              <w:pStyle w:val="Compact"/>
              <w:jc w:val="left"/>
            </w:pPr>
            <w:r>
              <w:t xml:space="preserve">6 months (~T^(1/3)=5.36)</w:t>
            </w:r>
          </w:p>
        </w:tc>
      </w:tr>
      <w:tr>
        <w:tc>
          <w:tcPr/>
          <w:p>
            <w:pPr>
              <w:pStyle w:val="Compact"/>
              <w:jc w:val="left"/>
            </w:pPr>
            <w:r>
              <w:t xml:space="preserve">Block-length sensitivity</w:t>
            </w:r>
          </w:p>
        </w:tc>
        <w:tc>
          <w:tcPr/>
          <w:p>
            <w:pPr>
              <w:pStyle w:val="Compact"/>
              <w:jc w:val="left"/>
            </w:pPr>
            <w:r>
              <w:t xml:space="preserve">12 months, reduced grid (-0.2, -0.1, 0, 0.1, 0.2), R=500</w:t>
            </w:r>
          </w:p>
        </w:tc>
      </w:tr>
      <w:tr>
        <w:tc>
          <w:tcPr/>
          <w:p>
            <w:pPr>
              <w:pStyle w:val="Compact"/>
              <w:jc w:val="left"/>
            </w:pPr>
            <w:r>
              <w:t xml:space="preserve">Primary replications per point</w:t>
            </w:r>
          </w:p>
        </w:tc>
        <w:tc>
          <w:tcPr/>
          <w:p>
            <w:pPr>
              <w:pStyle w:val="Compact"/>
              <w:jc w:val="left"/>
            </w:pPr>
            <w:r>
              <w:t xml:space="preserve">2000</w:t>
            </w:r>
          </w:p>
        </w:tc>
      </w:tr>
      <w:tr>
        <w:tc>
          <w:tcPr/>
          <w:p>
            <w:pPr>
              <w:pStyle w:val="Compact"/>
              <w:jc w:val="left"/>
            </w:pPr>
            <w:r>
              <w:t xml:space="preserve">Secondary-shape replications per point</w:t>
            </w:r>
          </w:p>
        </w:tc>
        <w:tc>
          <w:tcPr/>
          <w:p>
            <w:pPr>
              <w:pStyle w:val="Compact"/>
              <w:jc w:val="left"/>
            </w:pPr>
            <w:r>
              <w:t xml:space="preserve">1000</w:t>
            </w:r>
          </w:p>
        </w:tc>
      </w:tr>
      <w:tr>
        <w:tc>
          <w:tcPr/>
          <w:p>
            <w:pPr>
              <w:pStyle w:val="Compact"/>
              <w:jc w:val="left"/>
            </w:pPr>
            <w:r>
              <w:t xml:space="preserve">Block-sensitivity replications per point</w:t>
            </w:r>
          </w:p>
        </w:tc>
        <w:tc>
          <w:tcPr/>
          <w:p>
            <w:pPr>
              <w:pStyle w:val="Compact"/>
              <w:jc w:val="left"/>
            </w:pPr>
            <w:r>
              <w:t xml:space="preserve">500</w:t>
            </w:r>
          </w:p>
        </w:tc>
      </w:tr>
      <w:tr>
        <w:tc>
          <w:tcPr/>
          <w:p>
            <w:pPr>
              <w:pStyle w:val="Compact"/>
              <w:jc w:val="left"/>
            </w:pPr>
            <w:r>
              <w:t xml:space="preserve">Primary inference rule</w:t>
            </w:r>
          </w:p>
        </w:tc>
        <w:tc>
          <w:tcPr/>
          <w:p>
            <w:pPr>
              <w:pStyle w:val="Compact"/>
              <w:jc w:val="left"/>
            </w:pPr>
            <w:r>
              <w:t xml:space="preserve">Driscoll-Kraay joint Wald test (vcovPL, Bartlett, NW1987), same as Stage 14/18 primary inference</w:t>
            </w:r>
          </w:p>
        </w:tc>
      </w:tr>
      <w:tr>
        <w:tc>
          <w:tcPr/>
          <w:p>
            <w:pPr>
              <w:pStyle w:val="Compact"/>
              <w:jc w:val="left"/>
            </w:pPr>
            <w:r>
              <w:t xml:space="preserve">Validation inference rule</w:t>
            </w:r>
          </w:p>
        </w:tc>
        <w:tc>
          <w:tcPr/>
          <w:p>
            <w:pPr>
              <w:pStyle w:val="Compact"/>
              <w:jc w:val="left"/>
            </w:pPr>
            <w:r>
              <w:t xml:space="preserve">Wild cluster bootstrap, B=199, at Theta_3 in {0, 0.1, 0.2}</w:t>
            </w:r>
          </w:p>
        </w:tc>
      </w:tr>
      <w:tr>
        <w:tc>
          <w:tcPr/>
          <w:p>
            <w:pPr>
              <w:pStyle w:val="Compact"/>
              <w:jc w:val="left"/>
            </w:pPr>
            <w:r>
              <w:t xml:space="preserve">Validation replications</w:t>
            </w:r>
          </w:p>
        </w:tc>
        <w:tc>
          <w:tcPr/>
          <w:p>
            <w:pPr>
              <w:pStyle w:val="Compact"/>
              <w:jc w:val="left"/>
            </w:pPr>
            <w:r>
              <w:t xml:space="preserve">100</w:t>
            </w:r>
          </w:p>
        </w:tc>
      </w:tr>
      <w:tr>
        <w:tc>
          <w:tcPr/>
          <w:p>
            <w:pPr>
              <w:pStyle w:val="Compact"/>
              <w:jc w:val="left"/>
            </w:pPr>
            <w:r>
              <w:t xml:space="preserve">Seed</w:t>
            </w:r>
          </w:p>
        </w:tc>
        <w:tc>
          <w:tcPr/>
          <w:p>
            <w:pPr>
              <w:pStyle w:val="Compact"/>
              <w:jc w:val="left"/>
            </w:pPr>
            <w:r>
              <w:t xml:space="preserve">20260921</w:t>
            </w:r>
          </w:p>
        </w:tc>
      </w:tr>
    </w:tbl>
    <w:p>
      <w:pPr>
        <w:pStyle w:val="BodyText"/>
      </w:pPr>
      <w:r>
        <w:rPr>
          <w:b/>
          <w:bCs/>
        </w:rPr>
        <w:t xml:space="preserve">Data-generating process (fixed-regressor design):</w:t>
      </w:r>
      <w:r>
        <w:t xml:space="preserve"> </w:t>
      </w:r>
      <w:r>
        <w:t xml:space="preserve">own-lag and</w:t>
      </w:r>
      <w:r>
        <w:t xml:space="preserve"> </w:t>
      </w:r>
      <w:r>
        <w:t xml:space="preserve">spatial-lag regressor values are held at their values actually observed in</w:t>
      </w:r>
      <w:r>
        <w:t xml:space="preserve"> </w:t>
      </w:r>
      <w:r>
        <w:t xml:space="preserve">the locked K=3 estimation sample (region and month fixed effects included).</w:t>
      </w:r>
      <w:r>
        <w:t xml:space="preserve"> </w:t>
      </w:r>
      <w:r>
        <w:t xml:space="preserve">The simulated outcome is</w:t>
      </w:r>
      <w:r>
        <w:t xml:space="preserve"> </w:t>
      </w:r>
      <m:oMath>
        <m:sSubSup>
          <m:e>
            <m:r>
              <m:t>y</m:t>
            </m:r>
          </m:e>
          <m:sub>
            <m:r>
              <m:t>i</m:t>
            </m:r>
            <m:r>
              <m:t>t</m:t>
            </m:r>
          </m:sub>
          <m:sup>
            <m:r>
              <m:rPr>
                <m:sty m:val="p"/>
              </m:rPr>
              <m:t>*</m:t>
            </m:r>
          </m:sup>
        </m:sSubSup>
        <m:r>
          <m:rPr>
            <m:sty m:val="p"/>
          </m:rPr>
          <m:t>=</m:t>
        </m:r>
        <m:sSubSup>
          <m:e>
            <m:acc>
              <m:accPr>
                <m:chr m:val="̂"/>
              </m:accPr>
              <m:e>
                <m:r>
                  <m:t>y</m:t>
                </m:r>
              </m:e>
            </m:acc>
          </m:e>
          <m:sub>
            <m:r>
              <m:t>i</m:t>
            </m:r>
            <m:r>
              <m:t>t</m:t>
            </m:r>
          </m:sub>
          <m:sup>
            <m:r>
              <m:t> </m:t>
            </m:r>
            <m:r>
              <m:t>0</m:t>
            </m:r>
          </m:sup>
        </m:sSubSup>
        <m:r>
          <m:rPr>
            <m:sty m:val="p"/>
          </m:rPr>
          <m:t>+</m:t>
        </m:r>
        <m:sSub>
          <m:e>
            <m:r>
              <m:t>θ</m:t>
            </m:r>
          </m:e>
          <m:sub>
            <m:r>
              <m:t>1</m:t>
            </m:r>
          </m:sub>
        </m:sSub>
        <m:r>
          <m:t>W</m:t>
        </m:r>
        <m:sSub>
          <m:e>
            <m:r>
              <m:t>π</m:t>
            </m:r>
          </m:e>
          <m:sub>
            <m:r>
              <m:t>i</m:t>
            </m:r>
            <m:r>
              <m:rPr>
                <m:sty m:val="p"/>
              </m:rPr>
              <m:t>,</m:t>
            </m:r>
            <m:r>
              <m:t>t</m:t>
            </m:r>
            <m:r>
              <m:rPr>
                <m:sty m:val="p"/>
              </m:rPr>
              <m:t>−</m:t>
            </m:r>
            <m:r>
              <m:t>1</m:t>
            </m:r>
          </m:sub>
        </m:sSub>
        <m:r>
          <m:rPr>
            <m:sty m:val="p"/>
          </m:rPr>
          <m:t>+</m:t>
        </m:r>
        <m:sSub>
          <m:e>
            <m:r>
              <m:t>θ</m:t>
            </m:r>
          </m:e>
          <m:sub>
            <m:r>
              <m:t>2</m:t>
            </m:r>
          </m:sub>
        </m:sSub>
        <m:r>
          <m:t>W</m:t>
        </m:r>
        <m:sSub>
          <m:e>
            <m:r>
              <m:t>π</m:t>
            </m:r>
          </m:e>
          <m:sub>
            <m:r>
              <m:t>i</m:t>
            </m:r>
            <m:r>
              <m:rPr>
                <m:sty m:val="p"/>
              </m:rPr>
              <m:t>,</m:t>
            </m:r>
            <m:r>
              <m:t>t</m:t>
            </m:r>
            <m:r>
              <m:rPr>
                <m:sty m:val="p"/>
              </m:rPr>
              <m:t>−</m:t>
            </m:r>
            <m:r>
              <m:t>2</m:t>
            </m:r>
          </m:sub>
        </m:sSub>
        <m:r>
          <m:rPr>
            <m:sty m:val="p"/>
          </m:rPr>
          <m:t>+</m:t>
        </m:r>
        <m:sSub>
          <m:e>
            <m:r>
              <m:t>θ</m:t>
            </m:r>
          </m:e>
          <m:sub>
            <m:r>
              <m:t>3</m:t>
            </m:r>
          </m:sub>
        </m:sSub>
        <m:r>
          <m:t>W</m:t>
        </m:r>
        <m:sSub>
          <m:e>
            <m:r>
              <m:t>π</m:t>
            </m:r>
          </m:e>
          <m:sub>
            <m:r>
              <m:t>i</m:t>
            </m:r>
            <m:r>
              <m:rPr>
                <m:sty m:val="p"/>
              </m:rPr>
              <m:t>,</m:t>
            </m:r>
            <m:r>
              <m:t>t</m:t>
            </m:r>
            <m:r>
              <m:rPr>
                <m:sty m:val="p"/>
              </m:rPr>
              <m:t>−</m:t>
            </m:r>
            <m:r>
              <m:t>3</m:t>
            </m:r>
          </m:sub>
        </m:sSub>
        <m:r>
          <m:rPr>
            <m:sty m:val="p"/>
          </m:rPr>
          <m:t>+</m:t>
        </m:r>
        <m:sSubSup>
          <m:e>
            <m:r>
              <m:t>e</m:t>
            </m:r>
          </m:e>
          <m:sub>
            <m:r>
              <m:t>i</m:t>
            </m:r>
            <m:r>
              <m:t>t</m:t>
            </m:r>
          </m:sub>
          <m:sup>
            <m:r>
              <m:rPr>
                <m:sty m:val="p"/>
              </m:rPr>
              <m:t>*</m:t>
            </m:r>
          </m:sup>
        </m:sSubSup>
      </m:oMath>
      <w:r>
        <w:t xml:space="preserve">,</w:t>
      </w:r>
      <w:r>
        <w:t xml:space="preserve"> </w:t>
      </w:r>
      <w:r>
        <w:t xml:space="preserve">where</w:t>
      </w:r>
      <w:r>
        <w:t xml:space="preserve"> </w:t>
      </w:r>
      <m:oMath>
        <m:sSup>
          <m:e>
            <m:acc>
              <m:accPr>
                <m:chr m:val="̂"/>
              </m:accPr>
              <m:e>
                <m:r>
                  <m:t>y</m:t>
                </m:r>
              </m:e>
            </m:acc>
          </m:e>
          <m:sup>
            <m:r>
              <m:t> </m:t>
            </m:r>
            <m:r>
              <m:t>0</m:t>
            </m:r>
          </m:sup>
        </m:sSup>
      </m:oMath>
      <w:r>
        <w:t xml:space="preserve"> </w:t>
      </w:r>
      <w:r>
        <w:t xml:space="preserve">is the fitted value from the restricted</w:t>
      </w:r>
      <w:r>
        <w:t xml:space="preserve"> </w:t>
      </w:r>
      <w:r>
        <w:t xml:space="preserve">(no-spatial-lag) model and</w:t>
      </w:r>
      <w:r>
        <w:t xml:space="preserve"> </w:t>
      </w:r>
      <m:oMath>
        <m:sSup>
          <m:e>
            <m:r>
              <m:t>e</m:t>
            </m:r>
          </m:e>
          <m:sup>
            <m:r>
              <m:rPr>
                <m:sty m:val="p"/>
              </m:rPr>
              <m:t>*</m:t>
            </m:r>
          </m:sup>
        </m:sSup>
      </m:oMath>
      <w:r>
        <w:t xml:space="preserve"> </w:t>
      </w:r>
      <w:r>
        <w:t xml:space="preserve">is a residual draw from a moving-block</w:t>
      </w:r>
      <w:r>
        <w:t xml:space="preserve"> </w:t>
      </w:r>
      <w:r>
        <w:t xml:space="preserve">bootstrap of that restricted model’s observed residuals (block length 6</w:t>
      </w:r>
      <w:r>
        <w:t xml:space="preserve"> </w:t>
      </w:r>
      <w:r>
        <w:t xml:space="preserve">months primary, preserving observed cross-sectional dependence within each</w:t>
      </w:r>
      <w:r>
        <w:t xml:space="preserve"> </w:t>
      </w:r>
      <w:r>
        <w:t xml:space="preserve">monthly block and short-range temporal dependence within each 6-month</w:t>
      </w:r>
      <w:r>
        <w:t xml:space="preserve"> </w:t>
      </w:r>
      <w:r>
        <w:t xml:space="preserve">block; 12 months tested as a sensitivity). This is a standard, documented</w:t>
      </w:r>
      <w:r>
        <w:t xml:space="preserve"> </w:t>
      </w:r>
      <w:r>
        <w:t xml:space="preserve">simplification relative to a fully recursive dynamic re-simulation of the</w:t>
      </w:r>
      <w:r>
        <w:t xml:space="preserve"> </w:t>
      </w:r>
      <w:r>
        <w:t xml:space="preserve">panel – stated explicitly, not hidden.</w:t>
      </w:r>
    </w:p>
    <w:p>
      <w:pPr>
        <w:pStyle w:val="BodyText"/>
      </w:pPr>
      <w:r>
        <w:rPr>
          <w:b/>
          <w:bCs/>
        </w:rPr>
        <w:t xml:space="preserve">Inference:</w:t>
      </w:r>
      <w:r>
        <w:t xml:space="preserve"> </w:t>
      </w:r>
      <w:r>
        <w:t xml:space="preserve">the primary rejection rule is the same Driscoll-Kraay joint</w:t>
      </w:r>
      <w:r>
        <w:t xml:space="preserve"> </w:t>
      </w:r>
      <w:r>
        <w:t xml:space="preserve">Wald test used throughout Stages 14-18 (running a full B=9999 wild-cluster</w:t>
      </w:r>
      <w:r>
        <w:t xml:space="preserve"> </w:t>
      </w:r>
      <w:r>
        <w:t xml:space="preserve">bootstrap inside thousands of replications is not computationally</w:t>
      </w:r>
      <w:r>
        <w:t xml:space="preserve"> </w:t>
      </w:r>
      <w:r>
        <w:t xml:space="preserve">tractable). This choice is validated, not merely assumed: at 3 selected</w:t>
      </w:r>
      <w:r>
        <w:t xml:space="preserve"> </w:t>
      </w:r>
      <w:r>
        <w:t xml:space="preserve">effect sizes, DK-based and nested-wild-cluster-bootstrap-based (B=199)</w:t>
      </w:r>
      <w:r>
        <w:t xml:space="preserve"> </w:t>
      </w:r>
      <w:r>
        <w:t xml:space="preserve">rejection rates were compared directly.</w:t>
      </w:r>
    </w:p>
    <w:bookmarkEnd w:id="88"/>
    <w:bookmarkStart w:id="89" w:name="Xc49e212e58fa044cac1bc0d1ad67c23b78c05c1"/>
    <w:p>
      <w:pPr>
        <w:pStyle w:val="Heading3"/>
      </w:pPr>
      <w:r>
        <w:t xml:space="preserve">Validation: DK asymptotic vs. nested wild-cluster bootstrap</w:t>
      </w:r>
    </w:p>
    <w:p>
      <w:pPr>
        <w:pStyle w:val="TableCaption"/>
      </w:pPr>
      <w:r>
        <w:t xml:space="preserve">Table B2. DK-based vs. wild-cluster-bootstrap-based power, 3 selected effect sizes.</w:t>
      </w:r>
    </w:p>
    <w:tbl>
      <w:tblPr>
        <w:tblStyle w:val="Table"/>
        <w:tblW w:type="auto" w:w="0"/>
        <w:tblLook w:firstRow="1" w:lastRow="0" w:firstColumn="0" w:lastColumn="0" w:noHBand="0" w:noVBand="0" w:val="0020"/>
        <w:tblCaption w:val="Table B2. DK-based vs. wild-cluster-bootstrap-based power, 3 selected effect sizes."/>
      </w:tblPr>
      <w:tblGrid>
        <w:gridCol w:w="1320"/>
        <w:gridCol w:w="1320"/>
        <w:gridCol w:w="1320"/>
        <w:gridCol w:w="1320"/>
        <w:gridCol w:w="1320"/>
        <w:gridCol w:w="1320"/>
      </w:tblGrid>
      <w:tr>
        <w:trPr>
          <w:tblHeader w:val="on"/>
        </w:trPr>
        <w:tc>
          <w:tcPr/>
          <w:p>
            <w:pPr>
              <w:pStyle w:val="Compact"/>
              <w:jc w:val="right"/>
            </w:pPr>
            <w:r>
              <w:t xml:space="preserve">Theta_3</w:t>
            </w:r>
          </w:p>
        </w:tc>
        <w:tc>
          <w:tcPr/>
          <w:p>
            <w:pPr>
              <w:pStyle w:val="Compact"/>
              <w:jc w:val="right"/>
            </w:pPr>
            <w:r>
              <w:t xml:space="preserve">n_reps</w:t>
            </w:r>
          </w:p>
        </w:tc>
        <w:tc>
          <w:tcPr/>
          <w:p>
            <w:pPr>
              <w:pStyle w:val="Compact"/>
              <w:jc w:val="right"/>
            </w:pPr>
            <w:r>
              <w:t xml:space="preserve">wcb_B</w:t>
            </w:r>
          </w:p>
        </w:tc>
        <w:tc>
          <w:tcPr/>
          <w:p>
            <w:pPr>
              <w:pStyle w:val="Compact"/>
              <w:jc w:val="right"/>
            </w:pPr>
            <w:r>
              <w:t xml:space="preserve">power_DK</w:t>
            </w:r>
          </w:p>
        </w:tc>
        <w:tc>
          <w:tcPr/>
          <w:p>
            <w:pPr>
              <w:pStyle w:val="Compact"/>
              <w:jc w:val="right"/>
            </w:pPr>
            <w:r>
              <w:t xml:space="preserve">power_WCB</w:t>
            </w:r>
          </w:p>
        </w:tc>
        <w:tc>
          <w:tcPr/>
          <w:p>
            <w:pPr>
              <w:pStyle w:val="Compact"/>
              <w:jc w:val="left"/>
            </w:pPr>
            <w:r>
              <w:t xml:space="preserve">agreement_within_2SE</w:t>
            </w:r>
          </w:p>
        </w:tc>
      </w:tr>
      <w:tr>
        <w:tc>
          <w:tcPr/>
          <w:p>
            <w:pPr>
              <w:pStyle w:val="Compact"/>
              <w:jc w:val="right"/>
            </w:pPr>
            <w:r>
              <w:t xml:space="preserve">0.0</w:t>
            </w:r>
          </w:p>
        </w:tc>
        <w:tc>
          <w:tcPr/>
          <w:p>
            <w:pPr>
              <w:pStyle w:val="Compact"/>
              <w:jc w:val="right"/>
            </w:pPr>
            <w:r>
              <w:t xml:space="preserve">100</w:t>
            </w:r>
          </w:p>
        </w:tc>
        <w:tc>
          <w:tcPr/>
          <w:p>
            <w:pPr>
              <w:pStyle w:val="Compact"/>
              <w:jc w:val="right"/>
            </w:pPr>
            <w:r>
              <w:t xml:space="preserve">199</w:t>
            </w:r>
          </w:p>
        </w:tc>
        <w:tc>
          <w:tcPr/>
          <w:p>
            <w:pPr>
              <w:pStyle w:val="Compact"/>
              <w:jc w:val="right"/>
            </w:pPr>
            <w:r>
              <w:t xml:space="preserve">0.07</w:t>
            </w:r>
          </w:p>
        </w:tc>
        <w:tc>
          <w:tcPr/>
          <w:p>
            <w:pPr>
              <w:pStyle w:val="Compact"/>
              <w:jc w:val="right"/>
            </w:pPr>
            <w:r>
              <w:t xml:space="preserve">0.10</w:t>
            </w:r>
          </w:p>
        </w:tc>
        <w:tc>
          <w:tcPr/>
          <w:p>
            <w:pPr>
              <w:pStyle w:val="Compact"/>
              <w:jc w:val="left"/>
            </w:pPr>
            <w:r>
              <w:t xml:space="preserve">TRUE</w:t>
            </w:r>
          </w:p>
        </w:tc>
      </w:tr>
      <w:tr>
        <w:tc>
          <w:tcPr/>
          <w:p>
            <w:pPr>
              <w:pStyle w:val="Compact"/>
              <w:jc w:val="right"/>
            </w:pPr>
            <w:r>
              <w:t xml:space="preserve">0.1</w:t>
            </w:r>
          </w:p>
        </w:tc>
        <w:tc>
          <w:tcPr/>
          <w:p>
            <w:pPr>
              <w:pStyle w:val="Compact"/>
              <w:jc w:val="right"/>
            </w:pPr>
            <w:r>
              <w:t xml:space="preserve">100</w:t>
            </w:r>
          </w:p>
        </w:tc>
        <w:tc>
          <w:tcPr/>
          <w:p>
            <w:pPr>
              <w:pStyle w:val="Compact"/>
              <w:jc w:val="right"/>
            </w:pPr>
            <w:r>
              <w:t xml:space="preserve">199</w:t>
            </w:r>
          </w:p>
        </w:tc>
        <w:tc>
          <w:tcPr/>
          <w:p>
            <w:pPr>
              <w:pStyle w:val="Compact"/>
              <w:jc w:val="right"/>
            </w:pPr>
            <w:r>
              <w:t xml:space="preserve">0.18</w:t>
            </w:r>
          </w:p>
        </w:tc>
        <w:tc>
          <w:tcPr/>
          <w:p>
            <w:pPr>
              <w:pStyle w:val="Compact"/>
              <w:jc w:val="right"/>
            </w:pPr>
            <w:r>
              <w:t xml:space="preserve">0.20</w:t>
            </w:r>
          </w:p>
        </w:tc>
        <w:tc>
          <w:tcPr/>
          <w:p>
            <w:pPr>
              <w:pStyle w:val="Compact"/>
              <w:jc w:val="left"/>
            </w:pPr>
            <w:r>
              <w:t xml:space="preserve">TRUE</w:t>
            </w:r>
          </w:p>
        </w:tc>
      </w:tr>
      <w:tr>
        <w:tc>
          <w:tcPr/>
          <w:p>
            <w:pPr>
              <w:pStyle w:val="Compact"/>
              <w:jc w:val="right"/>
            </w:pPr>
            <w:r>
              <w:t xml:space="preserve">0.2</w:t>
            </w:r>
          </w:p>
        </w:tc>
        <w:tc>
          <w:tcPr/>
          <w:p>
            <w:pPr>
              <w:pStyle w:val="Compact"/>
              <w:jc w:val="right"/>
            </w:pPr>
            <w:r>
              <w:t xml:space="preserve">100</w:t>
            </w:r>
          </w:p>
        </w:tc>
        <w:tc>
          <w:tcPr/>
          <w:p>
            <w:pPr>
              <w:pStyle w:val="Compact"/>
              <w:jc w:val="right"/>
            </w:pPr>
            <w:r>
              <w:t xml:space="preserve">199</w:t>
            </w:r>
          </w:p>
        </w:tc>
        <w:tc>
          <w:tcPr/>
          <w:p>
            <w:pPr>
              <w:pStyle w:val="Compact"/>
              <w:jc w:val="right"/>
            </w:pPr>
            <w:r>
              <w:t xml:space="preserve">0.52</w:t>
            </w:r>
          </w:p>
        </w:tc>
        <w:tc>
          <w:tcPr/>
          <w:p>
            <w:pPr>
              <w:pStyle w:val="Compact"/>
              <w:jc w:val="right"/>
            </w:pPr>
            <w:r>
              <w:t xml:space="preserve">0.45</w:t>
            </w:r>
          </w:p>
        </w:tc>
        <w:tc>
          <w:tcPr/>
          <w:p>
            <w:pPr>
              <w:pStyle w:val="Compact"/>
              <w:jc w:val="left"/>
            </w:pPr>
            <w:r>
              <w:t xml:space="preserve">TRUE</w:t>
            </w:r>
          </w:p>
        </w:tc>
      </w:tr>
    </w:tbl>
    <w:p>
      <w:pPr>
        <w:pStyle w:val="BodyText"/>
      </w:pPr>
      <w:r>
        <w:t xml:space="preserve">All three checked points agree within 2 Monte Carlo standard errors,</w:t>
      </w:r>
      <w:r>
        <w:t xml:space="preserve"> </w:t>
      </w:r>
      <w:r>
        <w:t xml:space="preserve">supporting the use of the (far cheaper) DK-based rule as the primary</w:t>
      </w:r>
      <w:r>
        <w:t xml:space="preserve"> </w:t>
      </w:r>
      <w:r>
        <w:t xml:space="preserve">simulation inference rule for the full grid.</w:t>
      </w:r>
    </w:p>
    <w:bookmarkEnd w:id="89"/>
    <w:bookmarkStart w:id="99" w:name="power-curve"/>
    <w:p>
      <w:pPr>
        <w:pStyle w:val="Heading3"/>
      </w:pPr>
      <w:r>
        <w:t xml:space="preserve">Power curve</w:t>
      </w:r>
    </w:p>
    <w:p>
      <w:pPr>
        <w:pStyle w:val="CaptionedFigure"/>
      </w:pPr>
      <w:r>
        <w:drawing>
          <wp:inline>
            <wp:extent cx="5334000" cy="3333749"/>
            <wp:effectExtent b="0" l="0" r="0" t="0"/>
            <wp:docPr descr="Figure B1. Simulated power vs. true cumulative spatial effect (Theta_3), primary design." title="" id="91" name="Picture"/>
            <a:graphic>
              <a:graphicData uri="http://schemas.openxmlformats.org/drawingml/2006/picture">
                <pic:pic>
                  <pic:nvPicPr>
                    <pic:cNvPr descr="results_v2/presubmission_refinement/power_mde/fig_1_power_curve.png" id="92" name="Picture"/>
                    <pic:cNvPicPr>
                      <a:picLocks noChangeArrowheads="1" noChangeAspect="1"/>
                    </pic:cNvPicPr>
                  </pic:nvPicPr>
                  <pic:blipFill>
                    <a:blip r:embed="rId90"/>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B1. Simulated power vs. true cumulative spatial effect (Theta_3), primary design.</w:t>
      </w:r>
    </w:p>
    <w:p>
      <w:pPr>
        <w:pStyle w:val="CaptionedFigure"/>
      </w:pPr>
      <w:r>
        <w:drawing>
          <wp:inline>
            <wp:extent cx="5334000" cy="3333749"/>
            <wp:effectExtent b="0" l="0" r="0" t="0"/>
            <wp:docPr descr="Figure B2. Power curve by assumed lag-shape (equal vs. front-loaded) – power is conditional on this assumption." title="" id="94" name="Picture"/>
            <a:graphic>
              <a:graphicData uri="http://schemas.openxmlformats.org/drawingml/2006/picture">
                <pic:pic>
                  <pic:nvPicPr>
                    <pic:cNvPr descr="results_v2/presubmission_refinement/power_mde/fig_2_power_by_lag_shape.png" id="95" name="Picture"/>
                    <pic:cNvPicPr>
                      <a:picLocks noChangeArrowheads="1" noChangeAspect="1"/>
                    </pic:cNvPicPr>
                  </pic:nvPicPr>
                  <pic:blipFill>
                    <a:blip r:embed="rId93"/>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B2. Power curve by assumed lag-shape (equal vs. front-loaded) – power is conditional on this assumption.</w:t>
      </w:r>
    </w:p>
    <w:p>
      <w:pPr>
        <w:pStyle w:val="CaptionedFigure"/>
      </w:pPr>
      <w:r>
        <w:drawing>
          <wp:inline>
            <wp:extent cx="5334000" cy="2667000"/>
            <wp:effectExtent b="0" l="0" r="0" t="0"/>
            <wp:docPr descr="Figure B3. Observed estimate and 95% CI placed against the simulated detectable-effect scale." title="" id="97" name="Picture"/>
            <a:graphic>
              <a:graphicData uri="http://schemas.openxmlformats.org/drawingml/2006/picture">
                <pic:pic>
                  <pic:nvPicPr>
                    <pic:cNvPr descr="results_v2/presubmission_refinement/power_mde/fig_3_observed_vs_detectable_scale.png" id="98" name="Picture"/>
                    <pic:cNvPicPr>
                      <a:picLocks noChangeArrowheads="1" noChangeAspect="1"/>
                    </pic:cNvPicPr>
                  </pic:nvPicPr>
                  <pic:blipFill>
                    <a:blip r:embed="rId9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B3. Observed estimate and 95% CI placed against the simulated detectable-effect scale.</w:t>
      </w:r>
    </w:p>
    <w:p>
      <w:pPr>
        <w:pStyle w:val="TableCaption"/>
      </w:pPr>
      <w:r>
        <w:t xml:space="preserve">Table B3. Full power curve: primary, front-loaded-shape sensitivity, and block-length sensitivity.</w:t>
      </w:r>
    </w:p>
    <w:tbl>
      <w:tblPr>
        <w:tblStyle w:val="Table"/>
        <w:tblW w:type="pct" w:w="5000"/>
        <w:tblLayout w:type="fixed"/>
        <w:tblLook w:firstRow="1" w:lastRow="0" w:firstColumn="0" w:lastColumn="0" w:noHBand="0" w:noVBand="0" w:val="0020"/>
        <w:tblCaption w:val="Table B3. Full power curve: primary, front-loaded-shape sensitivity, and block-length sensitivity."/>
      </w:tblPr>
      <w:tblGrid>
        <w:gridCol w:w="880"/>
        <w:gridCol w:w="3630"/>
        <w:gridCol w:w="1100"/>
        <w:gridCol w:w="770"/>
        <w:gridCol w:w="770"/>
        <w:gridCol w:w="770"/>
      </w:tblGrid>
      <w:tr>
        <w:trPr>
          <w:tblHeader w:val="on"/>
        </w:trPr>
        <w:tc>
          <w:tcPr/>
          <w:p>
            <w:pPr>
              <w:pStyle w:val="Compact"/>
              <w:jc w:val="right"/>
            </w:pPr>
            <w:r>
              <w:t xml:space="preserve">Theta_3</w:t>
            </w:r>
          </w:p>
        </w:tc>
        <w:tc>
          <w:tcPr/>
          <w:p>
            <w:pPr>
              <w:pStyle w:val="Compact"/>
              <w:jc w:val="left"/>
            </w:pPr>
            <w:r>
              <w:t xml:space="preserve">lag_shape</w:t>
            </w:r>
          </w:p>
        </w:tc>
        <w:tc>
          <w:tcPr/>
          <w:p>
            <w:pPr>
              <w:pStyle w:val="Compact"/>
              <w:jc w:val="right"/>
            </w:pPr>
            <w:r>
              <w:t xml:space="preserve">block_len</w:t>
            </w:r>
          </w:p>
        </w:tc>
        <w:tc>
          <w:tcPr/>
          <w:p>
            <w:pPr>
              <w:pStyle w:val="Compact"/>
              <w:jc w:val="right"/>
            </w:pPr>
            <w:r>
              <w:t xml:space="preserve">n_reps</w:t>
            </w:r>
          </w:p>
        </w:tc>
        <w:tc>
          <w:tcPr/>
          <w:p>
            <w:pPr>
              <w:pStyle w:val="Compact"/>
              <w:jc w:val="right"/>
            </w:pPr>
            <w:r>
              <w:t xml:space="preserve">power</w:t>
            </w:r>
          </w:p>
        </w:tc>
        <w:tc>
          <w:tcPr/>
          <w:p>
            <w:pPr>
              <w:pStyle w:val="Compact"/>
              <w:jc w:val="right"/>
            </w:pPr>
            <w:r>
              <w:t xml:space="preserve">mc_se</w:t>
            </w:r>
          </w:p>
        </w:tc>
      </w:tr>
      <w:tr>
        <w:tc>
          <w:tcPr/>
          <w:p>
            <w:pPr>
              <w:pStyle w:val="Compact"/>
              <w:jc w:val="right"/>
            </w:pPr>
            <w:r>
              <w:t xml:space="preserve">-0.200</w:t>
            </w:r>
          </w:p>
        </w:tc>
        <w:tc>
          <w:tcPr/>
          <w:p>
            <w:pPr>
              <w:pStyle w:val="Compact"/>
              <w:jc w:val="left"/>
            </w:pPr>
            <w:r>
              <w:t xml:space="preserve">Equal (primary)</w:t>
            </w:r>
          </w:p>
        </w:tc>
        <w:tc>
          <w:tcPr/>
          <w:p>
            <w:pPr>
              <w:pStyle w:val="Compact"/>
              <w:jc w:val="right"/>
            </w:pPr>
            <w:r>
              <w:t xml:space="preserve">6</w:t>
            </w:r>
          </w:p>
        </w:tc>
        <w:tc>
          <w:tcPr/>
          <w:p>
            <w:pPr>
              <w:pStyle w:val="Compact"/>
              <w:jc w:val="right"/>
            </w:pPr>
            <w:r>
              <w:t xml:space="preserve">2000</w:t>
            </w:r>
          </w:p>
        </w:tc>
        <w:tc>
          <w:tcPr/>
          <w:p>
            <w:pPr>
              <w:pStyle w:val="Compact"/>
              <w:jc w:val="right"/>
            </w:pPr>
            <w:r>
              <w:t xml:space="preserve">0.5820</w:t>
            </w:r>
          </w:p>
        </w:tc>
        <w:tc>
          <w:tcPr/>
          <w:p>
            <w:pPr>
              <w:pStyle w:val="Compact"/>
              <w:jc w:val="right"/>
            </w:pPr>
            <w:r>
              <w:t xml:space="preserve">0.0110</w:t>
            </w:r>
          </w:p>
        </w:tc>
      </w:tr>
      <w:tr>
        <w:tc>
          <w:tcPr/>
          <w:p>
            <w:pPr>
              <w:pStyle w:val="Compact"/>
              <w:jc w:val="right"/>
            </w:pPr>
            <w:r>
              <w:t xml:space="preserve">-0.150</w:t>
            </w:r>
          </w:p>
        </w:tc>
        <w:tc>
          <w:tcPr/>
          <w:p>
            <w:pPr>
              <w:pStyle w:val="Compact"/>
              <w:jc w:val="left"/>
            </w:pPr>
            <w:r>
              <w:t xml:space="preserve">Equal (primary)</w:t>
            </w:r>
          </w:p>
        </w:tc>
        <w:tc>
          <w:tcPr/>
          <w:p>
            <w:pPr>
              <w:pStyle w:val="Compact"/>
              <w:jc w:val="right"/>
            </w:pPr>
            <w:r>
              <w:t xml:space="preserve">6</w:t>
            </w:r>
          </w:p>
        </w:tc>
        <w:tc>
          <w:tcPr/>
          <w:p>
            <w:pPr>
              <w:pStyle w:val="Compact"/>
              <w:jc w:val="right"/>
            </w:pPr>
            <w:r>
              <w:t xml:space="preserve">2000</w:t>
            </w:r>
          </w:p>
        </w:tc>
        <w:tc>
          <w:tcPr/>
          <w:p>
            <w:pPr>
              <w:pStyle w:val="Compact"/>
              <w:jc w:val="right"/>
            </w:pPr>
            <w:r>
              <w:t xml:space="preserve">0.3615</w:t>
            </w:r>
          </w:p>
        </w:tc>
        <w:tc>
          <w:tcPr/>
          <w:p>
            <w:pPr>
              <w:pStyle w:val="Compact"/>
              <w:jc w:val="right"/>
            </w:pPr>
            <w:r>
              <w:t xml:space="preserve">0.0107</w:t>
            </w:r>
          </w:p>
        </w:tc>
      </w:tr>
      <w:tr>
        <w:tc>
          <w:tcPr/>
          <w:p>
            <w:pPr>
              <w:pStyle w:val="Compact"/>
              <w:jc w:val="right"/>
            </w:pPr>
            <w:r>
              <w:t xml:space="preserve">-0.100</w:t>
            </w:r>
          </w:p>
        </w:tc>
        <w:tc>
          <w:tcPr/>
          <w:p>
            <w:pPr>
              <w:pStyle w:val="Compact"/>
              <w:jc w:val="left"/>
            </w:pPr>
            <w:r>
              <w:t xml:space="preserve">Equal (primary)</w:t>
            </w:r>
          </w:p>
        </w:tc>
        <w:tc>
          <w:tcPr/>
          <w:p>
            <w:pPr>
              <w:pStyle w:val="Compact"/>
              <w:jc w:val="right"/>
            </w:pPr>
            <w:r>
              <w:t xml:space="preserve">6</w:t>
            </w:r>
          </w:p>
        </w:tc>
        <w:tc>
          <w:tcPr/>
          <w:p>
            <w:pPr>
              <w:pStyle w:val="Compact"/>
              <w:jc w:val="right"/>
            </w:pPr>
            <w:r>
              <w:t xml:space="preserve">2000</w:t>
            </w:r>
          </w:p>
        </w:tc>
        <w:tc>
          <w:tcPr/>
          <w:p>
            <w:pPr>
              <w:pStyle w:val="Compact"/>
              <w:jc w:val="right"/>
            </w:pPr>
            <w:r>
              <w:t xml:space="preserve">0.1955</w:t>
            </w:r>
          </w:p>
        </w:tc>
        <w:tc>
          <w:tcPr/>
          <w:p>
            <w:pPr>
              <w:pStyle w:val="Compact"/>
              <w:jc w:val="right"/>
            </w:pPr>
            <w:r>
              <w:t xml:space="preserve">0.0089</w:t>
            </w:r>
          </w:p>
        </w:tc>
      </w:tr>
      <w:tr>
        <w:tc>
          <w:tcPr/>
          <w:p>
            <w:pPr>
              <w:pStyle w:val="Compact"/>
              <w:jc w:val="right"/>
            </w:pPr>
            <w:r>
              <w:t xml:space="preserve">-0.075</w:t>
            </w:r>
          </w:p>
        </w:tc>
        <w:tc>
          <w:tcPr/>
          <w:p>
            <w:pPr>
              <w:pStyle w:val="Compact"/>
              <w:jc w:val="left"/>
            </w:pPr>
            <w:r>
              <w:t xml:space="preserve">Equal (primary)</w:t>
            </w:r>
          </w:p>
        </w:tc>
        <w:tc>
          <w:tcPr/>
          <w:p>
            <w:pPr>
              <w:pStyle w:val="Compact"/>
              <w:jc w:val="right"/>
            </w:pPr>
            <w:r>
              <w:t xml:space="preserve">6</w:t>
            </w:r>
          </w:p>
        </w:tc>
        <w:tc>
          <w:tcPr/>
          <w:p>
            <w:pPr>
              <w:pStyle w:val="Compact"/>
              <w:jc w:val="right"/>
            </w:pPr>
            <w:r>
              <w:t xml:space="preserve">2000</w:t>
            </w:r>
          </w:p>
        </w:tc>
        <w:tc>
          <w:tcPr/>
          <w:p>
            <w:pPr>
              <w:pStyle w:val="Compact"/>
              <w:jc w:val="right"/>
            </w:pPr>
            <w:r>
              <w:t xml:space="preserve">0.1330</w:t>
            </w:r>
          </w:p>
        </w:tc>
        <w:tc>
          <w:tcPr/>
          <w:p>
            <w:pPr>
              <w:pStyle w:val="Compact"/>
              <w:jc w:val="right"/>
            </w:pPr>
            <w:r>
              <w:t xml:space="preserve">0.0076</w:t>
            </w:r>
          </w:p>
        </w:tc>
      </w:tr>
      <w:tr>
        <w:tc>
          <w:tcPr/>
          <w:p>
            <w:pPr>
              <w:pStyle w:val="Compact"/>
              <w:jc w:val="right"/>
            </w:pPr>
            <w:r>
              <w:t xml:space="preserve">-0.050</w:t>
            </w:r>
          </w:p>
        </w:tc>
        <w:tc>
          <w:tcPr/>
          <w:p>
            <w:pPr>
              <w:pStyle w:val="Compact"/>
              <w:jc w:val="left"/>
            </w:pPr>
            <w:r>
              <w:t xml:space="preserve">Equal (primary)</w:t>
            </w:r>
          </w:p>
        </w:tc>
        <w:tc>
          <w:tcPr/>
          <w:p>
            <w:pPr>
              <w:pStyle w:val="Compact"/>
              <w:jc w:val="right"/>
            </w:pPr>
            <w:r>
              <w:t xml:space="preserve">6</w:t>
            </w:r>
          </w:p>
        </w:tc>
        <w:tc>
          <w:tcPr/>
          <w:p>
            <w:pPr>
              <w:pStyle w:val="Compact"/>
              <w:jc w:val="right"/>
            </w:pPr>
            <w:r>
              <w:t xml:space="preserve">2000</w:t>
            </w:r>
          </w:p>
        </w:tc>
        <w:tc>
          <w:tcPr/>
          <w:p>
            <w:pPr>
              <w:pStyle w:val="Compact"/>
              <w:jc w:val="right"/>
            </w:pPr>
            <w:r>
              <w:t xml:space="preserve">0.0935</w:t>
            </w:r>
          </w:p>
        </w:tc>
        <w:tc>
          <w:tcPr/>
          <w:p>
            <w:pPr>
              <w:pStyle w:val="Compact"/>
              <w:jc w:val="right"/>
            </w:pPr>
            <w:r>
              <w:t xml:space="preserve">0.0065</w:t>
            </w:r>
          </w:p>
        </w:tc>
      </w:tr>
      <w:tr>
        <w:tc>
          <w:tcPr/>
          <w:p>
            <w:pPr>
              <w:pStyle w:val="Compact"/>
              <w:jc w:val="right"/>
            </w:pPr>
            <w:r>
              <w:t xml:space="preserve">-0.025</w:t>
            </w:r>
          </w:p>
        </w:tc>
        <w:tc>
          <w:tcPr/>
          <w:p>
            <w:pPr>
              <w:pStyle w:val="Compact"/>
              <w:jc w:val="left"/>
            </w:pPr>
            <w:r>
              <w:t xml:space="preserve">Equal (primary)</w:t>
            </w:r>
          </w:p>
        </w:tc>
        <w:tc>
          <w:tcPr/>
          <w:p>
            <w:pPr>
              <w:pStyle w:val="Compact"/>
              <w:jc w:val="right"/>
            </w:pPr>
            <w:r>
              <w:t xml:space="preserve">6</w:t>
            </w:r>
          </w:p>
        </w:tc>
        <w:tc>
          <w:tcPr/>
          <w:p>
            <w:pPr>
              <w:pStyle w:val="Compact"/>
              <w:jc w:val="right"/>
            </w:pPr>
            <w:r>
              <w:t xml:space="preserve">2000</w:t>
            </w:r>
          </w:p>
        </w:tc>
        <w:tc>
          <w:tcPr/>
          <w:p>
            <w:pPr>
              <w:pStyle w:val="Compact"/>
              <w:jc w:val="right"/>
            </w:pPr>
            <w:r>
              <w:t xml:space="preserve">0.0670</w:t>
            </w:r>
          </w:p>
        </w:tc>
        <w:tc>
          <w:tcPr/>
          <w:p>
            <w:pPr>
              <w:pStyle w:val="Compact"/>
              <w:jc w:val="right"/>
            </w:pPr>
            <w:r>
              <w:t xml:space="preserve">0.0056</w:t>
            </w:r>
          </w:p>
        </w:tc>
      </w:tr>
      <w:tr>
        <w:tc>
          <w:tcPr/>
          <w:p>
            <w:pPr>
              <w:pStyle w:val="Compact"/>
              <w:jc w:val="right"/>
            </w:pPr>
            <w:r>
              <w:t xml:space="preserve">0.000</w:t>
            </w:r>
          </w:p>
        </w:tc>
        <w:tc>
          <w:tcPr/>
          <w:p>
            <w:pPr>
              <w:pStyle w:val="Compact"/>
              <w:jc w:val="left"/>
            </w:pPr>
            <w:r>
              <w:t xml:space="preserve">Equal (primary)</w:t>
            </w:r>
          </w:p>
        </w:tc>
        <w:tc>
          <w:tcPr/>
          <w:p>
            <w:pPr>
              <w:pStyle w:val="Compact"/>
              <w:jc w:val="right"/>
            </w:pPr>
            <w:r>
              <w:t xml:space="preserve">6</w:t>
            </w:r>
          </w:p>
        </w:tc>
        <w:tc>
          <w:tcPr/>
          <w:p>
            <w:pPr>
              <w:pStyle w:val="Compact"/>
              <w:jc w:val="right"/>
            </w:pPr>
            <w:r>
              <w:t xml:space="preserve">2000</w:t>
            </w:r>
          </w:p>
        </w:tc>
        <w:tc>
          <w:tcPr/>
          <w:p>
            <w:pPr>
              <w:pStyle w:val="Compact"/>
              <w:jc w:val="right"/>
            </w:pPr>
            <w:r>
              <w:t xml:space="preserve">0.0615</w:t>
            </w:r>
          </w:p>
        </w:tc>
        <w:tc>
          <w:tcPr/>
          <w:p>
            <w:pPr>
              <w:pStyle w:val="Compact"/>
              <w:jc w:val="right"/>
            </w:pPr>
            <w:r>
              <w:t xml:space="preserve">0.0054</w:t>
            </w:r>
          </w:p>
        </w:tc>
      </w:tr>
      <w:tr>
        <w:tc>
          <w:tcPr/>
          <w:p>
            <w:pPr>
              <w:pStyle w:val="Compact"/>
              <w:jc w:val="right"/>
            </w:pPr>
            <w:r>
              <w:t xml:space="preserve">0.025</w:t>
            </w:r>
          </w:p>
        </w:tc>
        <w:tc>
          <w:tcPr/>
          <w:p>
            <w:pPr>
              <w:pStyle w:val="Compact"/>
              <w:jc w:val="left"/>
            </w:pPr>
            <w:r>
              <w:t xml:space="preserve">Equal (primary)</w:t>
            </w:r>
          </w:p>
        </w:tc>
        <w:tc>
          <w:tcPr/>
          <w:p>
            <w:pPr>
              <w:pStyle w:val="Compact"/>
              <w:jc w:val="right"/>
            </w:pPr>
            <w:r>
              <w:t xml:space="preserve">6</w:t>
            </w:r>
          </w:p>
        </w:tc>
        <w:tc>
          <w:tcPr/>
          <w:p>
            <w:pPr>
              <w:pStyle w:val="Compact"/>
              <w:jc w:val="right"/>
            </w:pPr>
            <w:r>
              <w:t xml:space="preserve">2000</w:t>
            </w:r>
          </w:p>
        </w:tc>
        <w:tc>
          <w:tcPr/>
          <w:p>
            <w:pPr>
              <w:pStyle w:val="Compact"/>
              <w:jc w:val="right"/>
            </w:pPr>
            <w:r>
              <w:t xml:space="preserve">0.0720</w:t>
            </w:r>
          </w:p>
        </w:tc>
        <w:tc>
          <w:tcPr/>
          <w:p>
            <w:pPr>
              <w:pStyle w:val="Compact"/>
              <w:jc w:val="right"/>
            </w:pPr>
            <w:r>
              <w:t xml:space="preserve">0.0058</w:t>
            </w:r>
          </w:p>
        </w:tc>
      </w:tr>
      <w:tr>
        <w:tc>
          <w:tcPr/>
          <w:p>
            <w:pPr>
              <w:pStyle w:val="Compact"/>
              <w:jc w:val="right"/>
            </w:pPr>
            <w:r>
              <w:t xml:space="preserve">0.050</w:t>
            </w:r>
          </w:p>
        </w:tc>
        <w:tc>
          <w:tcPr/>
          <w:p>
            <w:pPr>
              <w:pStyle w:val="Compact"/>
              <w:jc w:val="left"/>
            </w:pPr>
            <w:r>
              <w:t xml:space="preserve">Equal (primary)</w:t>
            </w:r>
          </w:p>
        </w:tc>
        <w:tc>
          <w:tcPr/>
          <w:p>
            <w:pPr>
              <w:pStyle w:val="Compact"/>
              <w:jc w:val="right"/>
            </w:pPr>
            <w:r>
              <w:t xml:space="preserve">6</w:t>
            </w:r>
          </w:p>
        </w:tc>
        <w:tc>
          <w:tcPr/>
          <w:p>
            <w:pPr>
              <w:pStyle w:val="Compact"/>
              <w:jc w:val="right"/>
            </w:pPr>
            <w:r>
              <w:t xml:space="preserve">2000</w:t>
            </w:r>
          </w:p>
        </w:tc>
        <w:tc>
          <w:tcPr/>
          <w:p>
            <w:pPr>
              <w:pStyle w:val="Compact"/>
              <w:jc w:val="right"/>
            </w:pPr>
            <w:r>
              <w:t xml:space="preserve">0.0900</w:t>
            </w:r>
          </w:p>
        </w:tc>
        <w:tc>
          <w:tcPr/>
          <w:p>
            <w:pPr>
              <w:pStyle w:val="Compact"/>
              <w:jc w:val="right"/>
            </w:pPr>
            <w:r>
              <w:t xml:space="preserve">0.0064</w:t>
            </w:r>
          </w:p>
        </w:tc>
      </w:tr>
      <w:tr>
        <w:tc>
          <w:tcPr/>
          <w:p>
            <w:pPr>
              <w:pStyle w:val="Compact"/>
              <w:jc w:val="right"/>
            </w:pPr>
            <w:r>
              <w:t xml:space="preserve">0.075</w:t>
            </w:r>
          </w:p>
        </w:tc>
        <w:tc>
          <w:tcPr/>
          <w:p>
            <w:pPr>
              <w:pStyle w:val="Compact"/>
              <w:jc w:val="left"/>
            </w:pPr>
            <w:r>
              <w:t xml:space="preserve">Equal (primary)</w:t>
            </w:r>
          </w:p>
        </w:tc>
        <w:tc>
          <w:tcPr/>
          <w:p>
            <w:pPr>
              <w:pStyle w:val="Compact"/>
              <w:jc w:val="right"/>
            </w:pPr>
            <w:r>
              <w:t xml:space="preserve">6</w:t>
            </w:r>
          </w:p>
        </w:tc>
        <w:tc>
          <w:tcPr/>
          <w:p>
            <w:pPr>
              <w:pStyle w:val="Compact"/>
              <w:jc w:val="right"/>
            </w:pPr>
            <w:r>
              <w:t xml:space="preserve">2000</w:t>
            </w:r>
          </w:p>
        </w:tc>
        <w:tc>
          <w:tcPr/>
          <w:p>
            <w:pPr>
              <w:pStyle w:val="Compact"/>
              <w:jc w:val="right"/>
            </w:pPr>
            <w:r>
              <w:t xml:space="preserve">0.1330</w:t>
            </w:r>
          </w:p>
        </w:tc>
        <w:tc>
          <w:tcPr/>
          <w:p>
            <w:pPr>
              <w:pStyle w:val="Compact"/>
              <w:jc w:val="right"/>
            </w:pPr>
            <w:r>
              <w:t xml:space="preserve">0.0076</w:t>
            </w:r>
          </w:p>
        </w:tc>
      </w:tr>
      <w:tr>
        <w:tc>
          <w:tcPr/>
          <w:p>
            <w:pPr>
              <w:pStyle w:val="Compact"/>
              <w:jc w:val="right"/>
            </w:pPr>
            <w:r>
              <w:t xml:space="preserve">0.100</w:t>
            </w:r>
          </w:p>
        </w:tc>
        <w:tc>
          <w:tcPr/>
          <w:p>
            <w:pPr>
              <w:pStyle w:val="Compact"/>
              <w:jc w:val="left"/>
            </w:pPr>
            <w:r>
              <w:t xml:space="preserve">Equal (primary)</w:t>
            </w:r>
          </w:p>
        </w:tc>
        <w:tc>
          <w:tcPr/>
          <w:p>
            <w:pPr>
              <w:pStyle w:val="Compact"/>
              <w:jc w:val="right"/>
            </w:pPr>
            <w:r>
              <w:t xml:space="preserve">6</w:t>
            </w:r>
          </w:p>
        </w:tc>
        <w:tc>
          <w:tcPr/>
          <w:p>
            <w:pPr>
              <w:pStyle w:val="Compact"/>
              <w:jc w:val="right"/>
            </w:pPr>
            <w:r>
              <w:t xml:space="preserve">2000</w:t>
            </w:r>
          </w:p>
        </w:tc>
        <w:tc>
          <w:tcPr/>
          <w:p>
            <w:pPr>
              <w:pStyle w:val="Compact"/>
              <w:jc w:val="right"/>
            </w:pPr>
            <w:r>
              <w:t xml:space="preserve">0.1890</w:t>
            </w:r>
          </w:p>
        </w:tc>
        <w:tc>
          <w:tcPr/>
          <w:p>
            <w:pPr>
              <w:pStyle w:val="Compact"/>
              <w:jc w:val="right"/>
            </w:pPr>
            <w:r>
              <w:t xml:space="preserve">0.0088</w:t>
            </w:r>
          </w:p>
        </w:tc>
      </w:tr>
      <w:tr>
        <w:tc>
          <w:tcPr/>
          <w:p>
            <w:pPr>
              <w:pStyle w:val="Compact"/>
              <w:jc w:val="right"/>
            </w:pPr>
            <w:r>
              <w:t xml:space="preserve">0.150</w:t>
            </w:r>
          </w:p>
        </w:tc>
        <w:tc>
          <w:tcPr/>
          <w:p>
            <w:pPr>
              <w:pStyle w:val="Compact"/>
              <w:jc w:val="left"/>
            </w:pPr>
            <w:r>
              <w:t xml:space="preserve">Equal (primary)</w:t>
            </w:r>
          </w:p>
        </w:tc>
        <w:tc>
          <w:tcPr/>
          <w:p>
            <w:pPr>
              <w:pStyle w:val="Compact"/>
              <w:jc w:val="right"/>
            </w:pPr>
            <w:r>
              <w:t xml:space="preserve">6</w:t>
            </w:r>
          </w:p>
        </w:tc>
        <w:tc>
          <w:tcPr/>
          <w:p>
            <w:pPr>
              <w:pStyle w:val="Compact"/>
              <w:jc w:val="right"/>
            </w:pPr>
            <w:r>
              <w:t xml:space="preserve">2000</w:t>
            </w:r>
          </w:p>
        </w:tc>
        <w:tc>
          <w:tcPr/>
          <w:p>
            <w:pPr>
              <w:pStyle w:val="Compact"/>
              <w:jc w:val="right"/>
            </w:pPr>
            <w:r>
              <w:t xml:space="preserve">0.3690</w:t>
            </w:r>
          </w:p>
        </w:tc>
        <w:tc>
          <w:tcPr/>
          <w:p>
            <w:pPr>
              <w:pStyle w:val="Compact"/>
              <w:jc w:val="right"/>
            </w:pPr>
            <w:r>
              <w:t xml:space="preserve">0.0108</w:t>
            </w:r>
          </w:p>
        </w:tc>
      </w:tr>
      <w:tr>
        <w:tc>
          <w:tcPr/>
          <w:p>
            <w:pPr>
              <w:pStyle w:val="Compact"/>
              <w:jc w:val="right"/>
            </w:pPr>
            <w:r>
              <w:t xml:space="preserve">0.200</w:t>
            </w:r>
          </w:p>
        </w:tc>
        <w:tc>
          <w:tcPr/>
          <w:p>
            <w:pPr>
              <w:pStyle w:val="Compact"/>
              <w:jc w:val="left"/>
            </w:pPr>
            <w:r>
              <w:t xml:space="preserve">Equal (primary)</w:t>
            </w:r>
          </w:p>
        </w:tc>
        <w:tc>
          <w:tcPr/>
          <w:p>
            <w:pPr>
              <w:pStyle w:val="Compact"/>
              <w:jc w:val="right"/>
            </w:pPr>
            <w:r>
              <w:t xml:space="preserve">6</w:t>
            </w:r>
          </w:p>
        </w:tc>
        <w:tc>
          <w:tcPr/>
          <w:p>
            <w:pPr>
              <w:pStyle w:val="Compact"/>
              <w:jc w:val="right"/>
            </w:pPr>
            <w:r>
              <w:t xml:space="preserve">2000</w:t>
            </w:r>
          </w:p>
        </w:tc>
        <w:tc>
          <w:tcPr/>
          <w:p>
            <w:pPr>
              <w:pStyle w:val="Compact"/>
              <w:jc w:val="right"/>
            </w:pPr>
            <w:r>
              <w:t xml:space="preserve">0.5715</w:t>
            </w:r>
          </w:p>
        </w:tc>
        <w:tc>
          <w:tcPr/>
          <w:p>
            <w:pPr>
              <w:pStyle w:val="Compact"/>
              <w:jc w:val="right"/>
            </w:pPr>
            <w:r>
              <w:t xml:space="preserve">0.0111</w:t>
            </w:r>
          </w:p>
        </w:tc>
      </w:tr>
      <w:tr>
        <w:tc>
          <w:tcPr/>
          <w:p>
            <w:pPr>
              <w:pStyle w:val="Compact"/>
              <w:jc w:val="right"/>
            </w:pPr>
            <w:r>
              <w:t xml:space="preserve">-0.200</w:t>
            </w:r>
          </w:p>
        </w:tc>
        <w:tc>
          <w:tcPr/>
          <w:p>
            <w:pPr>
              <w:pStyle w:val="Compact"/>
              <w:jc w:val="left"/>
            </w:pPr>
            <w:r>
              <w:t xml:space="preserve">Front-loaded (sensitivity)</w:t>
            </w:r>
          </w:p>
        </w:tc>
        <w:tc>
          <w:tcPr/>
          <w:p>
            <w:pPr>
              <w:pStyle w:val="Compact"/>
              <w:jc w:val="right"/>
            </w:pPr>
            <w:r>
              <w:t xml:space="preserve">6</w:t>
            </w:r>
          </w:p>
        </w:tc>
        <w:tc>
          <w:tcPr/>
          <w:p>
            <w:pPr>
              <w:pStyle w:val="Compact"/>
              <w:jc w:val="right"/>
            </w:pPr>
            <w:r>
              <w:t xml:space="preserve">1000</w:t>
            </w:r>
          </w:p>
        </w:tc>
        <w:tc>
          <w:tcPr/>
          <w:p>
            <w:pPr>
              <w:pStyle w:val="Compact"/>
              <w:jc w:val="right"/>
            </w:pPr>
            <w:r>
              <w:t xml:space="preserve">0.6610</w:t>
            </w:r>
          </w:p>
        </w:tc>
        <w:tc>
          <w:tcPr/>
          <w:p>
            <w:pPr>
              <w:pStyle w:val="Compact"/>
              <w:jc w:val="right"/>
            </w:pPr>
            <w:r>
              <w:t xml:space="preserve">0.0150</w:t>
            </w:r>
          </w:p>
        </w:tc>
      </w:tr>
      <w:tr>
        <w:tc>
          <w:tcPr/>
          <w:p>
            <w:pPr>
              <w:pStyle w:val="Compact"/>
              <w:jc w:val="right"/>
            </w:pPr>
            <w:r>
              <w:t xml:space="preserve">-0.150</w:t>
            </w:r>
          </w:p>
        </w:tc>
        <w:tc>
          <w:tcPr/>
          <w:p>
            <w:pPr>
              <w:pStyle w:val="Compact"/>
              <w:jc w:val="left"/>
            </w:pPr>
            <w:r>
              <w:t xml:space="preserve">Front-loaded (sensitivity)</w:t>
            </w:r>
          </w:p>
        </w:tc>
        <w:tc>
          <w:tcPr/>
          <w:p>
            <w:pPr>
              <w:pStyle w:val="Compact"/>
              <w:jc w:val="right"/>
            </w:pPr>
            <w:r>
              <w:t xml:space="preserve">6</w:t>
            </w:r>
          </w:p>
        </w:tc>
        <w:tc>
          <w:tcPr/>
          <w:p>
            <w:pPr>
              <w:pStyle w:val="Compact"/>
              <w:jc w:val="right"/>
            </w:pPr>
            <w:r>
              <w:t xml:space="preserve">1000</w:t>
            </w:r>
          </w:p>
        </w:tc>
        <w:tc>
          <w:tcPr/>
          <w:p>
            <w:pPr>
              <w:pStyle w:val="Compact"/>
              <w:jc w:val="right"/>
            </w:pPr>
            <w:r>
              <w:t xml:space="preserve">0.4570</w:t>
            </w:r>
          </w:p>
        </w:tc>
        <w:tc>
          <w:tcPr/>
          <w:p>
            <w:pPr>
              <w:pStyle w:val="Compact"/>
              <w:jc w:val="right"/>
            </w:pPr>
            <w:r>
              <w:t xml:space="preserve">0.0158</w:t>
            </w:r>
          </w:p>
        </w:tc>
      </w:tr>
      <w:tr>
        <w:tc>
          <w:tcPr/>
          <w:p>
            <w:pPr>
              <w:pStyle w:val="Compact"/>
              <w:jc w:val="right"/>
            </w:pPr>
            <w:r>
              <w:t xml:space="preserve">-0.100</w:t>
            </w:r>
          </w:p>
        </w:tc>
        <w:tc>
          <w:tcPr/>
          <w:p>
            <w:pPr>
              <w:pStyle w:val="Compact"/>
              <w:jc w:val="left"/>
            </w:pPr>
            <w:r>
              <w:t xml:space="preserve">Front-loaded (sensitivity)</w:t>
            </w:r>
          </w:p>
        </w:tc>
        <w:tc>
          <w:tcPr/>
          <w:p>
            <w:pPr>
              <w:pStyle w:val="Compact"/>
              <w:jc w:val="right"/>
            </w:pPr>
            <w:r>
              <w:t xml:space="preserve">6</w:t>
            </w:r>
          </w:p>
        </w:tc>
        <w:tc>
          <w:tcPr/>
          <w:p>
            <w:pPr>
              <w:pStyle w:val="Compact"/>
              <w:jc w:val="right"/>
            </w:pPr>
            <w:r>
              <w:t xml:space="preserve">1000</w:t>
            </w:r>
          </w:p>
        </w:tc>
        <w:tc>
          <w:tcPr/>
          <w:p>
            <w:pPr>
              <w:pStyle w:val="Compact"/>
              <w:jc w:val="right"/>
            </w:pPr>
            <w:r>
              <w:t xml:space="preserve">0.2450</w:t>
            </w:r>
          </w:p>
        </w:tc>
        <w:tc>
          <w:tcPr/>
          <w:p>
            <w:pPr>
              <w:pStyle w:val="Compact"/>
              <w:jc w:val="right"/>
            </w:pPr>
            <w:r>
              <w:t xml:space="preserve">0.0136</w:t>
            </w:r>
          </w:p>
        </w:tc>
      </w:tr>
      <w:tr>
        <w:tc>
          <w:tcPr/>
          <w:p>
            <w:pPr>
              <w:pStyle w:val="Compact"/>
              <w:jc w:val="right"/>
            </w:pPr>
            <w:r>
              <w:t xml:space="preserve">-0.075</w:t>
            </w:r>
          </w:p>
        </w:tc>
        <w:tc>
          <w:tcPr/>
          <w:p>
            <w:pPr>
              <w:pStyle w:val="Compact"/>
              <w:jc w:val="left"/>
            </w:pPr>
            <w:r>
              <w:t xml:space="preserve">Front-loaded (sensitivity)</w:t>
            </w:r>
          </w:p>
        </w:tc>
        <w:tc>
          <w:tcPr/>
          <w:p>
            <w:pPr>
              <w:pStyle w:val="Compact"/>
              <w:jc w:val="right"/>
            </w:pPr>
            <w:r>
              <w:t xml:space="preserve">6</w:t>
            </w:r>
          </w:p>
        </w:tc>
        <w:tc>
          <w:tcPr/>
          <w:p>
            <w:pPr>
              <w:pStyle w:val="Compact"/>
              <w:jc w:val="right"/>
            </w:pPr>
            <w:r>
              <w:t xml:space="preserve">1000</w:t>
            </w:r>
          </w:p>
        </w:tc>
        <w:tc>
          <w:tcPr/>
          <w:p>
            <w:pPr>
              <w:pStyle w:val="Compact"/>
              <w:jc w:val="right"/>
            </w:pPr>
            <w:r>
              <w:t xml:space="preserve">0.1600</w:t>
            </w:r>
          </w:p>
        </w:tc>
        <w:tc>
          <w:tcPr/>
          <w:p>
            <w:pPr>
              <w:pStyle w:val="Compact"/>
              <w:jc w:val="right"/>
            </w:pPr>
            <w:r>
              <w:t xml:space="preserve">0.0116</w:t>
            </w:r>
          </w:p>
        </w:tc>
      </w:tr>
      <w:tr>
        <w:tc>
          <w:tcPr/>
          <w:p>
            <w:pPr>
              <w:pStyle w:val="Compact"/>
              <w:jc w:val="right"/>
            </w:pPr>
            <w:r>
              <w:t xml:space="preserve">-0.050</w:t>
            </w:r>
          </w:p>
        </w:tc>
        <w:tc>
          <w:tcPr/>
          <w:p>
            <w:pPr>
              <w:pStyle w:val="Compact"/>
              <w:jc w:val="left"/>
            </w:pPr>
            <w:r>
              <w:t xml:space="preserve">Front-loaded (sensitivity)</w:t>
            </w:r>
          </w:p>
        </w:tc>
        <w:tc>
          <w:tcPr/>
          <w:p>
            <w:pPr>
              <w:pStyle w:val="Compact"/>
              <w:jc w:val="right"/>
            </w:pPr>
            <w:r>
              <w:t xml:space="preserve">6</w:t>
            </w:r>
          </w:p>
        </w:tc>
        <w:tc>
          <w:tcPr/>
          <w:p>
            <w:pPr>
              <w:pStyle w:val="Compact"/>
              <w:jc w:val="right"/>
            </w:pPr>
            <w:r>
              <w:t xml:space="preserve">1000</w:t>
            </w:r>
          </w:p>
        </w:tc>
        <w:tc>
          <w:tcPr/>
          <w:p>
            <w:pPr>
              <w:pStyle w:val="Compact"/>
              <w:jc w:val="right"/>
            </w:pPr>
            <w:r>
              <w:t xml:space="preserve">0.0990</w:t>
            </w:r>
          </w:p>
        </w:tc>
        <w:tc>
          <w:tcPr/>
          <w:p>
            <w:pPr>
              <w:pStyle w:val="Compact"/>
              <w:jc w:val="right"/>
            </w:pPr>
            <w:r>
              <w:t xml:space="preserve">0.0094</w:t>
            </w:r>
          </w:p>
        </w:tc>
      </w:tr>
      <w:tr>
        <w:tc>
          <w:tcPr/>
          <w:p>
            <w:pPr>
              <w:pStyle w:val="Compact"/>
              <w:jc w:val="right"/>
            </w:pPr>
            <w:r>
              <w:t xml:space="preserve">-0.025</w:t>
            </w:r>
          </w:p>
        </w:tc>
        <w:tc>
          <w:tcPr/>
          <w:p>
            <w:pPr>
              <w:pStyle w:val="Compact"/>
              <w:jc w:val="left"/>
            </w:pPr>
            <w:r>
              <w:t xml:space="preserve">Front-loaded (sensitivity)</w:t>
            </w:r>
          </w:p>
        </w:tc>
        <w:tc>
          <w:tcPr/>
          <w:p>
            <w:pPr>
              <w:pStyle w:val="Compact"/>
              <w:jc w:val="right"/>
            </w:pPr>
            <w:r>
              <w:t xml:space="preserve">6</w:t>
            </w:r>
          </w:p>
        </w:tc>
        <w:tc>
          <w:tcPr/>
          <w:p>
            <w:pPr>
              <w:pStyle w:val="Compact"/>
              <w:jc w:val="right"/>
            </w:pPr>
            <w:r>
              <w:t xml:space="preserve">1000</w:t>
            </w:r>
          </w:p>
        </w:tc>
        <w:tc>
          <w:tcPr/>
          <w:p>
            <w:pPr>
              <w:pStyle w:val="Compact"/>
              <w:jc w:val="right"/>
            </w:pPr>
            <w:r>
              <w:t xml:space="preserve">0.0610</w:t>
            </w:r>
          </w:p>
        </w:tc>
        <w:tc>
          <w:tcPr/>
          <w:p>
            <w:pPr>
              <w:pStyle w:val="Compact"/>
              <w:jc w:val="right"/>
            </w:pPr>
            <w:r>
              <w:t xml:space="preserve">0.0076</w:t>
            </w:r>
          </w:p>
        </w:tc>
      </w:tr>
      <w:tr>
        <w:tc>
          <w:tcPr/>
          <w:p>
            <w:pPr>
              <w:pStyle w:val="Compact"/>
              <w:jc w:val="right"/>
            </w:pPr>
            <w:r>
              <w:t xml:space="preserve">0.000</w:t>
            </w:r>
          </w:p>
        </w:tc>
        <w:tc>
          <w:tcPr/>
          <w:p>
            <w:pPr>
              <w:pStyle w:val="Compact"/>
              <w:jc w:val="left"/>
            </w:pPr>
            <w:r>
              <w:t xml:space="preserve">Front-loaded (sensitivity)</w:t>
            </w:r>
          </w:p>
        </w:tc>
        <w:tc>
          <w:tcPr/>
          <w:p>
            <w:pPr>
              <w:pStyle w:val="Compact"/>
              <w:jc w:val="right"/>
            </w:pPr>
            <w:r>
              <w:t xml:space="preserve">6</w:t>
            </w:r>
          </w:p>
        </w:tc>
        <w:tc>
          <w:tcPr/>
          <w:p>
            <w:pPr>
              <w:pStyle w:val="Compact"/>
              <w:jc w:val="right"/>
            </w:pPr>
            <w:r>
              <w:t xml:space="preserve">1000</w:t>
            </w:r>
          </w:p>
        </w:tc>
        <w:tc>
          <w:tcPr/>
          <w:p>
            <w:pPr>
              <w:pStyle w:val="Compact"/>
              <w:jc w:val="right"/>
            </w:pPr>
            <w:r>
              <w:t xml:space="preserve">0.0550</w:t>
            </w:r>
          </w:p>
        </w:tc>
        <w:tc>
          <w:tcPr/>
          <w:p>
            <w:pPr>
              <w:pStyle w:val="Compact"/>
              <w:jc w:val="right"/>
            </w:pPr>
            <w:r>
              <w:t xml:space="preserve">0.0072</w:t>
            </w:r>
          </w:p>
        </w:tc>
      </w:tr>
      <w:tr>
        <w:tc>
          <w:tcPr/>
          <w:p>
            <w:pPr>
              <w:pStyle w:val="Compact"/>
              <w:jc w:val="right"/>
            </w:pPr>
            <w:r>
              <w:t xml:space="preserve">0.025</w:t>
            </w:r>
          </w:p>
        </w:tc>
        <w:tc>
          <w:tcPr/>
          <w:p>
            <w:pPr>
              <w:pStyle w:val="Compact"/>
              <w:jc w:val="left"/>
            </w:pPr>
            <w:r>
              <w:t xml:space="preserve">Front-loaded (sensitivity)</w:t>
            </w:r>
          </w:p>
        </w:tc>
        <w:tc>
          <w:tcPr/>
          <w:p>
            <w:pPr>
              <w:pStyle w:val="Compact"/>
              <w:jc w:val="right"/>
            </w:pPr>
            <w:r>
              <w:t xml:space="preserve">6</w:t>
            </w:r>
          </w:p>
        </w:tc>
        <w:tc>
          <w:tcPr/>
          <w:p>
            <w:pPr>
              <w:pStyle w:val="Compact"/>
              <w:jc w:val="right"/>
            </w:pPr>
            <w:r>
              <w:t xml:space="preserve">1000</w:t>
            </w:r>
          </w:p>
        </w:tc>
        <w:tc>
          <w:tcPr/>
          <w:p>
            <w:pPr>
              <w:pStyle w:val="Compact"/>
              <w:jc w:val="right"/>
            </w:pPr>
            <w:r>
              <w:t xml:space="preserve">0.0660</w:t>
            </w:r>
          </w:p>
        </w:tc>
        <w:tc>
          <w:tcPr/>
          <w:p>
            <w:pPr>
              <w:pStyle w:val="Compact"/>
              <w:jc w:val="right"/>
            </w:pPr>
            <w:r>
              <w:t xml:space="preserve">0.0079</w:t>
            </w:r>
          </w:p>
        </w:tc>
      </w:tr>
      <w:tr>
        <w:tc>
          <w:tcPr/>
          <w:p>
            <w:pPr>
              <w:pStyle w:val="Compact"/>
              <w:jc w:val="right"/>
            </w:pPr>
            <w:r>
              <w:t xml:space="preserve">0.050</w:t>
            </w:r>
          </w:p>
        </w:tc>
        <w:tc>
          <w:tcPr/>
          <w:p>
            <w:pPr>
              <w:pStyle w:val="Compact"/>
              <w:jc w:val="left"/>
            </w:pPr>
            <w:r>
              <w:t xml:space="preserve">Front-loaded (sensitivity)</w:t>
            </w:r>
          </w:p>
        </w:tc>
        <w:tc>
          <w:tcPr/>
          <w:p>
            <w:pPr>
              <w:pStyle w:val="Compact"/>
              <w:jc w:val="right"/>
            </w:pPr>
            <w:r>
              <w:t xml:space="preserve">6</w:t>
            </w:r>
          </w:p>
        </w:tc>
        <w:tc>
          <w:tcPr/>
          <w:p>
            <w:pPr>
              <w:pStyle w:val="Compact"/>
              <w:jc w:val="right"/>
            </w:pPr>
            <w:r>
              <w:t xml:space="preserve">1000</w:t>
            </w:r>
          </w:p>
        </w:tc>
        <w:tc>
          <w:tcPr/>
          <w:p>
            <w:pPr>
              <w:pStyle w:val="Compact"/>
              <w:jc w:val="right"/>
            </w:pPr>
            <w:r>
              <w:t xml:space="preserve">0.1170</w:t>
            </w:r>
          </w:p>
        </w:tc>
        <w:tc>
          <w:tcPr/>
          <w:p>
            <w:pPr>
              <w:pStyle w:val="Compact"/>
              <w:jc w:val="right"/>
            </w:pPr>
            <w:r>
              <w:t xml:space="preserve">0.0102</w:t>
            </w:r>
          </w:p>
        </w:tc>
      </w:tr>
      <w:tr>
        <w:tc>
          <w:tcPr/>
          <w:p>
            <w:pPr>
              <w:pStyle w:val="Compact"/>
              <w:jc w:val="right"/>
            </w:pPr>
            <w:r>
              <w:t xml:space="preserve">0.075</w:t>
            </w:r>
          </w:p>
        </w:tc>
        <w:tc>
          <w:tcPr/>
          <w:p>
            <w:pPr>
              <w:pStyle w:val="Compact"/>
              <w:jc w:val="left"/>
            </w:pPr>
            <w:r>
              <w:t xml:space="preserve">Front-loaded (sensitivity)</w:t>
            </w:r>
          </w:p>
        </w:tc>
        <w:tc>
          <w:tcPr/>
          <w:p>
            <w:pPr>
              <w:pStyle w:val="Compact"/>
              <w:jc w:val="right"/>
            </w:pPr>
            <w:r>
              <w:t xml:space="preserve">6</w:t>
            </w:r>
          </w:p>
        </w:tc>
        <w:tc>
          <w:tcPr/>
          <w:p>
            <w:pPr>
              <w:pStyle w:val="Compact"/>
              <w:jc w:val="right"/>
            </w:pPr>
            <w:r>
              <w:t xml:space="preserve">1000</w:t>
            </w:r>
          </w:p>
        </w:tc>
        <w:tc>
          <w:tcPr/>
          <w:p>
            <w:pPr>
              <w:pStyle w:val="Compact"/>
              <w:jc w:val="right"/>
            </w:pPr>
            <w:r>
              <w:t xml:space="preserve">0.1510</w:t>
            </w:r>
          </w:p>
        </w:tc>
        <w:tc>
          <w:tcPr/>
          <w:p>
            <w:pPr>
              <w:pStyle w:val="Compact"/>
              <w:jc w:val="right"/>
            </w:pPr>
            <w:r>
              <w:t xml:space="preserve">0.0113</w:t>
            </w:r>
          </w:p>
        </w:tc>
      </w:tr>
      <w:tr>
        <w:tc>
          <w:tcPr/>
          <w:p>
            <w:pPr>
              <w:pStyle w:val="Compact"/>
              <w:jc w:val="right"/>
            </w:pPr>
            <w:r>
              <w:t xml:space="preserve">0.100</w:t>
            </w:r>
          </w:p>
        </w:tc>
        <w:tc>
          <w:tcPr/>
          <w:p>
            <w:pPr>
              <w:pStyle w:val="Compact"/>
              <w:jc w:val="left"/>
            </w:pPr>
            <w:r>
              <w:t xml:space="preserve">Front-loaded (sensitivity)</w:t>
            </w:r>
          </w:p>
        </w:tc>
        <w:tc>
          <w:tcPr/>
          <w:p>
            <w:pPr>
              <w:pStyle w:val="Compact"/>
              <w:jc w:val="right"/>
            </w:pPr>
            <w:r>
              <w:t xml:space="preserve">6</w:t>
            </w:r>
          </w:p>
        </w:tc>
        <w:tc>
          <w:tcPr/>
          <w:p>
            <w:pPr>
              <w:pStyle w:val="Compact"/>
              <w:jc w:val="right"/>
            </w:pPr>
            <w:r>
              <w:t xml:space="preserve">1000</w:t>
            </w:r>
          </w:p>
        </w:tc>
        <w:tc>
          <w:tcPr/>
          <w:p>
            <w:pPr>
              <w:pStyle w:val="Compact"/>
              <w:jc w:val="right"/>
            </w:pPr>
            <w:r>
              <w:t xml:space="preserve">0.2660</w:t>
            </w:r>
          </w:p>
        </w:tc>
        <w:tc>
          <w:tcPr/>
          <w:p>
            <w:pPr>
              <w:pStyle w:val="Compact"/>
              <w:jc w:val="right"/>
            </w:pPr>
            <w:r>
              <w:t xml:space="preserve">0.0140</w:t>
            </w:r>
          </w:p>
        </w:tc>
      </w:tr>
      <w:tr>
        <w:tc>
          <w:tcPr/>
          <w:p>
            <w:pPr>
              <w:pStyle w:val="Compact"/>
              <w:jc w:val="right"/>
            </w:pPr>
            <w:r>
              <w:t xml:space="preserve">0.150</w:t>
            </w:r>
          </w:p>
        </w:tc>
        <w:tc>
          <w:tcPr/>
          <w:p>
            <w:pPr>
              <w:pStyle w:val="Compact"/>
              <w:jc w:val="left"/>
            </w:pPr>
            <w:r>
              <w:t xml:space="preserve">Front-loaded (sensitivity)</w:t>
            </w:r>
          </w:p>
        </w:tc>
        <w:tc>
          <w:tcPr/>
          <w:p>
            <w:pPr>
              <w:pStyle w:val="Compact"/>
              <w:jc w:val="right"/>
            </w:pPr>
            <w:r>
              <w:t xml:space="preserve">6</w:t>
            </w:r>
          </w:p>
        </w:tc>
        <w:tc>
          <w:tcPr/>
          <w:p>
            <w:pPr>
              <w:pStyle w:val="Compact"/>
              <w:jc w:val="right"/>
            </w:pPr>
            <w:r>
              <w:t xml:space="preserve">1000</w:t>
            </w:r>
          </w:p>
        </w:tc>
        <w:tc>
          <w:tcPr/>
          <w:p>
            <w:pPr>
              <w:pStyle w:val="Compact"/>
              <w:jc w:val="right"/>
            </w:pPr>
            <w:r>
              <w:t xml:space="preserve">0.4670</w:t>
            </w:r>
          </w:p>
        </w:tc>
        <w:tc>
          <w:tcPr/>
          <w:p>
            <w:pPr>
              <w:pStyle w:val="Compact"/>
              <w:jc w:val="right"/>
            </w:pPr>
            <w:r>
              <w:t xml:space="preserve">0.0158</w:t>
            </w:r>
          </w:p>
        </w:tc>
      </w:tr>
      <w:tr>
        <w:tc>
          <w:tcPr/>
          <w:p>
            <w:pPr>
              <w:pStyle w:val="Compact"/>
              <w:jc w:val="right"/>
            </w:pPr>
            <w:r>
              <w:t xml:space="preserve">0.200</w:t>
            </w:r>
          </w:p>
        </w:tc>
        <w:tc>
          <w:tcPr/>
          <w:p>
            <w:pPr>
              <w:pStyle w:val="Compact"/>
              <w:jc w:val="left"/>
            </w:pPr>
            <w:r>
              <w:t xml:space="preserve">Front-loaded (sensitivity)</w:t>
            </w:r>
          </w:p>
        </w:tc>
        <w:tc>
          <w:tcPr/>
          <w:p>
            <w:pPr>
              <w:pStyle w:val="Compact"/>
              <w:jc w:val="right"/>
            </w:pPr>
            <w:r>
              <w:t xml:space="preserve">6</w:t>
            </w:r>
          </w:p>
        </w:tc>
        <w:tc>
          <w:tcPr/>
          <w:p>
            <w:pPr>
              <w:pStyle w:val="Compact"/>
              <w:jc w:val="right"/>
            </w:pPr>
            <w:r>
              <w:t xml:space="preserve">1000</w:t>
            </w:r>
          </w:p>
        </w:tc>
        <w:tc>
          <w:tcPr/>
          <w:p>
            <w:pPr>
              <w:pStyle w:val="Compact"/>
              <w:jc w:val="right"/>
            </w:pPr>
            <w:r>
              <w:t xml:space="preserve">0.6670</w:t>
            </w:r>
          </w:p>
        </w:tc>
        <w:tc>
          <w:tcPr/>
          <w:p>
            <w:pPr>
              <w:pStyle w:val="Compact"/>
              <w:jc w:val="right"/>
            </w:pPr>
            <w:r>
              <w:t xml:space="preserve">0.0149</w:t>
            </w:r>
          </w:p>
        </w:tc>
      </w:tr>
      <w:tr>
        <w:tc>
          <w:tcPr/>
          <w:p>
            <w:pPr>
              <w:pStyle w:val="Compact"/>
              <w:jc w:val="right"/>
            </w:pPr>
            <w:r>
              <w:t xml:space="preserve">-0.200</w:t>
            </w:r>
          </w:p>
        </w:tc>
        <w:tc>
          <w:tcPr/>
          <w:p>
            <w:pPr>
              <w:pStyle w:val="Compact"/>
              <w:jc w:val="left"/>
            </w:pPr>
            <w:r>
              <w:t xml:space="preserve">Equal (block-length sensitivity)</w:t>
            </w:r>
          </w:p>
        </w:tc>
        <w:tc>
          <w:tcPr/>
          <w:p>
            <w:pPr>
              <w:pStyle w:val="Compact"/>
              <w:jc w:val="right"/>
            </w:pPr>
            <w:r>
              <w:t xml:space="preserve">12</w:t>
            </w:r>
          </w:p>
        </w:tc>
        <w:tc>
          <w:tcPr/>
          <w:p>
            <w:pPr>
              <w:pStyle w:val="Compact"/>
              <w:jc w:val="right"/>
            </w:pPr>
            <w:r>
              <w:t xml:space="preserve">500</w:t>
            </w:r>
          </w:p>
        </w:tc>
        <w:tc>
          <w:tcPr/>
          <w:p>
            <w:pPr>
              <w:pStyle w:val="Compact"/>
              <w:jc w:val="right"/>
            </w:pPr>
            <w:r>
              <w:t xml:space="preserve">0.5780</w:t>
            </w:r>
          </w:p>
        </w:tc>
        <w:tc>
          <w:tcPr/>
          <w:p>
            <w:pPr>
              <w:pStyle w:val="Compact"/>
              <w:jc w:val="right"/>
            </w:pPr>
            <w:r>
              <w:t xml:space="preserve">0.0221</w:t>
            </w:r>
          </w:p>
        </w:tc>
      </w:tr>
      <w:tr>
        <w:tc>
          <w:tcPr/>
          <w:p>
            <w:pPr>
              <w:pStyle w:val="Compact"/>
              <w:jc w:val="right"/>
            </w:pPr>
            <w:r>
              <w:t xml:space="preserve">-0.100</w:t>
            </w:r>
          </w:p>
        </w:tc>
        <w:tc>
          <w:tcPr/>
          <w:p>
            <w:pPr>
              <w:pStyle w:val="Compact"/>
              <w:jc w:val="left"/>
            </w:pPr>
            <w:r>
              <w:t xml:space="preserve">Equal (block-length sensitivity)</w:t>
            </w:r>
          </w:p>
        </w:tc>
        <w:tc>
          <w:tcPr/>
          <w:p>
            <w:pPr>
              <w:pStyle w:val="Compact"/>
              <w:jc w:val="right"/>
            </w:pPr>
            <w:r>
              <w:t xml:space="preserve">12</w:t>
            </w:r>
          </w:p>
        </w:tc>
        <w:tc>
          <w:tcPr/>
          <w:p>
            <w:pPr>
              <w:pStyle w:val="Compact"/>
              <w:jc w:val="right"/>
            </w:pPr>
            <w:r>
              <w:t xml:space="preserve">500</w:t>
            </w:r>
          </w:p>
        </w:tc>
        <w:tc>
          <w:tcPr/>
          <w:p>
            <w:pPr>
              <w:pStyle w:val="Compact"/>
              <w:jc w:val="right"/>
            </w:pPr>
            <w:r>
              <w:t xml:space="preserve">0.1940</w:t>
            </w:r>
          </w:p>
        </w:tc>
        <w:tc>
          <w:tcPr/>
          <w:p>
            <w:pPr>
              <w:pStyle w:val="Compact"/>
              <w:jc w:val="right"/>
            </w:pPr>
            <w:r>
              <w:t xml:space="preserve">0.0177</w:t>
            </w:r>
          </w:p>
        </w:tc>
      </w:tr>
      <w:tr>
        <w:tc>
          <w:tcPr/>
          <w:p>
            <w:pPr>
              <w:pStyle w:val="Compact"/>
              <w:jc w:val="right"/>
            </w:pPr>
            <w:r>
              <w:t xml:space="preserve">0.000</w:t>
            </w:r>
          </w:p>
        </w:tc>
        <w:tc>
          <w:tcPr/>
          <w:p>
            <w:pPr>
              <w:pStyle w:val="Compact"/>
              <w:jc w:val="left"/>
            </w:pPr>
            <w:r>
              <w:t xml:space="preserve">Equal (block-length sensitivity)</w:t>
            </w:r>
          </w:p>
        </w:tc>
        <w:tc>
          <w:tcPr/>
          <w:p>
            <w:pPr>
              <w:pStyle w:val="Compact"/>
              <w:jc w:val="right"/>
            </w:pPr>
            <w:r>
              <w:t xml:space="preserve">12</w:t>
            </w:r>
          </w:p>
        </w:tc>
        <w:tc>
          <w:tcPr/>
          <w:p>
            <w:pPr>
              <w:pStyle w:val="Compact"/>
              <w:jc w:val="right"/>
            </w:pPr>
            <w:r>
              <w:t xml:space="preserve">500</w:t>
            </w:r>
          </w:p>
        </w:tc>
        <w:tc>
          <w:tcPr/>
          <w:p>
            <w:pPr>
              <w:pStyle w:val="Compact"/>
              <w:jc w:val="right"/>
            </w:pPr>
            <w:r>
              <w:t xml:space="preserve">0.0600</w:t>
            </w:r>
          </w:p>
        </w:tc>
        <w:tc>
          <w:tcPr/>
          <w:p>
            <w:pPr>
              <w:pStyle w:val="Compact"/>
              <w:jc w:val="right"/>
            </w:pPr>
            <w:r>
              <w:t xml:space="preserve">0.0106</w:t>
            </w:r>
          </w:p>
        </w:tc>
      </w:tr>
      <w:tr>
        <w:tc>
          <w:tcPr/>
          <w:p>
            <w:pPr>
              <w:pStyle w:val="Compact"/>
              <w:jc w:val="right"/>
            </w:pPr>
            <w:r>
              <w:t xml:space="preserve">0.100</w:t>
            </w:r>
          </w:p>
        </w:tc>
        <w:tc>
          <w:tcPr/>
          <w:p>
            <w:pPr>
              <w:pStyle w:val="Compact"/>
              <w:jc w:val="left"/>
            </w:pPr>
            <w:r>
              <w:t xml:space="preserve">Equal (block-length sensitivity)</w:t>
            </w:r>
          </w:p>
        </w:tc>
        <w:tc>
          <w:tcPr/>
          <w:p>
            <w:pPr>
              <w:pStyle w:val="Compact"/>
              <w:jc w:val="right"/>
            </w:pPr>
            <w:r>
              <w:t xml:space="preserve">12</w:t>
            </w:r>
          </w:p>
        </w:tc>
        <w:tc>
          <w:tcPr/>
          <w:p>
            <w:pPr>
              <w:pStyle w:val="Compact"/>
              <w:jc w:val="right"/>
            </w:pPr>
            <w:r>
              <w:t xml:space="preserve">500</w:t>
            </w:r>
          </w:p>
        </w:tc>
        <w:tc>
          <w:tcPr/>
          <w:p>
            <w:pPr>
              <w:pStyle w:val="Compact"/>
              <w:jc w:val="right"/>
            </w:pPr>
            <w:r>
              <w:t xml:space="preserve">0.1580</w:t>
            </w:r>
          </w:p>
        </w:tc>
        <w:tc>
          <w:tcPr/>
          <w:p>
            <w:pPr>
              <w:pStyle w:val="Compact"/>
              <w:jc w:val="right"/>
            </w:pPr>
            <w:r>
              <w:t xml:space="preserve">0.0163</w:t>
            </w:r>
          </w:p>
        </w:tc>
      </w:tr>
      <w:tr>
        <w:tc>
          <w:tcPr/>
          <w:p>
            <w:pPr>
              <w:pStyle w:val="Compact"/>
              <w:jc w:val="right"/>
            </w:pPr>
            <w:r>
              <w:t xml:space="preserve">0.200</w:t>
            </w:r>
          </w:p>
        </w:tc>
        <w:tc>
          <w:tcPr/>
          <w:p>
            <w:pPr>
              <w:pStyle w:val="Compact"/>
              <w:jc w:val="left"/>
            </w:pPr>
            <w:r>
              <w:t xml:space="preserve">Equal (block-length sensitivity)</w:t>
            </w:r>
          </w:p>
        </w:tc>
        <w:tc>
          <w:tcPr/>
          <w:p>
            <w:pPr>
              <w:pStyle w:val="Compact"/>
              <w:jc w:val="right"/>
            </w:pPr>
            <w:r>
              <w:t xml:space="preserve">12</w:t>
            </w:r>
          </w:p>
        </w:tc>
        <w:tc>
          <w:tcPr/>
          <w:p>
            <w:pPr>
              <w:pStyle w:val="Compact"/>
              <w:jc w:val="right"/>
            </w:pPr>
            <w:r>
              <w:t xml:space="preserve">500</w:t>
            </w:r>
          </w:p>
        </w:tc>
        <w:tc>
          <w:tcPr/>
          <w:p>
            <w:pPr>
              <w:pStyle w:val="Compact"/>
              <w:jc w:val="right"/>
            </w:pPr>
            <w:r>
              <w:t xml:space="preserve">0.5740</w:t>
            </w:r>
          </w:p>
        </w:tc>
        <w:tc>
          <w:tcPr/>
          <w:p>
            <w:pPr>
              <w:pStyle w:val="Compact"/>
              <w:jc w:val="right"/>
            </w:pPr>
            <w:r>
              <w:t xml:space="preserve">0.0221</w:t>
            </w:r>
          </w:p>
        </w:tc>
      </w:tr>
    </w:tbl>
    <w:bookmarkEnd w:id="99"/>
    <w:bookmarkStart w:id="100" w:name="mde-and-power-classification"/>
    <w:p>
      <w:pPr>
        <w:pStyle w:val="Heading3"/>
      </w:pPr>
      <w:r>
        <w:t xml:space="preserve">MDE and power classification</w:t>
      </w:r>
    </w:p>
    <w:p>
      <w:pPr>
        <w:pStyle w:val="TableCaption"/>
      </w:pPr>
      <w:r>
        <w:t xml:space="preserve">Table B4. Minimum-detectable-effect (MDE) summary.</w:t>
      </w:r>
    </w:p>
    <w:tbl>
      <w:tblPr>
        <w:tblStyle w:val="Table"/>
        <w:tblW w:type="pct" w:w="5000"/>
        <w:tblLayout w:type="fixed"/>
        <w:tblLook w:firstRow="1" w:lastRow="0" w:firstColumn="0" w:lastColumn="0" w:noHBand="0" w:noVBand="0" w:val="0020"/>
        <w:tblCaption w:val="Table B4. Minimum-detectable-effect (MDE) summary."/>
      </w:tblPr>
      <w:tblGrid>
        <w:gridCol w:w="7174"/>
        <w:gridCol w:w="745"/>
      </w:tblGrid>
      <w:tr>
        <w:trPr>
          <w:tblHeader w:val="on"/>
        </w:trPr>
        <w:tc>
          <w:tcPr/>
          <w:p>
            <w:pPr>
              <w:pStyle w:val="Compact"/>
              <w:jc w:val="left"/>
            </w:pPr>
            <w:r>
              <w:t xml:space="preserve">quantity</w:t>
            </w:r>
          </w:p>
        </w:tc>
        <w:tc>
          <w:tcPr/>
          <w:p>
            <w:pPr>
              <w:pStyle w:val="Compact"/>
              <w:jc w:val="right"/>
            </w:pPr>
            <w:r>
              <w:t xml:space="preserve">value</w:t>
            </w:r>
          </w:p>
        </w:tc>
      </w:tr>
      <w:tr>
        <w:tc>
          <w:tcPr/>
          <w:p>
            <w:pPr>
              <w:pStyle w:val="Compact"/>
              <w:jc w:val="left"/>
            </w:pPr>
            <w:r>
              <w:t xml:space="preserve">MDE_80 (simulated, primary curve)</w:t>
            </w:r>
          </w:p>
        </w:tc>
        <w:tc>
          <w:tcPr/>
          <w:p>
            <w:pPr>
              <w:pStyle w:val="Compact"/>
              <w:jc w:val="right"/>
            </w:pPr>
            <w:r>
              <w:t xml:space="preserve">NA</w:t>
            </w:r>
          </w:p>
        </w:tc>
      </w:tr>
      <w:tr>
        <w:tc>
          <w:tcPr/>
          <w:p>
            <w:pPr>
              <w:pStyle w:val="Compact"/>
              <w:jc w:val="left"/>
            </w:pPr>
            <w:r>
              <w:t xml:space="preserve">MDE_90 (simulated, primary curve)</w:t>
            </w:r>
          </w:p>
        </w:tc>
        <w:tc>
          <w:tcPr/>
          <w:p>
            <w:pPr>
              <w:pStyle w:val="Compact"/>
              <w:jc w:val="right"/>
            </w:pPr>
            <w:r>
              <w:t xml:space="preserve">NA</w:t>
            </w:r>
          </w:p>
        </w:tc>
      </w:tr>
      <w:tr>
        <w:tc>
          <w:tcPr/>
          <w:p>
            <w:pPr>
              <w:pStyle w:val="Compact"/>
              <w:jc w:val="left"/>
            </w:pPr>
            <w:r>
              <w:t xml:space="preserve">MDE_80 (analytic sanity check)</w:t>
            </w:r>
          </w:p>
        </w:tc>
        <w:tc>
          <w:tcPr/>
          <w:p>
            <w:pPr>
              <w:pStyle w:val="Compact"/>
              <w:jc w:val="right"/>
            </w:pPr>
            <w:r>
              <w:t xml:space="preserve">0.2402</w:t>
            </w:r>
          </w:p>
        </w:tc>
      </w:tr>
      <w:tr>
        <w:tc>
          <w:tcPr/>
          <w:p>
            <w:pPr>
              <w:pStyle w:val="Compact"/>
              <w:jc w:val="left"/>
            </w:pPr>
            <w:r>
              <w:t xml:space="preserve">MDE_90 (analytic sanity check)</w:t>
            </w:r>
          </w:p>
        </w:tc>
        <w:tc>
          <w:tcPr/>
          <w:p>
            <w:pPr>
              <w:pStyle w:val="Compact"/>
              <w:jc w:val="right"/>
            </w:pPr>
            <w:r>
              <w:t xml:space="preserve">0.2779</w:t>
            </w:r>
          </w:p>
        </w:tc>
      </w:tr>
      <w:tr>
        <w:tc>
          <w:tcPr/>
          <w:p>
            <w:pPr>
              <w:pStyle w:val="Compact"/>
              <w:jc w:val="left"/>
            </w:pPr>
            <w:r>
              <w:t xml:space="preserve">Max power achieved within the pre-specified grid (|Theta_3|&lt;=0.20)</w:t>
            </w:r>
          </w:p>
        </w:tc>
        <w:tc>
          <w:tcPr/>
          <w:p>
            <w:pPr>
              <w:pStyle w:val="Compact"/>
              <w:jc w:val="right"/>
            </w:pPr>
            <w:r>
              <w:t xml:space="preserve">0.5768</w:t>
            </w:r>
          </w:p>
        </w:tc>
      </w:tr>
      <w:tr>
        <w:tc>
          <w:tcPr/>
          <w:p>
            <w:pPr>
              <w:pStyle w:val="Compact"/>
              <w:jc w:val="left"/>
            </w:pPr>
            <w:r>
              <w:t xml:space="preserve">Observed Theta_3 estimate (Stage 18, locked)</w:t>
            </w:r>
          </w:p>
        </w:tc>
        <w:tc>
          <w:tcPr/>
          <w:p>
            <w:pPr>
              <w:pStyle w:val="Compact"/>
              <w:jc w:val="right"/>
            </w:pPr>
            <w:r>
              <w:t xml:space="preserve">-0.0098</w:t>
            </w:r>
          </w:p>
        </w:tc>
      </w:tr>
      <w:tr>
        <w:tc>
          <w:tcPr/>
          <w:p>
            <w:pPr>
              <w:pStyle w:val="Compact"/>
              <w:jc w:val="left"/>
            </w:pPr>
            <w:r>
              <w:t xml:space="preserve">Observed Theta_3 DK SE (Stage 18, locked)</w:t>
            </w:r>
          </w:p>
        </w:tc>
        <w:tc>
          <w:tcPr/>
          <w:p>
            <w:pPr>
              <w:pStyle w:val="Compact"/>
              <w:jc w:val="right"/>
            </w:pPr>
            <w:r>
              <w:t xml:space="preserve">0.0857</w:t>
            </w:r>
          </w:p>
        </w:tc>
      </w:tr>
    </w:tbl>
    <w:p>
      <w:pPr>
        <w:pStyle w:val="BodyText"/>
      </w:pPr>
      <w:r>
        <w:rPr>
          <w:b/>
          <w:bCs/>
        </w:rPr>
        <w:t xml:space="preserve">Power classification: P3: Low power even for moderate effects.</w:t>
      </w:r>
      <w:r>
        <w:t xml:space="preserve"> </w:t>
      </w:r>
      <w:r>
        <w:t xml:space="preserve">Estimated power never exceeds</w:t>
      </w:r>
      <w:r>
        <w:t xml:space="preserve"> </w:t>
      </w:r>
      <w:r>
        <w:t xml:space="preserve">57.7% anywhere within the pre-specified grid</w:t>
      </w:r>
      <w:r>
        <w:t xml:space="preserve"> </w:t>
      </w:r>
      <w:r>
        <w:t xml:space="preserve">(|Theta_3| up to 0.20, the largest magnitude tested); MDE_80 and MDE_90</w:t>
      </w:r>
      <w:r>
        <w:t xml:space="preserve"> </w:t>
      </w:r>
      <w:r>
        <w:t xml:space="preserve">were therefore not reached within the simulated range, and are NOT</w:t>
      </w:r>
      <w:r>
        <w:t xml:space="preserve"> </w:t>
      </w:r>
      <w:r>
        <w:t xml:space="preserve">extrapolated beyond it (extending the grid after seeing this would itself</w:t>
      </w:r>
      <w:r>
        <w:t xml:space="preserve"> </w:t>
      </w:r>
      <w:r>
        <w:t xml:space="preserve">be a form of specification search this analysis is designed to avoid). An</w:t>
      </w:r>
      <w:r>
        <w:t xml:space="preserve"> </w:t>
      </w:r>
      <w:r>
        <w:t xml:space="preserve">analytic single-parameter sanity check, using the LOCKED observed</w:t>
      </w:r>
      <w:r>
        <w:t xml:space="preserve"> </w:t>
      </w:r>
      <w:r>
        <w:t xml:space="preserve">Driscoll-Kraay standard error for the cumulative effect (Stage 18), gives</w:t>
      </w:r>
      <w:r>
        <w:t xml:space="preserve"> </w:t>
      </w:r>
      <w:r>
        <w:t xml:space="preserve">an approximate MDE_80 around 0.24 and MDE_90 around 0.28 – consistent</w:t>
      </w:r>
      <w:r>
        <w:t xml:space="preserve"> </w:t>
      </w:r>
      <w:r>
        <w:t xml:space="preserve">with, and corroborating, the simulation’s conclusion that the pre-specified</w:t>
      </w:r>
      <w:r>
        <w:t xml:space="preserve"> </w:t>
      </w:r>
      <w:r>
        <w:t xml:space="preserve">grid did not reach 80% power. This analytic figure is a sanity check only</w:t>
      </w:r>
      <w:r>
        <w:t xml:space="preserve"> </w:t>
      </w:r>
      <w:r>
        <w:t xml:space="preserve">and is not a substitute for the simulation result.</w:t>
      </w:r>
    </w:p>
    <w:bookmarkEnd w:id="100"/>
    <w:bookmarkStart w:id="101" w:name="X43e4a196af3d2858148e13adc89424f1da56ff4"/>
    <w:p>
      <w:pPr>
        <w:pStyle w:val="Heading3"/>
      </w:pPr>
      <w:r>
        <w:t xml:space="preserve">What this does, and does not, imply for the main-text finding</w:t>
      </w:r>
    </w:p>
    <w:p>
      <w:pPr>
        <w:pStyle w:val="Compact"/>
        <w:numPr>
          <w:ilvl w:val="0"/>
          <w:numId w:val="1003"/>
        </w:numPr>
      </w:pPr>
      <w:r>
        <w:rPr>
          <w:b/>
          <w:bCs/>
        </w:rPr>
        <w:t xml:space="preserve">Does not imply:</w:t>
      </w:r>
      <w:r>
        <w:t xml:space="preserve"> </w:t>
      </w:r>
      <w:r>
        <w:t xml:space="preserve">that the null/weak spatial result in the main text is</w:t>
      </w:r>
      <w:r>
        <w:t xml:space="preserve"> </w:t>
      </w:r>
      <w:r>
        <w:t xml:space="preserve">“strong”</w:t>
      </w:r>
      <w:r>
        <w:t xml:space="preserve"> </w:t>
      </w:r>
      <w:r>
        <w:t xml:space="preserve">evidence of zero spatial dependence – it is not automatically</w:t>
      </w:r>
      <w:r>
        <w:t xml:space="preserve"> </w:t>
      </w:r>
      <w:r>
        <w:t xml:space="preserve">treated as such.</w:t>
      </w:r>
    </w:p>
    <w:p>
      <w:pPr>
        <w:pStyle w:val="Compact"/>
        <w:numPr>
          <w:ilvl w:val="0"/>
          <w:numId w:val="1003"/>
        </w:numPr>
      </w:pPr>
      <w:r>
        <w:rPr>
          <w:b/>
          <w:bCs/>
        </w:rPr>
        <w:t xml:space="preserve">Does imply:</w:t>
      </w:r>
      <w:r>
        <w:t xml:space="preserve"> </w:t>
      </w:r>
      <w:r>
        <w:t xml:space="preserve">this design has limited power to detect small spatial</w:t>
      </w:r>
      <w:r>
        <w:t xml:space="preserve"> </w:t>
      </w:r>
      <w:r>
        <w:t xml:space="preserve">effects, and adequate-but-not-complete power for moderate-to-large ones</w:t>
      </w:r>
      <w:r>
        <w:t xml:space="preserve"> </w:t>
      </w:r>
      <w:r>
        <w:t xml:space="preserve">(the largest tested effect, |Theta_3|=0.20, was detected only</w:t>
      </w:r>
      <w:r>
        <w:t xml:space="preserve"> </w:t>
      </w:r>
      <w:r>
        <w:t xml:space="preserve">57.7% of the time). Small spatial effects</w:t>
      </w:r>
      <w:r>
        <w:t xml:space="preserve"> </w:t>
      </w:r>
      <w:r>
        <w:t xml:space="preserve">cannot be ruled out by this study.</w:t>
      </w:r>
    </w:p>
    <w:p>
      <w:pPr>
        <w:pStyle w:val="Compact"/>
        <w:numPr>
          <w:ilvl w:val="0"/>
          <w:numId w:val="1003"/>
        </w:numPr>
      </w:pPr>
      <w:r>
        <w:rPr>
          <w:b/>
          <w:bCs/>
        </w:rPr>
        <w:t xml:space="preserve">Does not imply:</w:t>
      </w:r>
      <w:r>
        <w:t xml:space="preserve"> </w:t>
      </w:r>
      <w:r>
        <w:t xml:space="preserve">that a larger true effect is likely – the analysis</w:t>
      </w:r>
      <w:r>
        <w:t xml:space="preserve"> </w:t>
      </w:r>
      <w:r>
        <w:t xml:space="preserve">says nothing about which true effect size is more probable, only what</w:t>
      </w:r>
      <w:r>
        <w:t xml:space="preserve"> </w:t>
      </w:r>
      <w:r>
        <w:t xml:space="preserve">this design could detect if one were present.</w:t>
      </w:r>
    </w:p>
    <w:bookmarkEnd w:id="101"/>
    <w:bookmarkStart w:id="102" w:name="limitations-of-this-power-analysis"/>
    <w:p>
      <w:pPr>
        <w:pStyle w:val="Heading3"/>
      </w:pPr>
      <w:r>
        <w:t xml:space="preserve">Limitations of this power analysis</w:t>
      </w:r>
    </w:p>
    <w:p>
      <w:pPr>
        <w:pStyle w:val="Compact"/>
        <w:numPr>
          <w:ilvl w:val="0"/>
          <w:numId w:val="1004"/>
        </w:numPr>
      </w:pPr>
      <w:r>
        <w:t xml:space="preserve">Fixed-regressor design (see above) rather than a fully recursive dynamic</w:t>
      </w:r>
      <w:r>
        <w:t xml:space="preserve"> </w:t>
      </w:r>
      <w:r>
        <w:t xml:space="preserve">re-simulation.</w:t>
      </w:r>
    </w:p>
    <w:p>
      <w:pPr>
        <w:pStyle w:val="Compact"/>
        <w:numPr>
          <w:ilvl w:val="0"/>
          <w:numId w:val="1004"/>
        </w:numPr>
      </w:pPr>
      <w:r>
        <w:t xml:space="preserve">Moving-block-bootstrap residuals approximate, but do not perfectly</w:t>
      </w:r>
      <w:r>
        <w:t xml:space="preserve"> </w:t>
      </w:r>
      <w:r>
        <w:t xml:space="preserve">reproduce, the true (unknown) dependence structure of the actual error</w:t>
      </w:r>
      <w:r>
        <w:t xml:space="preserve"> </w:t>
      </w:r>
      <w:r>
        <w:t xml:space="preserve">process.</w:t>
      </w:r>
    </w:p>
    <w:p>
      <w:pPr>
        <w:pStyle w:val="Compact"/>
        <w:numPr>
          <w:ilvl w:val="0"/>
          <w:numId w:val="1004"/>
        </w:numPr>
      </w:pPr>
      <w:r>
        <w:t xml:space="preserve">The DK-vs-WCB validation used a modest sample (100 replications x 3</w:t>
      </w:r>
      <w:r>
        <w:t xml:space="preserve"> </w:t>
      </w:r>
      <w:r>
        <w:t xml:space="preserve">effect sizes); Table B2 reports the associated Monte Carlo uncertainty.</w:t>
      </w:r>
    </w:p>
    <w:p>
      <w:pPr>
        <w:pStyle w:val="Compact"/>
        <w:numPr>
          <w:ilvl w:val="0"/>
          <w:numId w:val="1004"/>
        </w:numPr>
      </w:pPr>
      <w:r>
        <w:t xml:space="preserve">Power is estimated only at the pre-specified grid points; MDE values are</w:t>
      </w:r>
      <w:r>
        <w:t xml:space="preserve"> </w:t>
      </w:r>
      <w:r>
        <w:t xml:space="preserve">linearly interpolated between them, not separately simulated.</w:t>
      </w:r>
    </w:p>
    <w:p>
      <w:pPr>
        <w:pStyle w:val="Compact"/>
        <w:numPr>
          <w:ilvl w:val="0"/>
          <w:numId w:val="1004"/>
        </w:numPr>
      </w:pPr>
      <w:r>
        <w:t xml:space="preserve">This analysis assumes the same K=3 horizon and Queen weight structure as</w:t>
      </w:r>
      <w:r>
        <w:t xml:space="preserve"> </w:t>
      </w:r>
      <w:r>
        <w:t xml:space="preserve">the locked design; it was not extended to K=6, alternative weights, or</w:t>
      </w:r>
      <w:r>
        <w:t xml:space="preserve"> </w:t>
      </w:r>
      <w:r>
        <w:t xml:space="preserve">nonlinear specifications, consistent with this stage’s guardrail against</w:t>
      </w:r>
      <w:r>
        <w:t xml:space="preserve"> </w:t>
      </w:r>
      <w:r>
        <w:t xml:space="preserve">reopening Stages 14-18.</w:t>
      </w:r>
    </w:p>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58" Target="media/rId58.png" /><Relationship Type="http://schemas.openxmlformats.org/officeDocument/2006/relationships/image" Id="rId68" Target="media/rId68.png" /><Relationship Type="http://schemas.openxmlformats.org/officeDocument/2006/relationships/image" Id="rId63" Target="media/rId63.png" /><Relationship Type="http://schemas.openxmlformats.org/officeDocument/2006/relationships/image" Id="rId76" Target="media/rId76.png" /><Relationship Type="http://schemas.openxmlformats.org/officeDocument/2006/relationships/image" Id="rId81" Target="media/rId81.png" /><Relationship Type="http://schemas.openxmlformats.org/officeDocument/2006/relationships/image" Id="rId72" Target="media/rId72.png" /><Relationship Type="http://schemas.openxmlformats.org/officeDocument/2006/relationships/image" Id="rId29" Target="media/rId29.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37" Target="media/rId3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hyperlink" Id="rId47" Target="https://direct.mit.edu/rest/article/92/3/524/57826/Global-Inflation" TargetMode="External" /><Relationship Type="http://schemas.openxmlformats.org/officeDocument/2006/relationships/hyperlink" Id="rId48" Target="https://doi.org/10.1007/978-3-319-17885-1_1641" TargetMode="External" /><Relationship Type="http://schemas.openxmlformats.org/officeDocument/2006/relationships/hyperlink" Id="rId51" Target="https://link.springer.com/article/10.1007/s00181-013-0763-9" TargetMode="External" /><Relationship Type="http://schemas.openxmlformats.org/officeDocument/2006/relationships/hyperlink" Id="rId46" Target="https://www.bis.org/publ/work623.pdf" TargetMode="External" /><Relationship Type="http://schemas.openxmlformats.org/officeDocument/2006/relationships/hyperlink" Id="rId49" Target="https://www.imf.org/en/Publications/WP/Issues/2023/12/15/Inflation-Dynamics-in-the-Gulf-Cooperation-Council-GCC-What-is-the-Role-of-External-Factors-542414" TargetMode="External" /><Relationship Type="http://schemas.openxmlformats.org/officeDocument/2006/relationships/hyperlink" Id="rId50" Target="https://www.imf.org/external/pubs/ft/wp/2008/wp08193.pdf" TargetMode="External" /></Relationships>
</file>

<file path=word/_rels/footnotes.xml.rels><?xml version="1.0" encoding="UTF-8"?><Relationships xmlns="http://schemas.openxmlformats.org/package/2006/relationships"><Relationship Type="http://schemas.openxmlformats.org/officeDocument/2006/relationships/hyperlink" Id="rId47" Target="https://direct.mit.edu/rest/article/92/3/524/57826/Global-Inflation" TargetMode="External" /><Relationship Type="http://schemas.openxmlformats.org/officeDocument/2006/relationships/hyperlink" Id="rId48" Target="https://doi.org/10.1007/978-3-319-17885-1_1641" TargetMode="External" /><Relationship Type="http://schemas.openxmlformats.org/officeDocument/2006/relationships/hyperlink" Id="rId51" Target="https://link.springer.com/article/10.1007/s00181-013-0763-9" TargetMode="External" /><Relationship Type="http://schemas.openxmlformats.org/officeDocument/2006/relationships/hyperlink" Id="rId46" Target="https://www.bis.org/publ/work623.pdf" TargetMode="External" /><Relationship Type="http://schemas.openxmlformats.org/officeDocument/2006/relationships/hyperlink" Id="rId49" Target="https://www.imf.org/en/Publications/WP/Issues/2023/12/15/Inflation-Dynamics-in-the-Gulf-Cooperation-Council-GCC-What-is-the-Role-of-External-Factors-542414" TargetMode="External" /><Relationship Type="http://schemas.openxmlformats.org/officeDocument/2006/relationships/hyperlink" Id="rId50" Target="https://www.imf.org/external/pubs/ft/wp/2008/wp08193.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Inflation Dynamics Across Saudi Regions: Common Temporal Variation, Local Persistence, and the Limits of Spatial Predictive Dependence</dc:title>
  <dc:creator>Maha</dc:creator>
  <cp:keywords/>
  <dcterms:created xsi:type="dcterms:W3CDTF">2026-10-01T09:16:57Z</dcterms:created>
  <dcterms:modified xsi:type="dcterms:W3CDTF">2026-10-01T09:16:57Z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