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rFonts w:ascii="Times New Roman" w:hAnsi="Times New Roman" w:eastAsia="Times New Roman" w:cs="Times New Roman"/>
          <w:b/>
          <w:i w:val="0"/>
          <w:color w:val="000000"/>
          <w:sz w:val="28"/>
          <w:lang w:val="id-ID"/>
        </w:rPr>
        <w:t>DRAF KONSEPTUAL BAB 1</w:t>
      </w:r>
    </w:p>
    <w:p>
      <w:pPr>
        <w:spacing w:line="240" w:lineRule="auto" w:after="60"/>
        <w:ind w:firstLine="0"/>
        <w:jc w:val="center"/>
      </w:pPr>
      <w:r>
        <w:rPr>
          <w:rFonts w:ascii="Times New Roman" w:hAnsi="Times New Roman" w:eastAsia="Times New Roman" w:cs="Times New Roman"/>
          <w:b/>
          <w:i w:val="0"/>
          <w:color w:val="000000"/>
          <w:sz w:val="24"/>
          <w:lang w:val="id-ID"/>
        </w:rPr>
        <w:t>Konfigurasi Bukti: Seluruh Permohonan Data Disetujui</w:t>
      </w:r>
    </w:p>
    <w:p>
      <w:pPr>
        <w:spacing w:line="240" w:lineRule="auto" w:after="160"/>
        <w:ind w:firstLine="0"/>
        <w:jc w:val="center"/>
      </w:pPr>
      <w:r>
        <w:rPr>
          <w:rFonts w:ascii="Times New Roman" w:hAnsi="Times New Roman" w:eastAsia="Times New Roman" w:cs="Times New Roman"/>
          <w:b w:val="0"/>
          <w:i w:val="0"/>
          <w:color w:val="000000"/>
          <w:sz w:val="24"/>
          <w:lang w:val="id-ID"/>
        </w:rPr>
        <w:t xml:space="preserve">Diagnosis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dan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xml:space="preserve"> antara Jakarta dan Pusat-pusat Sekunder di Kawasan Aglomerasi Jakarta</w:t>
      </w:r>
    </w:p>
    <w:p>
      <w:pPr>
        <w:pStyle w:val="Heading1"/>
      </w:pPr>
      <w:r>
        <w:t>BAB 1 PENDAHULUAN</w:t>
      </w:r>
    </w:p>
    <w:p>
      <w:pPr>
        <w:pStyle w:val="Heading2"/>
      </w:pPr>
      <w:r>
        <w:t>1.2 Rumusan Masalah</w:t>
      </w:r>
    </w:p>
    <w:p>
      <w:pPr>
        <w:spacing w:line="360" w:lineRule="auto" w:after="0"/>
        <w:ind w:firstLine="360"/>
        <w:jc w:val="both"/>
      </w:pPr>
      <w:r>
        <w:rPr>
          <w:rFonts w:ascii="Times New Roman" w:hAnsi="Times New Roman" w:eastAsia="Times New Roman" w:cs="Times New Roman"/>
          <w:b w:val="0"/>
          <w:i w:val="0"/>
          <w:color w:val="000000"/>
          <w:sz w:val="24"/>
          <w:lang w:val="id-ID"/>
        </w:rPr>
        <w:t>Penelitian ini membedakan hubungan metropolitan yang produktif dari ketergantungan yang asimetris. Karena keduanya dapat muncul bersamaan pada dimensi yang berbeda, pertanyaan penelitian tidak berangkat dari anggapan bahwa semua hubungan dengan Jakarta pasti menguntungkan atau merugikan. Pertanyaan yang diajukan adalah sebagai berikut.</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Bagaimana pusat-pusat sekunder dan wilayah tangkapannya terbentuk berdasarkan arus perjalanan, konsentrasi pekerjaan, fungsi lokal, keterbangunan, dan aksesibilitas jaringan tanpa menyamakan batas administratif dengan batas fungsional?</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Bagaimana intensitas, arah, diversifikasi, dan asimetri arus antara pusat sekunder, DKI Jakarta sebagai inti tetap, dan pusat-pusat lain; serta seberapa besar akses dan beban perjalanan yang menyertai hubungan tersebut?</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Bagaimana pekerjaan menurut lokasi kerja, struktur sektor, kemampuan memenuhi kebutuhan lokal, dan kapasitas layanan setiap pusat dibandingkan dengan tingkat yang diharapkan berdasarkan ukuran serta karakteristik lokalnya?</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 xml:space="preserve">Pusat mana yang memenuhi syarat bukti relasional dan tolok ukur untuk disebut menunjukkan pola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atau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dan pusat mana yang lebih tepat diklasifikasikan sebagai kondisi campuran, relatif mandiri, periferi lemah, atau tidak pasti?</w:t>
      </w:r>
    </w:p>
    <w:p>
      <w:pPr>
        <w:numPr>
          <w:ilvl w:val="0"/>
          <w:numId w:val="2"/>
        </w:numPr>
        <w:keepLines/>
        <w:spacing w:line="360" w:lineRule="auto" w:after="60"/>
        <w:ind w:left="720" w:hanging="360"/>
        <w:jc w:val="both"/>
      </w:pPr>
      <w:r>
        <w:rPr>
          <w:rFonts w:ascii="Times New Roman" w:hAnsi="Times New Roman" w:eastAsia="Times New Roman" w:cs="Times New Roman"/>
          <w:b w:val="0"/>
          <w:i w:val="0"/>
          <w:color w:val="000000"/>
          <w:sz w:val="24"/>
          <w:lang w:val="id-ID"/>
        </w:rPr>
        <w:t>Seberapa tahan diagnosis tersebut terhadap kehilangan sumber, perubahan unit dan delineasi, spesifikasi tolok ukur, bobot, ambang, serta parameter model; dan bagaimana ketahanan itu dapat ditampilkan melalui penjelajah skenario-sensitivitas berbasis WebGL?</w:t>
      </w:r>
    </w:p>
    <w:p>
      <w:pPr>
        <w:pStyle w:val="Heading2"/>
      </w:pPr>
      <w:r>
        <w:t>1.3 Tujuan Penelitian</w:t>
      </w:r>
    </w:p>
    <w:p>
      <w:pPr>
        <w:spacing w:line="360" w:lineRule="auto" w:after="0"/>
        <w:ind w:firstLine="360"/>
        <w:jc w:val="both"/>
      </w:pPr>
      <w:r>
        <w:rPr>
          <w:rFonts w:ascii="Times New Roman" w:hAnsi="Times New Roman" w:eastAsia="Times New Roman" w:cs="Times New Roman"/>
          <w:b w:val="0"/>
          <w:i w:val="0"/>
          <w:color w:val="000000"/>
          <w:sz w:val="24"/>
          <w:lang w:val="id-ID"/>
        </w:rPr>
        <w:t>Sesuai dengan rumusan masalah tersebut, penelitian ini bertujuan untuk:</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Mendelineasi pusat-pusat sekunder dan wilayah tangkapannya dengan menggabungkan geometri wilayah statistik, arus perjalanan, konsentrasi pekerjaan, fungsi lokal, keterbangunan, dan jaringan transportasi.</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Mengukur intensitas, arah, diversifikasi, dan asimetri integrasi pusat sekunder dengan DKI Jakarta serta pusat-pusat lain, sekaligus memisahkan manfaat akses dari beban perjalanan.</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Mengukur kematangan pusat sekunder melalui pekerjaan menurut lokasi kerja, struktur sektor, keseimbangan pekerjaan–pekerja, fungsi pelayanan, dan kapasitas layanan orde tinggi, kemudian menilai surplus atau defisitnya terhadap tolok ukur fungsi–ukuran.</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 xml:space="preserve">Menyusun profil kontinu dan tipologi kondisi saat ini serta menerapkan label ketat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atau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xml:space="preserve"> hanya pada pusat yang memenuhi bukti relasional, tolok ukur, dan uji ketahanan secara konsisten.</w:t>
      </w:r>
    </w:p>
    <w:p>
      <w:pPr>
        <w:numPr>
          <w:ilvl w:val="0"/>
          <w:numId w:val="3"/>
        </w:numPr>
        <w:keepLines/>
        <w:spacing w:line="360" w:lineRule="auto" w:after="60"/>
        <w:ind w:left="720" w:hanging="360"/>
        <w:jc w:val="both"/>
      </w:pPr>
      <w:r>
        <w:rPr>
          <w:rFonts w:ascii="Times New Roman" w:hAnsi="Times New Roman" w:eastAsia="Times New Roman" w:cs="Times New Roman"/>
          <w:b w:val="0"/>
          <w:i w:val="0"/>
          <w:color w:val="000000"/>
          <w:sz w:val="24"/>
          <w:lang w:val="id-ID"/>
        </w:rPr>
        <w:t>Menguji hasil terhadap perubahan konfigurasi bukti dan parameter, memvalidasi OD sintetis terhadap OD rujukan, serta mengembangkan WebGL yang menampilkan kondisi dasar, perubahan kelas, dan ketidakpastian tanpa mengubah batas administratif.</w:t>
      </w:r>
    </w:p>
    <w:p>
      <w:pPr>
        <w:pStyle w:val="Heading2"/>
      </w:pPr>
      <w:r>
        <w:t>1.5 Metode Penelitian</w:t>
      </w:r>
    </w:p>
    <w:p>
      <w:pPr>
        <w:spacing w:line="360" w:lineRule="auto" w:after="0"/>
        <w:ind w:firstLine="360"/>
        <w:jc w:val="both"/>
      </w:pPr>
      <w:r>
        <w:rPr>
          <w:rFonts w:ascii="Times New Roman" w:hAnsi="Times New Roman" w:eastAsia="Times New Roman" w:cs="Times New Roman"/>
          <w:b w:val="0"/>
          <w:i w:val="0"/>
          <w:color w:val="000000"/>
          <w:sz w:val="24"/>
          <w:lang w:val="id-ID"/>
        </w:rPr>
        <w:t>Penelitian menggunakan desain kuantitatif-spasial relasional untuk mendiagnosis kondisi pada periode yang paling dapat diselaraskan dengan tahun 2024. Jabodetabek/BPTJ menjadi kawasan utama dan WSM menjadi sabuk pembanding. DKI Jakarta diperlakukan sebagai satu inti yang batas administrasi serta tanggung jawab pemerintahannya tetap. Analisis ini bersifat asosiasional dan tidak dirancang untuk menyimpulkan bahwa Jakarta secara kausal menimbulkan pertumbuhan atau pelemahan wilayah sekitar.</w:t>
      </w:r>
    </w:p>
    <w:p>
      <w:pPr>
        <w:spacing w:line="360" w:lineRule="auto" w:after="0"/>
        <w:ind w:firstLine="360"/>
        <w:jc w:val="both"/>
      </w:pPr>
      <w:r>
        <w:rPr>
          <w:rFonts w:ascii="Times New Roman" w:hAnsi="Times New Roman" w:eastAsia="Times New Roman" w:cs="Times New Roman"/>
          <w:b w:val="0"/>
          <w:i w:val="0"/>
          <w:color w:val="000000"/>
          <w:sz w:val="24"/>
          <w:lang w:val="id-ID"/>
        </w:rPr>
        <w:t>Unit bersama utama adalah kecamatan, sedangkan TAZ JUTPI, kisi, raster, jaringan, dan titik tetap dianalisis pada geometri asal sebelum diagregasikan melalui padanan wilayah yang terdokumentasi. Jika penyelarasan tidak dapat dipertanggungjawabkan, analisis diturunkan ke unit bersama yang lebih kasar. Pusat sekunder dan wilayah tangkapannya ditentukan dari arus dominan, konsentrasi pekerjaan, keragaman fungsi, waktu tempuh, dan kesinambungan kawasan terbangun; delineasi utama dibekukan sebelum diagnosis.</w:t>
      </w:r>
    </w:p>
    <w:p>
      <w:pPr>
        <w:spacing w:line="360" w:lineRule="auto" w:after="0"/>
        <w:ind w:firstLine="360"/>
        <w:jc w:val="both"/>
      </w:pPr>
      <w:r>
        <w:rPr>
          <w:rFonts w:ascii="Times New Roman" w:hAnsi="Times New Roman" w:eastAsia="Times New Roman" w:cs="Times New Roman"/>
          <w:b w:val="0"/>
          <w:i w:val="0"/>
          <w:color w:val="000000"/>
          <w:sz w:val="24"/>
          <w:lang w:val="id-ID"/>
        </w:rPr>
        <w:t>Konfigurasi ini menggunakan seluruh permohonan yang disetujui: matriks OD penuh BPTJ, OD atau tabulasi agregat dan geometri TAZ JUTPI, Podes 2021/2024, Survei Komuter Jabodetabek 2023, Wilkerstat, tabulasi pekerjaan menurut lokasi kerja dan sektor, serta data agregat terarah dari Disnaker atau DPMPTSP pada pusat prioritas. Data tersebut dilengkapi sumber terbuka untuk jaringan, populasi, keterbangunan, fasilitas, dan aktivitas. Setiap berkas diaudit dari segi periode, definisi, cakupan, representativitas, kerahasiaan, dan kesesuaian kode wilayah.</w:t>
      </w:r>
    </w:p>
    <w:p>
      <w:pPr>
        <w:spacing w:line="360" w:lineRule="auto" w:after="0"/>
        <w:ind w:firstLine="360"/>
        <w:jc w:val="both"/>
      </w:pPr>
      <w:r>
        <w:rPr>
          <w:rFonts w:ascii="Times New Roman" w:hAnsi="Times New Roman" w:eastAsia="Times New Roman" w:cs="Times New Roman"/>
          <w:b w:val="0"/>
          <w:i w:val="0"/>
          <w:color w:val="000000"/>
          <w:sz w:val="24"/>
          <w:lang w:val="id-ID"/>
        </w:rPr>
        <w:t xml:space="preserve">Integrasi diukur dari pangsa arus menuju inti dan antarpusat, kekuatan serta keseimbangan arus, diversifikasi tujuan, ketergantungan pada tujuan dominan, dan </w:t>
      </w:r>
      <w:r>
        <w:rPr>
          <w:rFonts w:ascii="Times New Roman" w:hAnsi="Times New Roman" w:eastAsia="Times New Roman" w:cs="Times New Roman"/>
          <w:b w:val="0"/>
          <w:i/>
          <w:color w:val="000000"/>
          <w:sz w:val="24"/>
          <w:lang w:val="id-ID"/>
        </w:rPr>
        <w:t>self-containment</w:t>
      </w:r>
      <w:r>
        <w:rPr>
          <w:rFonts w:ascii="Times New Roman" w:hAnsi="Times New Roman" w:eastAsia="Times New Roman" w:cs="Times New Roman"/>
          <w:b w:val="0"/>
          <w:i w:val="0"/>
          <w:color w:val="000000"/>
          <w:sz w:val="24"/>
          <w:lang w:val="id-ID"/>
        </w:rPr>
        <w:t xml:space="preserve"> apabila komponen pembilang serta penyebutnya sepadan. Beban durasi dan biaya dipisahkan dari aksesibilitas. Kematangan lokal dinilai melalui pekerjaan sisi tempat kerja, keragaman sektor, keseimbangan pekerjaan–pekerja, layanan dasar, dan fungsi orde tinggi. Surplus atau defisit fungsi ditaksir dengan model fungsi–ukuran yang diuji menggunakan regresi tahan pencilan, validasi silang, dan interval ketidakpastian.</w:t>
      </w:r>
    </w:p>
    <w:p>
      <w:pPr>
        <w:spacing w:line="360" w:lineRule="auto" w:after="0"/>
        <w:ind w:firstLine="360"/>
        <w:jc w:val="both"/>
      </w:pPr>
      <w:r>
        <w:rPr>
          <w:rFonts w:ascii="Times New Roman" w:hAnsi="Times New Roman" w:eastAsia="Times New Roman" w:cs="Times New Roman"/>
          <w:b w:val="0"/>
          <w:i w:val="0"/>
          <w:color w:val="000000"/>
          <w:sz w:val="24"/>
          <w:lang w:val="id-ID"/>
        </w:rPr>
        <w:t xml:space="preserve">Analisis kontinu menjadi keluaran utama. Label ketat </w:t>
      </w:r>
      <w:r>
        <w:rPr>
          <w:rFonts w:ascii="Times New Roman" w:hAnsi="Times New Roman" w:eastAsia="Times New Roman" w:cs="Times New Roman"/>
          <w:b w:val="0"/>
          <w:i/>
          <w:color w:val="000000"/>
          <w:sz w:val="24"/>
          <w:lang w:val="id-ID"/>
        </w:rPr>
        <w:t>borrowed size</w:t>
      </w:r>
      <w:r>
        <w:rPr>
          <w:rFonts w:ascii="Times New Roman" w:hAnsi="Times New Roman" w:eastAsia="Times New Roman" w:cs="Times New Roman"/>
          <w:b w:val="0"/>
          <w:i w:val="0"/>
          <w:color w:val="000000"/>
          <w:sz w:val="24"/>
          <w:lang w:val="id-ID"/>
        </w:rPr>
        <w:t xml:space="preserve"> mensyaratkan integrasi tinggi dan surplus fungsi yang kukuh; </w:t>
      </w:r>
      <w:r>
        <w:rPr>
          <w:rFonts w:ascii="Times New Roman" w:hAnsi="Times New Roman" w:eastAsia="Times New Roman" w:cs="Times New Roman"/>
          <w:b w:val="0"/>
          <w:i/>
          <w:color w:val="000000"/>
          <w:sz w:val="24"/>
          <w:lang w:val="id-ID"/>
        </w:rPr>
        <w:t>agglomeration shadow</w:t>
      </w:r>
      <w:r>
        <w:rPr>
          <w:rFonts w:ascii="Times New Roman" w:hAnsi="Times New Roman" w:eastAsia="Times New Roman" w:cs="Times New Roman"/>
          <w:b w:val="0"/>
          <w:i w:val="0"/>
          <w:color w:val="000000"/>
          <w:sz w:val="24"/>
          <w:lang w:val="id-ID"/>
        </w:rPr>
        <w:t xml:space="preserve"> mensyaratkan integrasi tinggi atau asimetris, defisit fungsi yang kukuh, dan bukti beban atau ketergantungan. OD sintetis terbuka dikalibrasi dan diuji terhadap OD rujukan, tetapi tidak menggantikannya. Daftar skenario bukti dibentuk dari daftar periksa ketersediaan sumber: setiap sumber yang hilang menghasilkan konfigurasi analisis dan batas klaim yang terdokumentasi, tanpa dibatasi pada tiga jenjang. Ketahanan hasil diperiksa melalui variasi delineasi, unit, sumber, indikator, tolok ukur, bobot, ambang, dan parameter. WebGL memisahkan skenario bukti dari skenario parameter serta menampilkan kondisi dasar, perubahan nilai, perpindahan kelas, dan kestabilan hasil. Versi publik hanya memakai data terbuka atau agregat yang diizinkan; versi penelitian lokal mengikuti seluruh pembatasan penggunaan data.</w:t>
      </w:r>
    </w:p>
    <w:sectPr>
      <w:footerReference w:type="default" r:id="rId8"/>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i/>
        <w:color w:val="5A5A5A"/>
        <w:sz w:val="18"/>
        <w:lang w:val="id-ID"/>
      </w:rPr>
      <w:t xml:space="preserve">Draf konseptual — Seluruh Permohonan Data Disetujui  •  </w:t>
    </w:r>
    <w:fldSimple w:instr="PAGE">
      <w:r>
        <w:rPr>
          <w:rFonts w:ascii="Times New Roman" w:hAnsi="Times New Roman" w:eastAsia="Times New Roman" w:cs="Times New Roman"/>
          <w:sz w:val="18"/>
        </w:rPr>
        <w:t>1</w:t>
      </w:r>
    </w:fldSimpl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3">
    <w:multiLevelType w:val="singleLevel"/>
    <w:lvl w:ilvl="0">
      <w:start w:val="1"/>
      <w:numFmt w:val="decimal"/>
      <w:lvlText w:val="%1."/>
      <w:lvlJc w:val="left"/>
      <w:pPr>
        <w:tabs>
          <w:tab w:val="num" w:pos="720"/>
        </w:tabs>
        <w:ind w:left="720" w:hanging="360"/>
      </w:pPr>
    </w:lvl>
  </w:abstractNum>
  <w:abstractNum w:abstractNumId="2">
    <w:multiLevelType w:val="singleLevel"/>
    <w:lvl w:ilvl="0">
      <w:start w:val="1"/>
      <w:numFmt w:val="decimal"/>
      <w:lvlText w:val="%1."/>
      <w:lvlJc w:val="left"/>
      <w:pPr>
        <w:tabs>
          <w:tab w:val="num" w:pos="720"/>
        </w:tabs>
        <w:ind w:left="720" w:hanging="360"/>
      </w:pPr>
    </w:lvl>
  </w:abstractNum>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line="360" w:lineRule="auto" w:before="0" w:after="0"/>
      <w:ind w:firstLine="360"/>
      <w:jc w:val="both"/>
    </w:pPr>
    <w:rPr>
      <w:rFonts w:ascii="Times New Roman" w:hAnsi="Times New Roman" w:eastAsia="Times New Roman"/>
      <w:color w:val="000000"/>
      <w:sz w:val="24"/>
    </w:rPr>
  </w:style>
  <w:style w:type="paragraph" w:styleId="Heading1">
    <w:name w:val="heading 1"/>
    <w:basedOn w:val="Normal"/>
    <w:next w:val="Normal"/>
    <w:pPr>
      <w:keepNext/>
      <w:keepLines w:val="1"/>
      <w:spacing w:before="240" w:lineRule="auto" w:after="0"/>
      <w:jc w:val="center"/>
    </w:pPr>
    <w:rPr>
      <w:rFonts w:ascii="Times New Roman" w:hAnsi="Times New Roman"/>
      <w:b/>
      <w:bCs w:val="1"/>
      <w:color w:val="000000"/>
      <w:sz w:val="24"/>
    </w:rPr>
  </w:style>
  <w:style w:type="paragraph" w:styleId="Heading2">
    <w:name w:val="heading 2"/>
    <w:basedOn w:val="Normal"/>
    <w:next w:val="Normal"/>
    <w:pPr>
      <w:keepNext/>
      <w:keepLines w:val="1"/>
      <w:spacing w:before="40" w:lineRule="auto" w:after="0"/>
      <w:ind w:left="0" w:firstLine="0"/>
      <w:jc w:val="left"/>
    </w:pPr>
    <w:rPr>
      <w:rFonts w:ascii="Times New Roman" w:hAnsi="Times New Roman"/>
      <w:b/>
      <w:bCs w:val="1"/>
      <w:color w:val="000000"/>
      <w:sz w:val="24"/>
    </w:rPr>
  </w:style>
  <w:style w:type="paragraph" w:styleId="Heading3">
    <w:name w:val="heading 3"/>
    <w:basedOn w:val="Normal"/>
    <w:next w:val="Normal"/>
    <w:pPr>
      <w:keepNext w:val="1"/>
      <w:keepLines w:val="1"/>
      <w:spacing w:before="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0" w:after="80"/>
      <w:jc w:val="center"/>
    </w:pPr>
    <w:rPr>
      <w:rFonts w:ascii="Times New Roman" w:hAnsi="Times New Roman"/>
      <w:b/>
      <w:bCs w:val="1"/>
      <w:color w:val="00000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Baseline Seluruh Permohonan Data Disetujui — Rumusan Masalah, Tujuan, dan Metode</dc:title>
  <cp:lastModifiedBy>python-docx</cp:lastModifiedBy>
  <cp:revision>1</cp:revision>
  <dcterms:modified xsi:type="dcterms:W3CDTF">2026-08-24T17:48:29Z</dcterms:modified>
  <dc:subject>Draf konseptual Tugas Akhir PWK</dc:subject>
  <dc:description>Diturunkan dari Template TGA Penelitian 2026; hanya memuat tiga bagian yang diminta.</dc:description>
</cp:coreProperties>
</file>