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rFonts w:ascii="Times New Roman" w:hAnsi="Times New Roman" w:eastAsia="Times New Roman" w:cs="Times New Roman"/>
          <w:b/>
          <w:i w:val="0"/>
          <w:color w:val="000000"/>
          <w:sz w:val="28"/>
          <w:lang w:val="id-ID"/>
        </w:rPr>
        <w:t>DRAF KONSEPTUAL BAB 1</w:t>
      </w:r>
    </w:p>
    <w:p>
      <w:pPr>
        <w:spacing w:line="240" w:lineRule="auto" w:after="60"/>
        <w:ind w:firstLine="0"/>
        <w:jc w:val="center"/>
      </w:pPr>
      <w:r>
        <w:rPr>
          <w:rFonts w:ascii="Times New Roman" w:hAnsi="Times New Roman" w:eastAsia="Times New Roman" w:cs="Times New Roman"/>
          <w:b/>
          <w:i w:val="0"/>
          <w:color w:val="000000"/>
          <w:sz w:val="24"/>
          <w:lang w:val="id-ID"/>
        </w:rPr>
        <w:t>Konfigurasi Bukti: Sumber Terbuka</w:t>
      </w:r>
    </w:p>
    <w:p>
      <w:pPr>
        <w:spacing w:line="240" w:lineRule="auto" w:after="160"/>
        <w:ind w:firstLine="0"/>
        <w:jc w:val="center"/>
      </w:pPr>
      <w:r>
        <w:rPr>
          <w:rFonts w:ascii="Times New Roman" w:hAnsi="Times New Roman" w:eastAsia="Times New Roman" w:cs="Times New Roman"/>
          <w:b w:val="0"/>
          <w:i w:val="0"/>
          <w:color w:val="000000"/>
          <w:sz w:val="24"/>
          <w:lang w:val="id-ID"/>
        </w:rPr>
        <w:t xml:space="preserve">Diagnosis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dan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xml:space="preserve"> antara Jakarta dan Pusat-pusat Sekunder di Kawasan Aglomerasi Jakarta</w:t>
      </w:r>
    </w:p>
    <w:p>
      <w:pPr>
        <w:pStyle w:val="Heading1"/>
      </w:pPr>
      <w:r>
        <w:t>BAB 1 PENDAHULUAN</w:t>
      </w:r>
    </w:p>
    <w:p>
      <w:pPr>
        <w:pStyle w:val="Heading2"/>
      </w:pPr>
      <w:r>
        <w:t>1.2 Rumusan Masalah</w:t>
      </w:r>
    </w:p>
    <w:p>
      <w:pPr>
        <w:spacing w:line="360" w:lineRule="auto" w:after="0"/>
        <w:ind w:firstLine="360"/>
        <w:jc w:val="both"/>
      </w:pPr>
      <w:r>
        <w:rPr>
          <w:rFonts w:ascii="Times New Roman" w:hAnsi="Times New Roman" w:eastAsia="Times New Roman" w:cs="Times New Roman"/>
          <w:b w:val="0"/>
          <w:i w:val="0"/>
          <w:color w:val="000000"/>
          <w:sz w:val="24"/>
          <w:lang w:val="id-ID"/>
        </w:rPr>
        <w:t>Penelitian ini membedakan hubungan metropolitan yang produktif dari ketergantungan yang asimetris. Karena keduanya dapat muncul bersamaan pada dimensi yang berbeda, pertanyaan penelitian tidak berangkat dari anggapan bahwa semua hubungan dengan Jakarta pasti menguntungkan atau merugikan. Pertanyaan yang diajukan adalah sebagai berikut.</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Bagaimana pola kondisi tahun 2024 dari ukuran lokal, aksesibilitas menuju DKI Jakarta, kematangan fungsi lokal, dan ketergantungan yang dimodelkan pada pusat-pusat sekunder di kawasan utama Jabodetabek/BPTJ serta sabuk pembanding WSM?</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 xml:space="preserve">Pusat sekunder mana yang menunjukkan pola yang konsisten dengan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kemandirian relatif, periferi lemah, atau kondisi campuran apabila DKI Jakarta diperlakukan sebagai satu inti administratif-fungsional yang tetap?</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Seberapa stabil diagnosis tersebut terhadap penggantian sumber proksi, perubahan resolusi spasial, spesifikasi OD sintetis, bobot indikator, dan ambang klasifikasi; serta bagaimana ketidakstabilan itu dapat ditampilkan melalui WebGL tanpa mengubah batas administratif dan tanggung jawab pemerintah daerah?</w:t>
      </w:r>
    </w:p>
    <w:p>
      <w:pPr>
        <w:pStyle w:val="Heading2"/>
      </w:pPr>
      <w:r>
        <w:t>1.3 Tujuan Penelitian</w:t>
      </w:r>
    </w:p>
    <w:p>
      <w:pPr>
        <w:spacing w:line="360" w:lineRule="auto" w:after="0"/>
        <w:ind w:firstLine="360"/>
        <w:jc w:val="both"/>
      </w:pPr>
      <w:r>
        <w:rPr>
          <w:rFonts w:ascii="Times New Roman" w:hAnsi="Times New Roman" w:eastAsia="Times New Roman" w:cs="Times New Roman"/>
          <w:b w:val="0"/>
          <w:i w:val="0"/>
          <w:color w:val="000000"/>
          <w:sz w:val="24"/>
          <w:lang w:val="id-ID"/>
        </w:rPr>
        <w:t>Sesuai dengan rumusan masalah tersebut, penelitian ini bertujuan untuk:</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Menyusun kondisi dasar spasial tahun 2024 mengenai hubungan DKI Jakarta dengan pusat-pusat sekundernya menggunakan sumber terbuka, dengan membedakan secara tegas data langsung, data agregat, hasil sintetis, dan proksi.</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 xml:space="preserve">Menyusun profil dan tipologi pusat sekunder berdasarkan tingkat keterhubungan dengan DKI serta surplus atau defisit fungsi lokal relatif terhadap ukuran wilayahnya, kemudian mengidentifikasi pola yang konsisten dengan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kemandirian relatif, periferi lemah, atau kondisi campuran.</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Menguji ketahanan hasil terhadap perubahan sumber, resolusi, parameter, bobot, dan ambang, lalu menerjemahkannya ke dalam peta gradien dan zona analitis berbasis WebGL dengan batas administrasi yang tetap terlihat.</w:t>
      </w:r>
    </w:p>
    <w:p>
      <w:pPr>
        <w:pStyle w:val="Heading2"/>
      </w:pPr>
      <w:r>
        <w:t>1.5 Metode Penelitian</w:t>
      </w:r>
    </w:p>
    <w:p>
      <w:pPr>
        <w:spacing w:line="360" w:lineRule="auto" w:after="0"/>
        <w:ind w:firstLine="360"/>
        <w:jc w:val="both"/>
      </w:pPr>
      <w:r>
        <w:rPr>
          <w:rFonts w:ascii="Times New Roman" w:hAnsi="Times New Roman" w:eastAsia="Times New Roman" w:cs="Times New Roman"/>
          <w:b w:val="0"/>
          <w:i w:val="0"/>
          <w:color w:val="000000"/>
          <w:sz w:val="24"/>
          <w:lang w:val="id-ID"/>
        </w:rPr>
        <w:t>Penelitian menggunakan desain kuantitatif-spasial potong lintang yang bersifat diagnostik. Tahun 2024 menjadi tahun dasar utama; data dari tahun terdekat hanya digunakan apabila sumber tahun 2024 tidak tersedia dan perbedaan waktunya dicatat sebagai keterbatasan. Jabodetabek sesuai cakupan BPTJ menjadi kawasan utama, sedangkan wilayah tambahan dalam WSM diperlakukan sebagai sabuk pembanding. DKI Jakarta dipertahankan sebagai satu inti untuk hubungan eksternal dan tidak diartikan meluas secara administratif.</w:t>
      </w:r>
    </w:p>
    <w:p>
      <w:pPr>
        <w:spacing w:line="360" w:lineRule="auto" w:after="0"/>
        <w:ind w:firstLine="360"/>
        <w:jc w:val="both"/>
      </w:pPr>
      <w:r>
        <w:rPr>
          <w:rFonts w:ascii="Times New Roman" w:hAnsi="Times New Roman" w:eastAsia="Times New Roman" w:cs="Times New Roman"/>
          <w:b w:val="0"/>
          <w:i w:val="0"/>
          <w:color w:val="000000"/>
          <w:sz w:val="24"/>
          <w:lang w:val="id-ID"/>
        </w:rPr>
        <w:t>Kecamatan menjadi unit bersama utama. Raster, kisi, jaringan, bangunan, dan titik fasilitas tetap diolah pada resolusi asalnya, kemudian diagregasikan secara transparan. Kabupaten/kota digunakan sebagai konteks kebijakan dan tanggung jawab pemerintahan. Kandidat pusat sekunder diambil dari dokumen rencana yang tersedia, lalu diuji dengan konsentrasi penduduk, keterbangunan, fungsi, dan aksesibilitas. Delineasi pusat dan wilayah tangkapannya dibekukan sebelum klasifikasi agar pemilihan pusat tidak ditentukan oleh hasil yang hendak dibuktikan.</w:t>
      </w:r>
    </w:p>
    <w:p>
      <w:pPr>
        <w:spacing w:line="360" w:lineRule="auto" w:after="0"/>
        <w:ind w:firstLine="360"/>
        <w:jc w:val="both"/>
      </w:pPr>
      <w:r>
        <w:rPr>
          <w:rFonts w:ascii="Times New Roman" w:hAnsi="Times New Roman" w:eastAsia="Times New Roman" w:cs="Times New Roman"/>
          <w:b w:val="0"/>
          <w:i w:val="0"/>
          <w:color w:val="000000"/>
          <w:sz w:val="24"/>
          <w:lang w:val="id-ID"/>
        </w:rPr>
        <w:t>Sumber terbuka mencakup WSM 2024 dan tabel BPS yang dapat diakses, tabel marginal bangkitan–tarikan BPTJ, OpenStreetMap dan Overture, GTFS resmi yang tersedia, GHSL atau WorldPop, VIIRS, direktori publik PDDikti dan SIRS, serta peta kawasan industri. Sumber yang mengukur konstruk berbeda tidak dijumlahkan begitu saja. Kualitas, tahun, cakupan, duplikasi, nilai hilang, dan lisensinya diaudit terlebih dahulu.</w:t>
      </w:r>
    </w:p>
    <w:p>
      <w:pPr>
        <w:spacing w:line="360" w:lineRule="auto" w:after="0"/>
        <w:ind w:firstLine="360"/>
        <w:jc w:val="both"/>
      </w:pPr>
      <w:r>
        <w:rPr>
          <w:rFonts w:ascii="Times New Roman" w:hAnsi="Times New Roman" w:eastAsia="Times New Roman" w:cs="Times New Roman"/>
          <w:b w:val="0"/>
          <w:i w:val="0"/>
          <w:color w:val="000000"/>
          <w:sz w:val="24"/>
          <w:lang w:val="id-ID"/>
        </w:rPr>
        <w:t>Empat kelompok indikator dihitung terpisah: ukuran lokal, akses menuju DKI, kematangan fungsi lokal, dan ketergantungan yang dimodelkan. Kinerja fungsi dinilai relatif terhadap ukuran melalui residual model fungsi–ukuran. OD sintetis dibangun dengan model gravitasi; jika marginal asal dan tujuan tersedia pada unit yang sama, matriks diseimbangkan dengan IPF/Furness. Hasil tersebut selalu disebut potensi interaksi atau OD sintetis, bukan arus aktual.</w:t>
      </w:r>
    </w:p>
    <w:p>
      <w:pPr>
        <w:spacing w:line="360" w:lineRule="auto" w:after="0"/>
        <w:ind w:firstLine="360"/>
        <w:jc w:val="both"/>
      </w:pPr>
      <w:r>
        <w:rPr>
          <w:rFonts w:ascii="Times New Roman" w:hAnsi="Times New Roman" w:eastAsia="Times New Roman" w:cs="Times New Roman"/>
          <w:b w:val="0"/>
          <w:i w:val="0"/>
          <w:color w:val="000000"/>
          <w:sz w:val="24"/>
          <w:lang w:val="id-ID"/>
        </w:rPr>
        <w:t xml:space="preserve">Tipologi dibentuk dari persilangan integrasi dan fungsi relatif. Label ketat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atau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xml:space="preserve"> hanya digunakan jika bukti relasional dan tolok ukur konsisten; hasil lain disebut pola yang konsisten, campuran, atau tidak pasti. Daftar skenario bukti dibentuk dari daftar periksa ketersediaan sumber: setiap sumber yang hilang menghasilkan konfigurasi analisis dan batas klaim yang terdokumentasi, tanpa dibatasi pada tiga jenjang. Ketahanan diuji melalui perbandingan sumber, unit, delineasi, parameter, bobot, dan ambang. WebGL memisahkan skenario bukti dari skenario parameter serta menampilkan kondisi dasar, perubahan kelas, dan kestabilan hasil. Penggeser bersifat eksploratif, bukan ramalan kausal, data waktu nyata, atau dasar perubahan batas daerah.</w:t>
      </w:r>
    </w:p>
    <w:sectPr>
      <w:footerReference w:type="default" r:id="rId8"/>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i/>
        <w:color w:val="5A5A5A"/>
        <w:sz w:val="18"/>
        <w:lang w:val="id-ID"/>
      </w:rPr>
      <w:t xml:space="preserve">Draf konseptual — Sumber Terbuka  •  </w:t>
    </w:r>
    <w:fldSimple w:instr="PAGE">
      <w:r>
        <w:rPr>
          <w:rFonts w:ascii="Times New Roman" w:hAnsi="Times New Roman" w:eastAsia="Times New Roman" w:cs="Times New Roman"/>
          <w:sz w:val="18"/>
        </w:rP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3">
    <w:multiLevelType w:val="singleLevel"/>
    <w:lvl w:ilvl="0">
      <w:start w:val="1"/>
      <w:numFmt w:val="decimal"/>
      <w:lvlText w:val="%1."/>
      <w:lvlJc w:val="left"/>
      <w:pPr>
        <w:tabs>
          <w:tab w:val="num" w:pos="720"/>
        </w:tabs>
        <w:ind w:left="720" w:hanging="360"/>
      </w:pPr>
    </w:lvl>
  </w:abstractNum>
  <w:abstractNum w:abstractNumId="2">
    <w:multiLevelType w:val="singleLevel"/>
    <w:lvl w:ilvl="0">
      <w:start w:val="1"/>
      <w:numFmt w:val="decimal"/>
      <w:lvlText w:val="%1."/>
      <w:lvlJc w:val="left"/>
      <w:pPr>
        <w:tabs>
          <w:tab w:val="num" w:pos="720"/>
        </w:tabs>
        <w:ind w:left="720" w:hanging="360"/>
      </w:pPr>
    </w:lvl>
  </w:abstractNum>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360" w:lineRule="auto" w:before="0" w:after="0"/>
      <w:ind w:firstLine="360"/>
      <w:jc w:val="both"/>
    </w:pPr>
    <w:rPr>
      <w:rFonts w:ascii="Times New Roman" w:hAnsi="Times New Roman" w:eastAsia="Times New Roman"/>
      <w:color w:val="000000"/>
      <w:sz w:val="24"/>
    </w:rPr>
  </w:style>
  <w:style w:type="paragraph" w:styleId="Heading1">
    <w:name w:val="heading 1"/>
    <w:basedOn w:val="Normal"/>
    <w:next w:val="Normal"/>
    <w:pPr>
      <w:keepNext/>
      <w:keepLines w:val="1"/>
      <w:spacing w:before="240" w:lineRule="auto" w:after="0"/>
      <w:jc w:val="center"/>
    </w:pPr>
    <w:rPr>
      <w:rFonts w:ascii="Times New Roman" w:hAnsi="Times New Roman"/>
      <w:b/>
      <w:bCs w:val="1"/>
      <w:color w:val="000000"/>
      <w:sz w:val="24"/>
    </w:rPr>
  </w:style>
  <w:style w:type="paragraph" w:styleId="Heading2">
    <w:name w:val="heading 2"/>
    <w:basedOn w:val="Normal"/>
    <w:next w:val="Normal"/>
    <w:pPr>
      <w:keepNext/>
      <w:keepLines w:val="1"/>
      <w:spacing w:before="40" w:lineRule="auto" w:after="0"/>
      <w:ind w:left="0" w:firstLine="0"/>
      <w:jc w:val="left"/>
    </w:pPr>
    <w:rPr>
      <w:rFonts w:ascii="Times New Roman" w:hAnsi="Times New Roman"/>
      <w:b/>
      <w:bCs w:val="1"/>
      <w:color w:val="000000"/>
      <w:sz w:val="24"/>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0" w:after="80"/>
      <w:jc w:val="center"/>
    </w:pPr>
    <w:rPr>
      <w:rFonts w:ascii="Times New Roman" w:hAnsi="Times New Roman"/>
      <w:b/>
      <w:bCs w:val="1"/>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Baseline Sumber Terbuka — Rumusan Masalah, Tujuan, dan Metode</dc:title>
  <cp:lastModifiedBy>python-docx</cp:lastModifiedBy>
  <cp:revision>1</cp:revision>
  <dcterms:modified xsi:type="dcterms:W3CDTF">2026-08-24T17:48:29Z</dcterms:modified>
  <dc:subject>Draf konseptual Tugas Akhir PWK</dc:subject>
  <dc:description>Diturunkan dari Template TGA Penelitian 2026; hanya memuat tiga bagian yang diminta.</dc:description>
</cp:coreProperties>
</file>