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i w:val="0"/>
          <w:sz w:val="28"/>
        </w:rPr>
        <w:t>Knowledge Graph-Based Anomaly Detection on Active Directory Logs Using Ensemble Methods and SHAP Explainability</w:t>
      </w:r>
    </w:p>
    <w:p>
      <w:pPr>
        <w:spacing w:after="120"/>
        <w:jc w:val="center"/>
      </w:pPr>
      <w:r>
        <w:rPr>
          <w:rFonts w:ascii="Times New Roman" w:hAnsi="Times New Roman"/>
          <w:b/>
          <w:i w:val="0"/>
          <w:sz w:val="22"/>
        </w:rPr>
        <w:t>Mahathir Muhammad</w:t>
      </w:r>
      <w:r>
        <w:rPr>
          <w:rFonts w:ascii="Times New Roman" w:hAnsi="Times New Roman"/>
          <w:b/>
          <w:i w:val="0"/>
          <w:sz w:val="22"/>
          <w:vertAlign w:val="superscript"/>
        </w:rPr>
        <w:t>1*</w:t>
      </w:r>
    </w:p>
    <w:p>
      <w:pPr>
        <w:spacing w:after="60"/>
        <w:jc w:val="center"/>
      </w:pPr>
      <w:r>
        <w:rPr>
          <w:rFonts w:ascii="Times New Roman" w:hAnsi="Times New Roman"/>
          <w:b w:val="0"/>
          <w:i w:val="0"/>
          <w:sz w:val="22"/>
          <w:vertAlign w:val="superscript"/>
        </w:rPr>
        <w:t>1</w:t>
      </w:r>
      <w:r>
        <w:rPr>
          <w:rFonts w:ascii="Times New Roman" w:hAnsi="Times New Roman"/>
          <w:b w:val="0"/>
          <w:i/>
          <w:sz w:val="22"/>
        </w:rPr>
        <w:t xml:space="preserve"> Department of Information Technology, Institution Name, Indonesia</w:t>
      </w:r>
    </w:p>
    <w:p>
      <w:pPr>
        <w:spacing w:after="120"/>
        <w:jc w:val="center"/>
      </w:pPr>
      <w:r>
        <w:rPr>
          <w:rFonts w:ascii="Times New Roman" w:hAnsi="Times New Roman"/>
          <w:b w:val="0"/>
          <w:i/>
          <w:sz w:val="20"/>
        </w:rPr>
        <w:t>* Corresponding author’s Email: mahathirmuhammad02@gmail.com</w:t>
      </w:r>
    </w:p>
    <w:p>
      <w:pPr>
        <w:spacing w:after="60"/>
        <w:jc w:val="center"/>
      </w:pPr>
      <w:r>
        <w:rPr>
          <w:rFonts w:ascii="Times New Roman" w:hAnsi="Times New Roman"/>
          <w:b w:val="0"/>
          <w:i w:val="0"/>
          <w:sz w:val="16"/>
        </w:rPr>
        <w:t>____________________________________________________________________________________________________</w:t>
      </w:r>
    </w:p>
    <w:p>
      <w:pPr>
        <w:spacing w:after="120"/>
        <w:ind w:firstLine="283"/>
        <w:jc w:val="both"/>
      </w:pPr>
      <w:r>
        <w:rPr>
          <w:rFonts w:ascii="Times New Roman" w:hAnsi="Times New Roman"/>
          <w:b/>
          <w:i w:val="0"/>
          <w:sz w:val="20"/>
        </w:rPr>
        <w:t xml:space="preserve">Abstract: </w:t>
      </w:r>
      <w:r>
        <w:rPr>
          <w:rFonts w:ascii="Times New Roman" w:hAnsi="Times New Roman"/>
          <w:b w:val="0"/>
          <w:i w:val="0"/>
          <w:sz w:val="20"/>
        </w:rPr>
        <w:t>Active Directory (AD) environments generate millions of authentication events daily, making manual anomaly detection impractical. Traditional rule-based and statistical approaches suffer from limited contextual awareness and black-box decision-making. This paper proposes a graph-based anomaly detection pipeline that integrates Neo4j knowledge graph, domain rule engine, and heterogeneous ensemble of three unsupervised machine learning models: Isolation Forest (IF), Local Outlier Factor (LOF), and Elliptic Envelope (EE). To address the lack of ground truth in unsupervised anomaly detection, we employ data-driven quantile-based severity thresholds (P75/P90/P95/P99) and SHAP TreeExplainer for per-user explainability. The system was evaluated on 887 users derived from 1.8 million AD logon events. Results show that the ensemble identifies 89 anomalous users across CRITICAL (9), HIGH (36), and MEDIUM (44) severity levels. An ablation study over all seven ensemble configurations shows that the three models capture complementary anomaly types: EE aligns most with the rule engine (Precision@K=53.3%), LOF detects orthogonal local anomalies, and IF balances both. Low inter-model agreement (Cohen’s Kappa LOF–EE=0.18) and the ensemble never being the worst configuration across proxy thresholds justify the heterogeneous ensemble for robustness. SHAP analysis provides transparent per-user explanations, enabling auditable decision-making for security analysts.</w:t>
      </w:r>
    </w:p>
    <w:p>
      <w:pPr>
        <w:spacing w:after="240"/>
        <w:ind w:firstLine="283"/>
        <w:jc w:val="both"/>
      </w:pPr>
      <w:r>
        <w:rPr>
          <w:rFonts w:ascii="Times New Roman" w:hAnsi="Times New Roman"/>
          <w:b/>
          <w:i w:val="0"/>
          <w:sz w:val="20"/>
        </w:rPr>
        <w:t xml:space="preserve">Keywords: </w:t>
      </w:r>
      <w:r>
        <w:rPr>
          <w:rFonts w:ascii="Times New Roman" w:hAnsi="Times New Roman"/>
          <w:b w:val="0"/>
          <w:i w:val="0"/>
          <w:sz w:val="20"/>
        </w:rPr>
        <w:t>Anomaly detection, Knowledge graph, Active Directory, Ensemble learning, Isolation Forest, SHAP, Explainable AI, Cybersecurity.</w:t>
      </w:r>
    </w:p>
    <w:p>
      <w:pPr>
        <w:sectPr>
          <w:pgSz w:w="11906" w:h="16838"/>
          <w:pgMar w:top="1417" w:right="1077" w:bottom="1417" w:left="1077" w:header="720" w:footer="720" w:gutter="0"/>
          <w:cols w:space="720"/>
          <w:docGrid w:linePitch="360"/>
        </w:sectPr>
      </w:pPr>
    </w:p>
    <w:p>
      <w:pPr>
        <w:spacing w:before="120" w:after="60" w:line="240" w:lineRule="auto"/>
      </w:pPr>
      <w:r>
        <w:rPr>
          <w:rFonts w:ascii="Times New Roman" w:hAnsi="Times New Roman"/>
          <w:b/>
          <w:i w:val="0"/>
          <w:sz w:val="24"/>
        </w:rPr>
        <w:t>1. Introduction</w:t>
      </w:r>
    </w:p>
    <w:p>
      <w:pPr>
        <w:spacing w:after="0" w:line="240" w:lineRule="auto"/>
        <w:ind w:firstLine="283"/>
        <w:jc w:val="both"/>
      </w:pPr>
      <w:r>
        <w:rPr>
          <w:rFonts w:ascii="Times New Roman" w:hAnsi="Times New Roman"/>
          <w:b w:val="0"/>
          <w:i w:val="0"/>
          <w:sz w:val="22"/>
        </w:rPr>
        <w:t>Active Directory (AD) serves as the backbone of identity and access management in most enterprise environments. The volume of authentication events generated daily — often exceeding millions — makes manual monitoring infeasible. Security analysts increasingly rely on automated anomaly detection to identify compromised accounts, insider threats, and policy violations [1, 2].</w:t>
      </w:r>
    </w:p>
    <w:p>
      <w:pPr>
        <w:spacing w:after="0" w:line="240" w:lineRule="auto"/>
        <w:ind w:firstLine="283"/>
        <w:jc w:val="both"/>
      </w:pPr>
      <w:r>
        <w:rPr>
          <w:rFonts w:ascii="Times New Roman" w:hAnsi="Times New Roman"/>
          <w:b w:val="0"/>
          <w:i w:val="0"/>
          <w:sz w:val="22"/>
        </w:rPr>
        <w:t>Existing approaches to AD anomaly detection face three primary limitations. First, rule-based systems, while interpretable, only detect predefined attack patterns and miss novel anomalies. Second, conventional machine learning approaches treat events as independent records, ignoring the rich relational structure inherent in AD (users, devices, servers, network connections). Third, many ML-based systems operate as black boxes, producing alerts without providing actionable explanations to security analysts [3, 4].</w:t>
      </w:r>
    </w:p>
    <w:p>
      <w:pPr>
        <w:spacing w:after="0" w:line="240" w:lineRule="auto"/>
        <w:ind w:firstLine="283"/>
        <w:jc w:val="both"/>
      </w:pPr>
      <w:r>
        <w:rPr>
          <w:rFonts w:ascii="Times New Roman" w:hAnsi="Times New Roman"/>
          <w:b w:val="0"/>
          <w:i w:val="0"/>
          <w:sz w:val="22"/>
        </w:rPr>
        <w:t>This paper addresses these limitations through a hybrid pipeline that combines knowledge graph representation, domain-driven rule engine, heterogeneous ensemble anomaly detection, and SHAP-based explainability. The contributions of this work are as follows:</w:t>
      </w:r>
    </w:p>
    <w:p>
      <w:pPr>
        <w:spacing w:after="0" w:line="240" w:lineRule="auto"/>
        <w:ind w:firstLine="283"/>
        <w:jc w:val="both"/>
      </w:pPr>
      <w:r>
        <w:rPr>
          <w:rFonts w:ascii="Times New Roman" w:hAnsi="Times New Roman"/>
          <w:b w:val="0"/>
          <w:i w:val="0"/>
          <w:sz w:val="22"/>
        </w:rPr>
        <w:t>(1) We model AD audit logs as a Neo4j knowledge graph with seven node types and ten relationship types, enabling graph traversal queries that are infeasible in relational databases.</w:t>
      </w:r>
    </w:p>
    <w:p>
      <w:pPr>
        <w:spacing w:after="0" w:line="240" w:lineRule="auto"/>
        <w:ind w:firstLine="283"/>
        <w:jc w:val="both"/>
      </w:pPr>
      <w:r>
        <w:rPr>
          <w:rFonts w:ascii="Times New Roman" w:hAnsi="Times New Roman"/>
          <w:b w:val="0"/>
          <w:i w:val="0"/>
          <w:sz w:val="22"/>
        </w:rPr>
        <w:t>(2) We propose a heterogeneous ensemble of three unsupervised models (IF, LOF, EE) with majority voting, leveraging their differing inductive biases to capture complementary anomaly types.</w:t>
      </w:r>
    </w:p>
    <w:p>
      <w:pPr>
        <w:spacing w:after="0" w:line="240" w:lineRule="auto"/>
        <w:ind w:firstLine="283"/>
        <w:jc w:val="both"/>
      </w:pPr>
      <w:r>
        <w:rPr>
          <w:rFonts w:ascii="Times New Roman" w:hAnsi="Times New Roman"/>
          <w:b w:val="0"/>
          <w:i w:val="0"/>
          <w:sz w:val="22"/>
        </w:rPr>
        <w:t>(3) We introduce data-driven quantile-based severity classification (P75/P90/P95/P99) as an alternative to arbitrary threshold selection, with justification grounded in outlier analysis literature [5, 6].</w:t>
      </w:r>
    </w:p>
    <w:p>
      <w:pPr>
        <w:spacing w:after="0" w:line="240" w:lineRule="auto"/>
        <w:ind w:firstLine="283"/>
        <w:jc w:val="both"/>
      </w:pPr>
      <w:r>
        <w:rPr>
          <w:rFonts w:ascii="Times New Roman" w:hAnsi="Times New Roman"/>
          <w:b w:val="0"/>
          <w:i w:val="0"/>
          <w:sz w:val="22"/>
        </w:rPr>
        <w:t>(4) We integrate SHAP TreeExplainer to produce per-user feature contribution explanations, transforming black-box anomaly scores into auditable evidence.</w:t>
      </w:r>
    </w:p>
    <w:p>
      <w:pPr>
        <w:spacing w:after="0" w:line="240" w:lineRule="auto"/>
        <w:ind w:firstLine="283"/>
        <w:jc w:val="both"/>
      </w:pPr>
      <w:r>
        <w:rPr>
          <w:rFonts w:ascii="Times New Roman" w:hAnsi="Times New Roman"/>
          <w:b w:val="0"/>
          <w:i w:val="0"/>
          <w:sz w:val="22"/>
        </w:rPr>
        <w:t>(5) We conduct an ablation study quantifying the individual contribution of each ensemble component using Jaccard index, Cohen’s Kappa, and Precision@K against a rule-based proxy ground truth.</w:t>
      </w:r>
    </w:p>
    <w:p>
      <w:pPr>
        <w:spacing w:before="120" w:after="60" w:line="240" w:lineRule="auto"/>
      </w:pPr>
      <w:r>
        <w:rPr>
          <w:rFonts w:ascii="Times New Roman" w:hAnsi="Times New Roman"/>
          <w:b/>
          <w:i w:val="0"/>
          <w:sz w:val="24"/>
        </w:rPr>
        <w:t>2. Related work</w:t>
      </w:r>
    </w:p>
    <w:p>
      <w:pPr>
        <w:spacing w:after="0" w:line="240" w:lineRule="auto"/>
        <w:ind w:firstLine="283"/>
        <w:jc w:val="both"/>
      </w:pPr>
      <w:r>
        <w:rPr>
          <w:rFonts w:ascii="Times New Roman" w:hAnsi="Times New Roman"/>
          <w:b w:val="0"/>
          <w:i w:val="0"/>
          <w:sz w:val="22"/>
        </w:rPr>
        <w:t>Anomaly detection in security logs has been extensively studied. Liu et al. [5] introduced Isolation Forest, a tree-based anomaly detector based on random partitioning. Breunig et al. [7] proposed the Local Outlier Factor (LOF) for density-based outlier detection. Rousseeuw and Driessen [8] developed the Minimum Covariance Determinant estimator, the basis of Elliptic Envelope.</w:t>
      </w:r>
    </w:p>
    <w:p>
      <w:pPr>
        <w:spacing w:after="0" w:line="240" w:lineRule="auto"/>
        <w:ind w:firstLine="283"/>
        <w:jc w:val="both"/>
      </w:pPr>
      <w:r>
        <w:rPr>
          <w:rFonts w:ascii="Times New Roman" w:hAnsi="Times New Roman"/>
          <w:b w:val="0"/>
          <w:i w:val="0"/>
          <w:sz w:val="22"/>
        </w:rPr>
        <w:t>For explainability, Lundberg and Lee [9] introduced SHAP (SHapley Additive exPlanations), unifying several feature attribution methods. The TreeExplainer variant provides exact Shapley values for tree-based models, including Isolation Forest.</w:t>
      </w:r>
    </w:p>
    <w:p>
      <w:pPr>
        <w:spacing w:after="0" w:line="240" w:lineRule="auto"/>
        <w:ind w:firstLine="283"/>
        <w:jc w:val="both"/>
      </w:pPr>
      <w:r>
        <w:rPr>
          <w:rFonts w:ascii="Times New Roman" w:hAnsi="Times New Roman"/>
          <w:b w:val="0"/>
          <w:i w:val="0"/>
          <w:sz w:val="22"/>
        </w:rPr>
        <w:t>Graph-based representations for security analytics have gained traction. Knowledge graphs enable multi-hop relational queries (e.g., user → device → IP) that are computationally expensive in relational databases. Several studies have explored graph databases for cybersecurity log analysis [1, 4].</w:t>
      </w:r>
    </w:p>
    <w:p>
      <w:pPr>
        <w:spacing w:after="0" w:line="240" w:lineRule="auto"/>
        <w:ind w:firstLine="283"/>
        <w:jc w:val="both"/>
      </w:pPr>
      <w:r>
        <w:rPr>
          <w:rFonts w:ascii="Times New Roman" w:hAnsi="Times New Roman"/>
          <w:b w:val="0"/>
          <w:i w:val="0"/>
          <w:sz w:val="22"/>
        </w:rPr>
        <w:t>For severity classification, Aggarwal [6] discusses quantile-based thresholding as a standard practice in outlier analysis. Goldstein and Uchida [10] provide a comparative evaluation of unsupervised anomaly detection algorithms, emphasizing the importance of methodology-aware evaluation. The Common Vulnerability Scoring System (CVSS) [11] establishes a five-tier severity rating widely adopted in cybersecurity, which we adapt for our anomaly score classification.</w:t>
      </w:r>
    </w:p>
    <w:p>
      <w:pPr>
        <w:spacing w:before="120" w:after="60" w:line="240" w:lineRule="auto"/>
      </w:pPr>
      <w:r>
        <w:rPr>
          <w:rFonts w:ascii="Times New Roman" w:hAnsi="Times New Roman"/>
          <w:b/>
          <w:i w:val="0"/>
          <w:sz w:val="24"/>
        </w:rPr>
        <w:t>3. Proposed method</w:t>
      </w:r>
    </w:p>
    <w:p>
      <w:pPr>
        <w:spacing w:before="60" w:after="40" w:line="240" w:lineRule="auto"/>
      </w:pPr>
      <w:r>
        <w:rPr>
          <w:rFonts w:ascii="Times New Roman" w:hAnsi="Times New Roman"/>
          <w:b/>
          <w:i w:val="0"/>
          <w:sz w:val="22"/>
        </w:rPr>
        <w:t>3.1 System architecture</w:t>
      </w:r>
    </w:p>
    <w:p>
      <w:pPr>
        <w:spacing w:after="0" w:line="240" w:lineRule="auto"/>
        <w:ind w:firstLine="283"/>
        <w:jc w:val="both"/>
      </w:pPr>
      <w:r>
        <w:rPr>
          <w:rFonts w:ascii="Times New Roman" w:hAnsi="Times New Roman"/>
          <w:b w:val="0"/>
          <w:i w:val="0"/>
          <w:sz w:val="22"/>
        </w:rPr>
        <w:t>The proposed pipeline consists of seven sequential phases: (1) Data preparation, (2) Neo4j knowledge graph ingestion, (3) Rule-based engine, (4) Graph feature extraction, (5) Ensemble anomaly detection, (5.5) SHAP explainability, and (6) Reporting. The pipeline transforms raw AD log events into actionable anomaly reports with quantitative explanations.</w:t>
      </w:r>
    </w:p>
    <w:p>
      <w:pPr>
        <w:spacing w:before="60" w:after="40" w:line="240" w:lineRule="auto"/>
      </w:pPr>
      <w:r>
        <w:rPr>
          <w:rFonts w:ascii="Times New Roman" w:hAnsi="Times New Roman"/>
          <w:b/>
          <w:i w:val="0"/>
          <w:sz w:val="22"/>
        </w:rPr>
        <w:t>3.2 Knowledge graph construction</w:t>
      </w:r>
    </w:p>
    <w:p>
      <w:pPr>
        <w:spacing w:after="0" w:line="240" w:lineRule="auto"/>
        <w:ind w:firstLine="283"/>
        <w:jc w:val="both"/>
      </w:pPr>
      <w:r>
        <w:rPr>
          <w:rFonts w:ascii="Times New Roman" w:hAnsi="Times New Roman"/>
          <w:b w:val="0"/>
          <w:i w:val="0"/>
          <w:sz w:val="22"/>
        </w:rPr>
        <w:t>AD audit logs are ingested into Neo4j as a property graph comprising seven node types (User, Hostname, Server, IPAddress, Service, Group, Event) and eight relationship types (LOGIN_FROM, AUTHENTICATED_VIA, FAILED_LOGIN, CONNECTED_FROM, USED_IP, USED_SERVICE, MEMBER_OF, REFERENCES). Each log row produces one or more edges, with timestamp and event metadata stored as edge properties.</w:t>
      </w:r>
    </w:p>
    <w:p>
      <w:pPr>
        <w:spacing w:before="60" w:after="40" w:line="240" w:lineRule="auto"/>
      </w:pPr>
      <w:r>
        <w:rPr>
          <w:rFonts w:ascii="Times New Roman" w:hAnsi="Times New Roman"/>
          <w:b/>
          <w:i w:val="0"/>
          <w:sz w:val="22"/>
        </w:rPr>
        <w:t>3.3 Rule-based knowledge engine</w:t>
      </w:r>
    </w:p>
    <w:p>
      <w:pPr>
        <w:spacing w:after="0" w:line="240" w:lineRule="auto"/>
        <w:ind w:firstLine="283"/>
        <w:jc w:val="both"/>
      </w:pPr>
      <w:r>
        <w:rPr>
          <w:rFonts w:ascii="Times New Roman" w:hAnsi="Times New Roman"/>
          <w:b w:val="0"/>
          <w:i w:val="0"/>
          <w:sz w:val="22"/>
        </w:rPr>
        <w:t>Ten domain rules encoding expert knowledge are implemented as Cypher queries executed directly on the graph. Rules detect patterns such as multi-host login (R001), off-hours access (R002), failed login spikes (R005), and excessive admin actions (R009). Each user’s rule_violations count (0–10) is stored as a node property and serves as both an interpretable signal and an input feature for subsequent ML phases.</w:t>
      </w:r>
    </w:p>
    <w:p>
      <w:pPr>
        <w:spacing w:before="60" w:after="40" w:line="240" w:lineRule="auto"/>
      </w:pPr>
      <w:r>
        <w:rPr>
          <w:rFonts w:ascii="Times New Roman" w:hAnsi="Times New Roman"/>
          <w:b/>
          <w:i w:val="0"/>
          <w:sz w:val="22"/>
        </w:rPr>
        <w:t>3.4 Graph feature extraction</w:t>
      </w:r>
    </w:p>
    <w:p>
      <w:pPr>
        <w:spacing w:after="0" w:line="240" w:lineRule="auto"/>
        <w:ind w:firstLine="283"/>
        <w:jc w:val="both"/>
      </w:pPr>
      <w:r>
        <w:rPr>
          <w:rFonts w:ascii="Times New Roman" w:hAnsi="Times New Roman"/>
          <w:b w:val="0"/>
          <w:i w:val="0"/>
          <w:sz w:val="22"/>
        </w:rPr>
        <w:t>Eleven user-level features are derived from graph relationships, including host diversity, critical server access ratio, failure ratio, shared device risk, IP network risk, privilege level, graph connectivity (degree centrality), rule violations, lockout count, admin actions, and sensitive group membership. These features cannot be computed from row-level CSV data without graph traversal, justifying the graph representation.</w:t>
      </w:r>
    </w:p>
    <w:p>
      <w:pPr>
        <w:spacing w:before="60" w:after="40" w:line="240" w:lineRule="auto"/>
      </w:pPr>
      <w:r>
        <w:rPr>
          <w:rFonts w:ascii="Times New Roman" w:hAnsi="Times New Roman"/>
          <w:b/>
          <w:i w:val="0"/>
          <w:sz w:val="22"/>
        </w:rPr>
        <w:t>3.5 Ensemble anomaly detection</w:t>
      </w:r>
    </w:p>
    <w:p>
      <w:pPr>
        <w:spacing w:after="0" w:line="240" w:lineRule="auto"/>
        <w:ind w:firstLine="283"/>
        <w:jc w:val="both"/>
      </w:pPr>
      <w:r>
        <w:rPr>
          <w:rFonts w:ascii="Times New Roman" w:hAnsi="Times New Roman"/>
          <w:b w:val="0"/>
          <w:i w:val="0"/>
          <w:sz w:val="22"/>
        </w:rPr>
        <w:t>Three heterogeneous unsupervised models are trained on the standardized feature matrix with contamination rate 0.05: Isolation Forest (tree-based), Local Outlier Factor (density-based), and Elliptic Envelope (statistical). Each model independently flags users as anomalous, and a user is considered anomalous if at least two of three models agree (majority voting).</w:t>
      </w:r>
    </w:p>
    <w:p>
      <w:pPr>
        <w:spacing w:after="0" w:line="240" w:lineRule="auto"/>
        <w:ind w:firstLine="283"/>
        <w:jc w:val="both"/>
      </w:pPr>
      <w:r>
        <w:rPr>
          <w:rFonts w:ascii="Times New Roman" w:hAnsi="Times New Roman"/>
          <w:b w:val="0"/>
          <w:i w:val="0"/>
          <w:sz w:val="22"/>
        </w:rPr>
        <w:t>The final anomaly score combines voting and rule violations:</w:t>
      </w:r>
    </w:p>
    <w:p>
      <w:pPr>
        <w:tabs>
          <w:tab w:pos="4320" w:val="right"/>
        </w:tabs>
        <w:spacing w:before="120" w:after="120" w:line="240" w:lineRule="auto"/>
        <w:ind w:left="283"/>
        <w:jc w:val="left"/>
      </w:pPr>
      <w:r>
        <w:rPr>
          <w:rFonts w:ascii="Times New Roman" w:hAnsi="Times New Roman"/>
          <w:b w:val="0"/>
          <w:i/>
          <w:sz w:val="22"/>
        </w:rPr>
        <w:t>final_score = 0.60 × (votes / 3) + 0.40 × (rule_violations / 10)</w:t>
      </w:r>
      <w:r>
        <w:rPr>
          <w:rFonts w:ascii="Times New Roman" w:hAnsi="Times New Roman"/>
          <w:b w:val="0"/>
          <w:i w:val="0"/>
          <w:sz w:val="22"/>
        </w:rPr>
        <w:tab/>
        <w:t>(1)</w:t>
      </w:r>
    </w:p>
    <w:p>
      <w:pPr>
        <w:spacing w:before="60" w:after="40" w:line="240" w:lineRule="auto"/>
      </w:pPr>
      <w:r>
        <w:rPr>
          <w:rFonts w:ascii="Times New Roman" w:hAnsi="Times New Roman"/>
          <w:b/>
          <w:i w:val="0"/>
          <w:sz w:val="22"/>
        </w:rPr>
        <w:t>3.6 Quantile-based severity classification</w:t>
      </w:r>
    </w:p>
    <w:p>
      <w:pPr>
        <w:spacing w:after="0" w:line="240" w:lineRule="auto"/>
        <w:ind w:firstLine="283"/>
        <w:jc w:val="both"/>
      </w:pPr>
      <w:r>
        <w:rPr>
          <w:rFonts w:ascii="Times New Roman" w:hAnsi="Times New Roman"/>
          <w:b w:val="0"/>
          <w:i w:val="0"/>
          <w:sz w:val="22"/>
        </w:rPr>
        <w:t>To avoid arbitrary threshold selection, we classify severity using data-driven quantile thresholds. Given the heavy-tailed distribution of anomaly scores (min=0.034, max=0.640, mean=0.165), absolute thresholds (e.g., direct CVSS mapping) would yield severely unbalanced class distributions.</w:t>
      </w:r>
    </w:p>
    <w:p>
      <w:pPr>
        <w:spacing w:after="0" w:line="240" w:lineRule="auto"/>
        <w:ind w:firstLine="283"/>
        <w:jc w:val="both"/>
      </w:pPr>
      <w:r>
        <w:rPr>
          <w:rFonts w:ascii="Times New Roman" w:hAnsi="Times New Roman"/>
          <w:b w:val="0"/>
          <w:i w:val="0"/>
          <w:sz w:val="22"/>
        </w:rPr>
        <w:t>The five-tier classification follows:</w:t>
      </w:r>
    </w:p>
    <w:p>
      <w:pPr>
        <w:tabs>
          <w:tab w:pos="4320" w:val="right"/>
        </w:tabs>
        <w:spacing w:before="120" w:after="120" w:line="240" w:lineRule="auto"/>
        <w:ind w:left="283"/>
        <w:jc w:val="left"/>
      </w:pPr>
      <w:r>
        <w:rPr>
          <w:rFonts w:ascii="Times New Roman" w:hAnsi="Times New Roman"/>
          <w:b w:val="0"/>
          <w:i/>
          <w:sz w:val="22"/>
        </w:rPr>
        <w:t>CRITICAL: score ≥ P99 (0.3580)</w:t>
      </w:r>
      <w:r>
        <w:rPr>
          <w:rFonts w:ascii="Times New Roman" w:hAnsi="Times New Roman"/>
          <w:b w:val="0"/>
          <w:i w:val="0"/>
          <w:sz w:val="22"/>
        </w:rPr>
        <w:tab/>
        <w:t>(2)</w:t>
      </w:r>
    </w:p>
    <w:p>
      <w:pPr>
        <w:tabs>
          <w:tab w:pos="4320" w:val="right"/>
        </w:tabs>
        <w:spacing w:before="120" w:after="120" w:line="240" w:lineRule="auto"/>
        <w:ind w:left="283"/>
        <w:jc w:val="left"/>
      </w:pPr>
      <w:r>
        <w:rPr>
          <w:rFonts w:ascii="Times New Roman" w:hAnsi="Times New Roman"/>
          <w:b w:val="0"/>
          <w:i/>
          <w:sz w:val="22"/>
        </w:rPr>
        <w:t>HIGH: P95 (0.2916) ≤ score &lt; P99</w:t>
      </w:r>
      <w:r>
        <w:rPr>
          <w:rFonts w:ascii="Times New Roman" w:hAnsi="Times New Roman"/>
          <w:b w:val="0"/>
          <w:i w:val="0"/>
          <w:sz w:val="22"/>
        </w:rPr>
        <w:tab/>
        <w:t>(3)</w:t>
      </w:r>
    </w:p>
    <w:p>
      <w:pPr>
        <w:tabs>
          <w:tab w:pos="4320" w:val="right"/>
        </w:tabs>
        <w:spacing w:before="120" w:after="120" w:line="240" w:lineRule="auto"/>
        <w:ind w:left="283"/>
        <w:jc w:val="left"/>
      </w:pPr>
      <w:r>
        <w:rPr>
          <w:rFonts w:ascii="Times New Roman" w:hAnsi="Times New Roman"/>
          <w:b w:val="0"/>
          <w:i/>
          <w:sz w:val="22"/>
        </w:rPr>
        <w:t>MEDIUM: P90 (0.2377) ≤ score &lt; P95</w:t>
      </w:r>
      <w:r>
        <w:rPr>
          <w:rFonts w:ascii="Times New Roman" w:hAnsi="Times New Roman"/>
          <w:b w:val="0"/>
          <w:i w:val="0"/>
          <w:sz w:val="22"/>
        </w:rPr>
        <w:tab/>
        <w:t>(4)</w:t>
      </w:r>
    </w:p>
    <w:p>
      <w:pPr>
        <w:tabs>
          <w:tab w:pos="4320" w:val="right"/>
        </w:tabs>
        <w:spacing w:before="120" w:after="120" w:line="240" w:lineRule="auto"/>
        <w:ind w:left="283"/>
        <w:jc w:val="left"/>
      </w:pPr>
      <w:r>
        <w:rPr>
          <w:rFonts w:ascii="Times New Roman" w:hAnsi="Times New Roman"/>
          <w:b w:val="0"/>
          <w:i/>
          <w:sz w:val="22"/>
        </w:rPr>
        <w:t>LOW: P75 (0.2095) ≤ score &lt; P90</w:t>
      </w:r>
      <w:r>
        <w:rPr>
          <w:rFonts w:ascii="Times New Roman" w:hAnsi="Times New Roman"/>
          <w:b w:val="0"/>
          <w:i w:val="0"/>
          <w:sz w:val="22"/>
        </w:rPr>
        <w:tab/>
        <w:t>(5)</w:t>
      </w:r>
    </w:p>
    <w:p>
      <w:pPr>
        <w:spacing w:after="0" w:line="240" w:lineRule="auto"/>
        <w:ind w:firstLine="283"/>
        <w:jc w:val="both"/>
      </w:pPr>
      <w:r>
        <w:rPr>
          <w:rFonts w:ascii="Times New Roman" w:hAnsi="Times New Roman"/>
          <w:b w:val="0"/>
          <w:i w:val="0"/>
          <w:sz w:val="22"/>
        </w:rPr>
        <w:t>The choice of P95 specifically aligns with the contamination rate (5%) of the three ML models, ensuring consistency between model assumptions and classification thresholds.</w:t>
      </w:r>
    </w:p>
    <w:p>
      <w:pPr>
        <w:spacing w:before="60" w:after="40" w:line="240" w:lineRule="auto"/>
      </w:pPr>
      <w:r>
        <w:rPr>
          <w:rFonts w:ascii="Times New Roman" w:hAnsi="Times New Roman"/>
          <w:b/>
          <w:i w:val="0"/>
          <w:sz w:val="22"/>
        </w:rPr>
        <w:t>3.7 SHAP explainability</w:t>
      </w:r>
    </w:p>
    <w:p>
      <w:pPr>
        <w:spacing w:after="0" w:line="240" w:lineRule="auto"/>
        <w:ind w:firstLine="283"/>
        <w:jc w:val="both"/>
      </w:pPr>
      <w:r>
        <w:rPr>
          <w:rFonts w:ascii="Times New Roman" w:hAnsi="Times New Roman"/>
          <w:b w:val="0"/>
          <w:i w:val="0"/>
          <w:sz w:val="22"/>
        </w:rPr>
        <w:t>Per-user explanations are generated using SHAP TreeExplainer on the trained Isolation Forest model. For each user, SHAP values quantify the contribution of each feature to the anomaly score. The top contributing feature is recorded as the "top cause" label, enabling security analysts to understand why a user was flagged without inspecting raw scores.</w:t>
      </w:r>
    </w:p>
    <w:p>
      <w:pPr>
        <w:spacing w:before="120" w:after="60" w:line="240" w:lineRule="auto"/>
      </w:pPr>
      <w:r>
        <w:rPr>
          <w:rFonts w:ascii="Times New Roman" w:hAnsi="Times New Roman"/>
          <w:b/>
          <w:i w:val="0"/>
          <w:sz w:val="24"/>
        </w:rPr>
        <w:t>4. Experimental setup</w:t>
      </w:r>
    </w:p>
    <w:p>
      <w:pPr>
        <w:spacing w:before="60" w:after="40" w:line="240" w:lineRule="auto"/>
      </w:pPr>
      <w:r>
        <w:rPr>
          <w:rFonts w:ascii="Times New Roman" w:hAnsi="Times New Roman"/>
          <w:b/>
          <w:i w:val="0"/>
          <w:sz w:val="22"/>
        </w:rPr>
        <w:t>4.1 Dataset</w:t>
      </w:r>
    </w:p>
    <w:p>
      <w:pPr>
        <w:spacing w:after="0" w:line="240" w:lineRule="auto"/>
        <w:ind w:firstLine="283"/>
        <w:jc w:val="both"/>
      </w:pPr>
      <w:r>
        <w:rPr>
          <w:rFonts w:ascii="Times New Roman" w:hAnsi="Times New Roman"/>
          <w:b w:val="0"/>
          <w:i w:val="0"/>
          <w:sz w:val="22"/>
        </w:rPr>
        <w:t>The dataset comprises 1,833,352 AD logon events spanning multiple domain controllers and member servers, exported from ManageEngine ADAudit Plus. After graph ingestion, the dataset is represented as 887 unique users, 1,273 hostnames, 1,275 IP addresses, and 7 servers. Each user is associated with login events, authentication outcomes, group memberships, and administrative actions.</w:t>
      </w:r>
    </w:p>
    <w:p>
      <w:pPr>
        <w:spacing w:before="60" w:after="40" w:line="240" w:lineRule="auto"/>
      </w:pPr>
      <w:r>
        <w:rPr>
          <w:rFonts w:ascii="Times New Roman" w:hAnsi="Times New Roman"/>
          <w:b/>
          <w:i w:val="0"/>
          <w:sz w:val="22"/>
        </w:rPr>
        <w:t>4.2 Implementation</w:t>
      </w:r>
    </w:p>
    <w:p>
      <w:pPr>
        <w:spacing w:after="0" w:line="240" w:lineRule="auto"/>
        <w:ind w:firstLine="283"/>
        <w:jc w:val="both"/>
      </w:pPr>
      <w:r>
        <w:rPr>
          <w:rFonts w:ascii="Times New Roman" w:hAnsi="Times New Roman"/>
          <w:b w:val="0"/>
          <w:i w:val="0"/>
          <w:sz w:val="22"/>
        </w:rPr>
        <w:t>The pipeline is implemented in Python 3.12, with Neo4j 5.x as the graph database. Machine learning models use scikit-learn 1.4 with default parameters except for contamination=0.05. SHAP values are computed using shap 0.46 TreeExplainer. All experiments were conducted on a standard workstation (Windows 11, 16GB RAM).</w:t>
      </w:r>
    </w:p>
    <w:p>
      <w:pPr>
        <w:spacing w:before="60" w:after="40" w:line="240" w:lineRule="auto"/>
      </w:pPr>
      <w:r>
        <w:rPr>
          <w:rFonts w:ascii="Times New Roman" w:hAnsi="Times New Roman"/>
          <w:b/>
          <w:i w:val="0"/>
          <w:sz w:val="22"/>
        </w:rPr>
        <w:t>4.3 Evaluation methodology</w:t>
      </w:r>
    </w:p>
    <w:p>
      <w:pPr>
        <w:spacing w:after="0" w:line="240" w:lineRule="auto"/>
        <w:ind w:firstLine="283"/>
        <w:jc w:val="both"/>
      </w:pPr>
      <w:r>
        <w:rPr>
          <w:rFonts w:ascii="Times New Roman" w:hAnsi="Times New Roman"/>
          <w:b w:val="0"/>
          <w:i w:val="0"/>
          <w:sz w:val="22"/>
        </w:rPr>
        <w:t>Because no ground truth labels are available for unsupervised anomaly detection, evaluation relies on a proxy approach: users with rule_violations ≥ 6 are treated as "true anomalies." We report standard classification metrics (Accuracy, Precision, Recall, F1) against this proxy for each ensemble configuration, alongside Precision@K, Jaccard index, and Cohen’s Kappa for inter-model agreement. We emphasize that these metrics are computed against a rule-based proxy rather than expert-validated labels; consequently, they should be interpreted as weak supervision and are inherently biased toward detectors aligned with the rule engine. To mitigate over-interpretation, we additionally conduct a sensitivity analysis across multiple proxy thresholds.</w:t>
      </w:r>
    </w:p>
    <w:p>
      <w:pPr>
        <w:spacing w:before="120" w:after="60" w:line="240" w:lineRule="auto"/>
      </w:pPr>
      <w:r>
        <w:rPr>
          <w:rFonts w:ascii="Times New Roman" w:hAnsi="Times New Roman"/>
          <w:b/>
          <w:i w:val="0"/>
          <w:sz w:val="24"/>
        </w:rPr>
        <w:t>5. Results and discussion</w:t>
      </w:r>
    </w:p>
    <w:p>
      <w:pPr>
        <w:spacing w:before="60" w:after="40" w:line="240" w:lineRule="auto"/>
      </w:pPr>
      <w:r>
        <w:rPr>
          <w:rFonts w:ascii="Times New Roman" w:hAnsi="Times New Roman"/>
          <w:b/>
          <w:i w:val="0"/>
          <w:sz w:val="22"/>
        </w:rPr>
        <w:t>5.1 Severity distribution</w:t>
      </w:r>
    </w:p>
    <w:p>
      <w:pPr>
        <w:spacing w:after="0" w:line="240" w:lineRule="auto"/>
        <w:ind w:firstLine="283"/>
        <w:jc w:val="both"/>
      </w:pPr>
      <w:r>
        <w:rPr>
          <w:rFonts w:ascii="Times New Roman" w:hAnsi="Times New Roman"/>
          <w:b w:val="0"/>
          <w:i w:val="0"/>
          <w:sz w:val="22"/>
        </w:rPr>
        <w:t>Table 1 summarizes the severity distribution under quantile-based classification. A total of 89 users (10.0%) are classified as MEDIUM severity or higher, while 9 users are flagged as CRITICAL (top 1%).</w:t>
      </w:r>
    </w:p>
    <w:p>
      <w:pPr>
        <w:spacing w:before="120" w:after="60"/>
        <w:jc w:val="center"/>
      </w:pPr>
      <w:r>
        <w:rPr>
          <w:rFonts w:ascii="Times New Roman" w:hAnsi="Times New Roman"/>
          <w:b w:val="0"/>
          <w:i w:val="0"/>
          <w:sz w:val="20"/>
        </w:rPr>
        <w:t>Table 1. Severity distribution with quantile-based thresholds</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38"/>
          </w:tcPr>
          <w:p>
            <w:pPr>
              <w:jc w:val="center"/>
            </w:pPr>
            <w:r/>
            <w:r>
              <w:rPr>
                <w:rFonts w:ascii="Times New Roman" w:hAnsi="Times New Roman"/>
                <w:b/>
                <w:i w:val="0"/>
                <w:sz w:val="20"/>
              </w:rPr>
              <w:t>Severity</w:t>
            </w:r>
          </w:p>
        </w:tc>
        <w:tc>
          <w:tcPr>
            <w:tcW w:type="dxa" w:w="2438"/>
          </w:tcPr>
          <w:p>
            <w:pPr>
              <w:jc w:val="center"/>
            </w:pPr>
            <w:r/>
            <w:r>
              <w:rPr>
                <w:rFonts w:ascii="Times New Roman" w:hAnsi="Times New Roman"/>
                <w:b/>
                <w:i w:val="0"/>
                <w:sz w:val="20"/>
              </w:rPr>
              <w:t>Threshold</w:t>
            </w:r>
          </w:p>
        </w:tc>
        <w:tc>
          <w:tcPr>
            <w:tcW w:type="dxa" w:w="2438"/>
          </w:tcPr>
          <w:p>
            <w:pPr>
              <w:jc w:val="center"/>
            </w:pPr>
            <w:r/>
            <w:r>
              <w:rPr>
                <w:rFonts w:ascii="Times New Roman" w:hAnsi="Times New Roman"/>
                <w:b/>
                <w:i w:val="0"/>
                <w:sz w:val="20"/>
              </w:rPr>
              <w:t>Users</w:t>
            </w:r>
          </w:p>
        </w:tc>
        <w:tc>
          <w:tcPr>
            <w:tcW w:type="dxa" w:w="2438"/>
          </w:tcPr>
          <w:p>
            <w:pPr>
              <w:jc w:val="center"/>
            </w:pPr>
            <w:r/>
            <w:r>
              <w:rPr>
                <w:rFonts w:ascii="Times New Roman" w:hAnsi="Times New Roman"/>
                <w:b/>
                <w:i w:val="0"/>
                <w:sz w:val="20"/>
              </w:rPr>
              <w:t>Percentage</w:t>
            </w:r>
          </w:p>
        </w:tc>
      </w:tr>
      <w:tr>
        <w:tc>
          <w:tcPr>
            <w:tcW w:type="dxa" w:w="2438"/>
          </w:tcPr>
          <w:p>
            <w:pPr>
              <w:jc w:val="center"/>
            </w:pPr>
            <w:r/>
            <w:r>
              <w:rPr>
                <w:rFonts w:ascii="Times New Roman" w:hAnsi="Times New Roman"/>
                <w:b w:val="0"/>
                <w:i w:val="0"/>
                <w:sz w:val="20"/>
              </w:rPr>
              <w:t>CRITICAL</w:t>
            </w:r>
          </w:p>
        </w:tc>
        <w:tc>
          <w:tcPr>
            <w:tcW w:type="dxa" w:w="2438"/>
          </w:tcPr>
          <w:p>
            <w:pPr>
              <w:jc w:val="center"/>
            </w:pPr>
            <w:r/>
            <w:r>
              <w:rPr>
                <w:rFonts w:ascii="Times New Roman" w:hAnsi="Times New Roman"/>
                <w:b w:val="0"/>
                <w:i w:val="0"/>
                <w:sz w:val="20"/>
              </w:rPr>
              <w:t>≥ 0.3580</w:t>
            </w:r>
          </w:p>
        </w:tc>
        <w:tc>
          <w:tcPr>
            <w:tcW w:type="dxa" w:w="2438"/>
          </w:tcPr>
          <w:p>
            <w:pPr>
              <w:jc w:val="center"/>
            </w:pPr>
            <w:r/>
            <w:r>
              <w:rPr>
                <w:rFonts w:ascii="Times New Roman" w:hAnsi="Times New Roman"/>
                <w:b w:val="0"/>
                <w:i w:val="0"/>
                <w:sz w:val="20"/>
              </w:rPr>
              <w:t>9</w:t>
            </w:r>
          </w:p>
        </w:tc>
        <w:tc>
          <w:tcPr>
            <w:tcW w:type="dxa" w:w="2438"/>
          </w:tcPr>
          <w:p>
            <w:pPr>
              <w:jc w:val="center"/>
            </w:pPr>
            <w:r/>
            <w:r>
              <w:rPr>
                <w:rFonts w:ascii="Times New Roman" w:hAnsi="Times New Roman"/>
                <w:b w:val="0"/>
                <w:i w:val="0"/>
                <w:sz w:val="20"/>
              </w:rPr>
              <w:t>1.0%</w:t>
            </w:r>
          </w:p>
        </w:tc>
      </w:tr>
      <w:tr>
        <w:tc>
          <w:tcPr>
            <w:tcW w:type="dxa" w:w="2438"/>
          </w:tcPr>
          <w:p>
            <w:pPr>
              <w:jc w:val="center"/>
            </w:pPr>
            <w:r/>
            <w:r>
              <w:rPr>
                <w:rFonts w:ascii="Times New Roman" w:hAnsi="Times New Roman"/>
                <w:b w:val="0"/>
                <w:i w:val="0"/>
                <w:sz w:val="20"/>
              </w:rPr>
              <w:t>HIGH</w:t>
            </w:r>
          </w:p>
        </w:tc>
        <w:tc>
          <w:tcPr>
            <w:tcW w:type="dxa" w:w="2438"/>
          </w:tcPr>
          <w:p>
            <w:pPr>
              <w:jc w:val="center"/>
            </w:pPr>
            <w:r/>
            <w:r>
              <w:rPr>
                <w:rFonts w:ascii="Times New Roman" w:hAnsi="Times New Roman"/>
                <w:b w:val="0"/>
                <w:i w:val="0"/>
                <w:sz w:val="20"/>
              </w:rPr>
              <w:t>≥ 0.2916</w:t>
            </w:r>
          </w:p>
        </w:tc>
        <w:tc>
          <w:tcPr>
            <w:tcW w:type="dxa" w:w="2438"/>
          </w:tcPr>
          <w:p>
            <w:pPr>
              <w:jc w:val="center"/>
            </w:pPr>
            <w:r/>
            <w:r>
              <w:rPr>
                <w:rFonts w:ascii="Times New Roman" w:hAnsi="Times New Roman"/>
                <w:b w:val="0"/>
                <w:i w:val="0"/>
                <w:sz w:val="20"/>
              </w:rPr>
              <w:t>36</w:t>
            </w:r>
          </w:p>
        </w:tc>
        <w:tc>
          <w:tcPr>
            <w:tcW w:type="dxa" w:w="2438"/>
          </w:tcPr>
          <w:p>
            <w:pPr>
              <w:jc w:val="center"/>
            </w:pPr>
            <w:r/>
            <w:r>
              <w:rPr>
                <w:rFonts w:ascii="Times New Roman" w:hAnsi="Times New Roman"/>
                <w:b w:val="0"/>
                <w:i w:val="0"/>
                <w:sz w:val="20"/>
              </w:rPr>
              <w:t>4.1%</w:t>
            </w:r>
          </w:p>
        </w:tc>
      </w:tr>
      <w:tr>
        <w:tc>
          <w:tcPr>
            <w:tcW w:type="dxa" w:w="2438"/>
          </w:tcPr>
          <w:p>
            <w:pPr>
              <w:jc w:val="center"/>
            </w:pPr>
            <w:r/>
            <w:r>
              <w:rPr>
                <w:rFonts w:ascii="Times New Roman" w:hAnsi="Times New Roman"/>
                <w:b w:val="0"/>
                <w:i w:val="0"/>
                <w:sz w:val="20"/>
              </w:rPr>
              <w:t>MEDIUM</w:t>
            </w:r>
          </w:p>
        </w:tc>
        <w:tc>
          <w:tcPr>
            <w:tcW w:type="dxa" w:w="2438"/>
          </w:tcPr>
          <w:p>
            <w:pPr>
              <w:jc w:val="center"/>
            </w:pPr>
            <w:r/>
            <w:r>
              <w:rPr>
                <w:rFonts w:ascii="Times New Roman" w:hAnsi="Times New Roman"/>
                <w:b w:val="0"/>
                <w:i w:val="0"/>
                <w:sz w:val="20"/>
              </w:rPr>
              <w:t>≥ 0.2377</w:t>
            </w:r>
          </w:p>
        </w:tc>
        <w:tc>
          <w:tcPr>
            <w:tcW w:type="dxa" w:w="2438"/>
          </w:tcPr>
          <w:p>
            <w:pPr>
              <w:jc w:val="center"/>
            </w:pPr>
            <w:r/>
            <w:r>
              <w:rPr>
                <w:rFonts w:ascii="Times New Roman" w:hAnsi="Times New Roman"/>
                <w:b w:val="0"/>
                <w:i w:val="0"/>
                <w:sz w:val="20"/>
              </w:rPr>
              <w:t>44</w:t>
            </w:r>
          </w:p>
        </w:tc>
        <w:tc>
          <w:tcPr>
            <w:tcW w:type="dxa" w:w="2438"/>
          </w:tcPr>
          <w:p>
            <w:pPr>
              <w:jc w:val="center"/>
            </w:pPr>
            <w:r/>
            <w:r>
              <w:rPr>
                <w:rFonts w:ascii="Times New Roman" w:hAnsi="Times New Roman"/>
                <w:b w:val="0"/>
                <w:i w:val="0"/>
                <w:sz w:val="20"/>
              </w:rPr>
              <w:t>5.0%</w:t>
            </w:r>
          </w:p>
        </w:tc>
      </w:tr>
      <w:tr>
        <w:tc>
          <w:tcPr>
            <w:tcW w:type="dxa" w:w="2438"/>
          </w:tcPr>
          <w:p>
            <w:pPr>
              <w:jc w:val="center"/>
            </w:pPr>
            <w:r/>
            <w:r>
              <w:rPr>
                <w:rFonts w:ascii="Times New Roman" w:hAnsi="Times New Roman"/>
                <w:b w:val="0"/>
                <w:i w:val="0"/>
                <w:sz w:val="20"/>
              </w:rPr>
              <w:t>LOW</w:t>
            </w:r>
          </w:p>
        </w:tc>
        <w:tc>
          <w:tcPr>
            <w:tcW w:type="dxa" w:w="2438"/>
          </w:tcPr>
          <w:p>
            <w:pPr>
              <w:jc w:val="center"/>
            </w:pPr>
            <w:r/>
            <w:r>
              <w:rPr>
                <w:rFonts w:ascii="Times New Roman" w:hAnsi="Times New Roman"/>
                <w:b w:val="0"/>
                <w:i w:val="0"/>
                <w:sz w:val="20"/>
              </w:rPr>
              <w:t>≥ 0.2095</w:t>
            </w:r>
          </w:p>
        </w:tc>
        <w:tc>
          <w:tcPr>
            <w:tcW w:type="dxa" w:w="2438"/>
          </w:tcPr>
          <w:p>
            <w:pPr>
              <w:jc w:val="center"/>
            </w:pPr>
            <w:r/>
            <w:r>
              <w:rPr>
                <w:rFonts w:ascii="Times New Roman" w:hAnsi="Times New Roman"/>
                <w:b w:val="0"/>
                <w:i w:val="0"/>
                <w:sz w:val="20"/>
              </w:rPr>
              <w:t>133</w:t>
            </w:r>
          </w:p>
        </w:tc>
        <w:tc>
          <w:tcPr>
            <w:tcW w:type="dxa" w:w="2438"/>
          </w:tcPr>
          <w:p>
            <w:pPr>
              <w:jc w:val="center"/>
            </w:pPr>
            <w:r/>
            <w:r>
              <w:rPr>
                <w:rFonts w:ascii="Times New Roman" w:hAnsi="Times New Roman"/>
                <w:b w:val="0"/>
                <w:i w:val="0"/>
                <w:sz w:val="20"/>
              </w:rPr>
              <w:t>15.0%</w:t>
            </w:r>
          </w:p>
        </w:tc>
      </w:tr>
      <w:tr>
        <w:tc>
          <w:tcPr>
            <w:tcW w:type="dxa" w:w="2438"/>
          </w:tcPr>
          <w:p>
            <w:pPr>
              <w:jc w:val="center"/>
            </w:pPr>
            <w:r/>
            <w:r>
              <w:rPr>
                <w:rFonts w:ascii="Times New Roman" w:hAnsi="Times New Roman"/>
                <w:b w:val="0"/>
                <w:i w:val="0"/>
                <w:sz w:val="20"/>
              </w:rPr>
              <w:t>NORMAL</w:t>
            </w:r>
          </w:p>
        </w:tc>
        <w:tc>
          <w:tcPr>
            <w:tcW w:type="dxa" w:w="2438"/>
          </w:tcPr>
          <w:p>
            <w:pPr>
              <w:jc w:val="center"/>
            </w:pPr>
            <w:r/>
            <w:r>
              <w:rPr>
                <w:rFonts w:ascii="Times New Roman" w:hAnsi="Times New Roman"/>
                <w:b w:val="0"/>
                <w:i w:val="0"/>
                <w:sz w:val="20"/>
              </w:rPr>
              <w:t>&lt; 0.2095</w:t>
            </w:r>
          </w:p>
        </w:tc>
        <w:tc>
          <w:tcPr>
            <w:tcW w:type="dxa" w:w="2438"/>
          </w:tcPr>
          <w:p>
            <w:pPr>
              <w:jc w:val="center"/>
            </w:pPr>
            <w:r/>
            <w:r>
              <w:rPr>
                <w:rFonts w:ascii="Times New Roman" w:hAnsi="Times New Roman"/>
                <w:b w:val="0"/>
                <w:i w:val="0"/>
                <w:sz w:val="20"/>
              </w:rPr>
              <w:t>665</w:t>
            </w:r>
          </w:p>
        </w:tc>
        <w:tc>
          <w:tcPr>
            <w:tcW w:type="dxa" w:w="2438"/>
          </w:tcPr>
          <w:p>
            <w:pPr>
              <w:jc w:val="center"/>
            </w:pPr>
            <w:r/>
            <w:r>
              <w:rPr>
                <w:rFonts w:ascii="Times New Roman" w:hAnsi="Times New Roman"/>
                <w:b w:val="0"/>
                <w:i w:val="0"/>
                <w:sz w:val="20"/>
              </w:rPr>
              <w:t>75.0%</w:t>
            </w:r>
          </w:p>
        </w:tc>
      </w:tr>
    </w:tbl>
    <w:p>
      <w:pPr>
        <w:spacing w:after="60"/>
      </w:pPr>
    </w:p>
    <w:p>
      <w:pPr>
        <w:spacing w:before="60" w:after="40" w:line="240" w:lineRule="auto"/>
      </w:pPr>
      <w:r>
        <w:rPr>
          <w:rFonts w:ascii="Times New Roman" w:hAnsi="Times New Roman"/>
          <w:b/>
          <w:i w:val="0"/>
          <w:sz w:val="22"/>
        </w:rPr>
        <w:t>5.2 Top anomalous users</w:t>
      </w:r>
    </w:p>
    <w:p>
      <w:pPr>
        <w:spacing w:after="0" w:line="240" w:lineRule="auto"/>
        <w:ind w:firstLine="283"/>
        <w:jc w:val="both"/>
      </w:pPr>
      <w:r>
        <w:rPr>
          <w:rFonts w:ascii="Times New Roman" w:hAnsi="Times New Roman"/>
          <w:b w:val="0"/>
          <w:i w:val="0"/>
          <w:sz w:val="22"/>
        </w:rPr>
        <w:t>Table 2 presents the top five anomalous users ranked by anomaly score, with their rule violation counts, ensemble voting, and SHAP-derived top causes. The highest-scoring user (mti.admin) achieves a score of 0.6400 with all three models in agreement and 6 out of 10 rules violated.</w:t>
      </w:r>
    </w:p>
    <w:p>
      <w:pPr>
        <w:spacing w:before="120" w:after="60"/>
        <w:jc w:val="center"/>
      </w:pPr>
      <w:r>
        <w:rPr>
          <w:rFonts w:ascii="Times New Roman" w:hAnsi="Times New Roman"/>
          <w:b w:val="0"/>
          <w:i w:val="0"/>
          <w:sz w:val="20"/>
        </w:rPr>
        <w:t>Table 2. Top 5 anomalous users with SHAP explanations</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pPr>
              <w:jc w:val="center"/>
            </w:pPr>
            <w:r/>
            <w:r>
              <w:rPr>
                <w:rFonts w:ascii="Times New Roman" w:hAnsi="Times New Roman"/>
                <w:b/>
                <w:i w:val="0"/>
                <w:sz w:val="20"/>
              </w:rPr>
              <w:t>Username</w:t>
            </w:r>
          </w:p>
        </w:tc>
        <w:tc>
          <w:tcPr>
            <w:tcW w:type="dxa" w:w="1625"/>
          </w:tcPr>
          <w:p>
            <w:pPr>
              <w:jc w:val="center"/>
            </w:pPr>
            <w:r/>
            <w:r>
              <w:rPr>
                <w:rFonts w:ascii="Times New Roman" w:hAnsi="Times New Roman"/>
                <w:b/>
                <w:i w:val="0"/>
                <w:sz w:val="20"/>
              </w:rPr>
              <w:t>Score</w:t>
            </w:r>
          </w:p>
        </w:tc>
        <w:tc>
          <w:tcPr>
            <w:tcW w:type="dxa" w:w="1625"/>
          </w:tcPr>
          <w:p>
            <w:pPr>
              <w:jc w:val="center"/>
            </w:pPr>
            <w:r/>
            <w:r>
              <w:rPr>
                <w:rFonts w:ascii="Times New Roman" w:hAnsi="Times New Roman"/>
                <w:b/>
                <w:i w:val="0"/>
                <w:sz w:val="20"/>
              </w:rPr>
              <w:t>Severity</w:t>
            </w:r>
          </w:p>
        </w:tc>
        <w:tc>
          <w:tcPr>
            <w:tcW w:type="dxa" w:w="1625"/>
          </w:tcPr>
          <w:p>
            <w:pPr>
              <w:jc w:val="center"/>
            </w:pPr>
            <w:r/>
            <w:r>
              <w:rPr>
                <w:rFonts w:ascii="Times New Roman" w:hAnsi="Times New Roman"/>
                <w:b/>
                <w:i w:val="0"/>
                <w:sz w:val="20"/>
              </w:rPr>
              <w:t>Rules</w:t>
            </w:r>
          </w:p>
        </w:tc>
        <w:tc>
          <w:tcPr>
            <w:tcW w:type="dxa" w:w="1625"/>
          </w:tcPr>
          <w:p>
            <w:pPr>
              <w:jc w:val="center"/>
            </w:pPr>
            <w:r/>
            <w:r>
              <w:rPr>
                <w:rFonts w:ascii="Times New Roman" w:hAnsi="Times New Roman"/>
                <w:b/>
                <w:i w:val="0"/>
                <w:sz w:val="20"/>
              </w:rPr>
              <w:t>Votes</w:t>
            </w:r>
          </w:p>
        </w:tc>
        <w:tc>
          <w:tcPr>
            <w:tcW w:type="dxa" w:w="1625"/>
          </w:tcPr>
          <w:p>
            <w:pPr>
              <w:jc w:val="center"/>
            </w:pPr>
            <w:r/>
            <w:r>
              <w:rPr>
                <w:rFonts w:ascii="Times New Roman" w:hAnsi="Times New Roman"/>
                <w:b/>
                <w:i w:val="0"/>
                <w:sz w:val="20"/>
              </w:rPr>
              <w:t>Top SHAP Cause</w:t>
            </w:r>
          </w:p>
        </w:tc>
      </w:tr>
      <w:tr>
        <w:tc>
          <w:tcPr>
            <w:tcW w:type="dxa" w:w="1625"/>
          </w:tcPr>
          <w:p>
            <w:pPr>
              <w:jc w:val="center"/>
            </w:pPr>
            <w:r/>
            <w:r>
              <w:rPr>
                <w:rFonts w:ascii="Times New Roman" w:hAnsi="Times New Roman"/>
                <w:b w:val="0"/>
                <w:i w:val="0"/>
                <w:sz w:val="20"/>
              </w:rPr>
              <w:t>mti.admin</w:t>
            </w:r>
          </w:p>
        </w:tc>
        <w:tc>
          <w:tcPr>
            <w:tcW w:type="dxa" w:w="1625"/>
          </w:tcPr>
          <w:p>
            <w:pPr>
              <w:jc w:val="center"/>
            </w:pPr>
            <w:r/>
            <w:r>
              <w:rPr>
                <w:rFonts w:ascii="Times New Roman" w:hAnsi="Times New Roman"/>
                <w:b w:val="0"/>
                <w:i w:val="0"/>
                <w:sz w:val="20"/>
              </w:rPr>
              <w:t>0.6400</w:t>
            </w:r>
          </w:p>
        </w:tc>
        <w:tc>
          <w:tcPr>
            <w:tcW w:type="dxa" w:w="1625"/>
          </w:tcPr>
          <w:p>
            <w:pPr>
              <w:jc w:val="center"/>
            </w:pPr>
            <w:r/>
            <w:r>
              <w:rPr>
                <w:rFonts w:ascii="Times New Roman" w:hAnsi="Times New Roman"/>
                <w:b w:val="0"/>
                <w:i w:val="0"/>
                <w:sz w:val="20"/>
              </w:rPr>
              <w:t>CRITICAL</w:t>
            </w:r>
          </w:p>
        </w:tc>
        <w:tc>
          <w:tcPr>
            <w:tcW w:type="dxa" w:w="1625"/>
          </w:tcPr>
          <w:p>
            <w:pPr>
              <w:jc w:val="center"/>
            </w:pPr>
            <w:r/>
            <w:r>
              <w:rPr>
                <w:rFonts w:ascii="Times New Roman" w:hAnsi="Times New Roman"/>
                <w:b w:val="0"/>
                <w:i w:val="0"/>
                <w:sz w:val="20"/>
              </w:rPr>
              <w:t>6/10</w:t>
            </w:r>
          </w:p>
        </w:tc>
        <w:tc>
          <w:tcPr>
            <w:tcW w:type="dxa" w:w="1625"/>
          </w:tcPr>
          <w:p>
            <w:pPr>
              <w:jc w:val="center"/>
            </w:pPr>
            <w:r/>
            <w:r>
              <w:rPr>
                <w:rFonts w:ascii="Times New Roman" w:hAnsi="Times New Roman"/>
                <w:b w:val="0"/>
                <w:i w:val="0"/>
                <w:sz w:val="20"/>
              </w:rPr>
              <w:t>3/3</w:t>
            </w:r>
          </w:p>
        </w:tc>
        <w:tc>
          <w:tcPr>
            <w:tcW w:type="dxa" w:w="1625"/>
          </w:tcPr>
          <w:p>
            <w:pPr>
              <w:jc w:val="center"/>
            </w:pPr>
            <w:r/>
            <w:r>
              <w:rPr>
                <w:rFonts w:ascii="Times New Roman" w:hAnsi="Times New Roman"/>
                <w:b w:val="0"/>
                <w:i w:val="0"/>
                <w:sz w:val="20"/>
              </w:rPr>
              <w:t>Sering lockout</w:t>
            </w:r>
          </w:p>
        </w:tc>
      </w:tr>
      <w:tr>
        <w:tc>
          <w:tcPr>
            <w:tcW w:type="dxa" w:w="1625"/>
          </w:tcPr>
          <w:p>
            <w:pPr>
              <w:jc w:val="center"/>
            </w:pPr>
            <w:r/>
            <w:r>
              <w:rPr>
                <w:rFonts w:ascii="Times New Roman" w:hAnsi="Times New Roman"/>
                <w:b w:val="0"/>
                <w:i w:val="0"/>
                <w:sz w:val="20"/>
              </w:rPr>
              <w:t>andre.saputra</w:t>
            </w:r>
          </w:p>
        </w:tc>
        <w:tc>
          <w:tcPr>
            <w:tcW w:type="dxa" w:w="1625"/>
          </w:tcPr>
          <w:p>
            <w:pPr>
              <w:jc w:val="center"/>
            </w:pPr>
            <w:r/>
            <w:r>
              <w:rPr>
                <w:rFonts w:ascii="Times New Roman" w:hAnsi="Times New Roman"/>
                <w:b w:val="0"/>
                <w:i w:val="0"/>
                <w:sz w:val="20"/>
              </w:rPr>
              <w:t>0.3925</w:t>
            </w:r>
          </w:p>
        </w:tc>
        <w:tc>
          <w:tcPr>
            <w:tcW w:type="dxa" w:w="1625"/>
          </w:tcPr>
          <w:p>
            <w:pPr>
              <w:jc w:val="center"/>
            </w:pPr>
            <w:r/>
            <w:r>
              <w:rPr>
                <w:rFonts w:ascii="Times New Roman" w:hAnsi="Times New Roman"/>
                <w:b w:val="0"/>
                <w:i w:val="0"/>
                <w:sz w:val="20"/>
              </w:rPr>
              <w:t>CRITICAL</w:t>
            </w:r>
          </w:p>
        </w:tc>
        <w:tc>
          <w:tcPr>
            <w:tcW w:type="dxa" w:w="1625"/>
          </w:tcPr>
          <w:p>
            <w:pPr>
              <w:jc w:val="center"/>
            </w:pPr>
            <w:r/>
            <w:r>
              <w:rPr>
                <w:rFonts w:ascii="Times New Roman" w:hAnsi="Times New Roman"/>
                <w:b w:val="0"/>
                <w:i w:val="0"/>
                <w:sz w:val="20"/>
              </w:rPr>
              <w:t>7/10</w:t>
            </w:r>
          </w:p>
        </w:tc>
        <w:tc>
          <w:tcPr>
            <w:tcW w:type="dxa" w:w="1625"/>
          </w:tcPr>
          <w:p>
            <w:pPr>
              <w:jc w:val="center"/>
            </w:pPr>
            <w:r/>
            <w:r>
              <w:rPr>
                <w:rFonts w:ascii="Times New Roman" w:hAnsi="Times New Roman"/>
                <w:b w:val="0"/>
                <w:i w:val="0"/>
                <w:sz w:val="20"/>
              </w:rPr>
              <w:t>2/3</w:t>
            </w:r>
          </w:p>
        </w:tc>
        <w:tc>
          <w:tcPr>
            <w:tcW w:type="dxa" w:w="1625"/>
          </w:tcPr>
          <w:p>
            <w:pPr>
              <w:jc w:val="center"/>
            </w:pPr>
            <w:r/>
            <w:r>
              <w:rPr>
                <w:rFonts w:ascii="Times New Roman" w:hAnsi="Times New Roman"/>
                <w:b w:val="0"/>
                <w:i w:val="0"/>
                <w:sz w:val="20"/>
              </w:rPr>
              <w:t>Banyak admin action</w:t>
            </w:r>
          </w:p>
        </w:tc>
      </w:tr>
      <w:tr>
        <w:tc>
          <w:tcPr>
            <w:tcW w:type="dxa" w:w="1625"/>
          </w:tcPr>
          <w:p>
            <w:pPr>
              <w:jc w:val="center"/>
            </w:pPr>
            <w:r/>
            <w:r>
              <w:rPr>
                <w:rFonts w:ascii="Times New Roman" w:hAnsi="Times New Roman"/>
                <w:b w:val="0"/>
                <w:i w:val="0"/>
                <w:sz w:val="20"/>
              </w:rPr>
              <w:t>mahathir.muhammad</w:t>
            </w:r>
          </w:p>
        </w:tc>
        <w:tc>
          <w:tcPr>
            <w:tcW w:type="dxa" w:w="1625"/>
          </w:tcPr>
          <w:p>
            <w:pPr>
              <w:jc w:val="center"/>
            </w:pPr>
            <w:r/>
            <w:r>
              <w:rPr>
                <w:rFonts w:ascii="Times New Roman" w:hAnsi="Times New Roman"/>
                <w:b w:val="0"/>
                <w:i w:val="0"/>
                <w:sz w:val="20"/>
              </w:rPr>
              <w:t>0.3914</w:t>
            </w:r>
          </w:p>
        </w:tc>
        <w:tc>
          <w:tcPr>
            <w:tcW w:type="dxa" w:w="1625"/>
          </w:tcPr>
          <w:p>
            <w:pPr>
              <w:jc w:val="center"/>
            </w:pPr>
            <w:r/>
            <w:r>
              <w:rPr>
                <w:rFonts w:ascii="Times New Roman" w:hAnsi="Times New Roman"/>
                <w:b w:val="0"/>
                <w:i w:val="0"/>
                <w:sz w:val="20"/>
              </w:rPr>
              <w:t>CRITICAL</w:t>
            </w:r>
          </w:p>
        </w:tc>
        <w:tc>
          <w:tcPr>
            <w:tcW w:type="dxa" w:w="1625"/>
          </w:tcPr>
          <w:p>
            <w:pPr>
              <w:jc w:val="center"/>
            </w:pPr>
            <w:r/>
            <w:r>
              <w:rPr>
                <w:rFonts w:ascii="Times New Roman" w:hAnsi="Times New Roman"/>
                <w:b w:val="0"/>
                <w:i w:val="0"/>
                <w:sz w:val="20"/>
              </w:rPr>
              <w:t>6/10</w:t>
            </w:r>
          </w:p>
        </w:tc>
        <w:tc>
          <w:tcPr>
            <w:tcW w:type="dxa" w:w="1625"/>
          </w:tcPr>
          <w:p>
            <w:pPr>
              <w:jc w:val="center"/>
            </w:pPr>
            <w:r/>
            <w:r>
              <w:rPr>
                <w:rFonts w:ascii="Times New Roman" w:hAnsi="Times New Roman"/>
                <w:b w:val="0"/>
                <w:i w:val="0"/>
                <w:sz w:val="20"/>
              </w:rPr>
              <w:t>2/3</w:t>
            </w:r>
          </w:p>
        </w:tc>
        <w:tc>
          <w:tcPr>
            <w:tcW w:type="dxa" w:w="1625"/>
          </w:tcPr>
          <w:p>
            <w:pPr>
              <w:jc w:val="center"/>
            </w:pPr>
            <w:r/>
            <w:r>
              <w:rPr>
                <w:rFonts w:ascii="Times New Roman" w:hAnsi="Times New Roman"/>
                <w:b w:val="0"/>
                <w:i w:val="0"/>
                <w:sz w:val="20"/>
              </w:rPr>
              <w:t>Banyak admin action</w:t>
            </w:r>
          </w:p>
        </w:tc>
      </w:tr>
      <w:tr>
        <w:tc>
          <w:tcPr>
            <w:tcW w:type="dxa" w:w="1625"/>
          </w:tcPr>
          <w:p>
            <w:pPr>
              <w:jc w:val="center"/>
            </w:pPr>
            <w:r/>
            <w:r>
              <w:rPr>
                <w:rFonts w:ascii="Times New Roman" w:hAnsi="Times New Roman"/>
                <w:b w:val="0"/>
                <w:i w:val="0"/>
                <w:sz w:val="20"/>
              </w:rPr>
              <w:t>mti.sysadmin</w:t>
            </w:r>
          </w:p>
        </w:tc>
        <w:tc>
          <w:tcPr>
            <w:tcW w:type="dxa" w:w="1625"/>
          </w:tcPr>
          <w:p>
            <w:pPr>
              <w:jc w:val="center"/>
            </w:pPr>
            <w:r/>
            <w:r>
              <w:rPr>
                <w:rFonts w:ascii="Times New Roman" w:hAnsi="Times New Roman"/>
                <w:b w:val="0"/>
                <w:i w:val="0"/>
                <w:sz w:val="20"/>
              </w:rPr>
              <w:t>0.3911</w:t>
            </w:r>
          </w:p>
        </w:tc>
        <w:tc>
          <w:tcPr>
            <w:tcW w:type="dxa" w:w="1625"/>
          </w:tcPr>
          <w:p>
            <w:pPr>
              <w:jc w:val="center"/>
            </w:pPr>
            <w:r/>
            <w:r>
              <w:rPr>
                <w:rFonts w:ascii="Times New Roman" w:hAnsi="Times New Roman"/>
                <w:b w:val="0"/>
                <w:i w:val="0"/>
                <w:sz w:val="20"/>
              </w:rPr>
              <w:t>CRITICAL</w:t>
            </w:r>
          </w:p>
        </w:tc>
        <w:tc>
          <w:tcPr>
            <w:tcW w:type="dxa" w:w="1625"/>
          </w:tcPr>
          <w:p>
            <w:pPr>
              <w:jc w:val="center"/>
            </w:pPr>
            <w:r/>
            <w:r>
              <w:rPr>
                <w:rFonts w:ascii="Times New Roman" w:hAnsi="Times New Roman"/>
                <w:b w:val="0"/>
                <w:i w:val="0"/>
                <w:sz w:val="20"/>
              </w:rPr>
              <w:t>6/10</w:t>
            </w:r>
          </w:p>
        </w:tc>
        <w:tc>
          <w:tcPr>
            <w:tcW w:type="dxa" w:w="1625"/>
          </w:tcPr>
          <w:p>
            <w:pPr>
              <w:jc w:val="center"/>
            </w:pPr>
            <w:r/>
            <w:r>
              <w:rPr>
                <w:rFonts w:ascii="Times New Roman" w:hAnsi="Times New Roman"/>
                <w:b w:val="0"/>
                <w:i w:val="0"/>
                <w:sz w:val="20"/>
              </w:rPr>
              <w:t>3/3</w:t>
            </w:r>
          </w:p>
        </w:tc>
        <w:tc>
          <w:tcPr>
            <w:tcW w:type="dxa" w:w="1625"/>
          </w:tcPr>
          <w:p>
            <w:pPr>
              <w:jc w:val="center"/>
            </w:pPr>
            <w:r/>
            <w:r>
              <w:rPr>
                <w:rFonts w:ascii="Times New Roman" w:hAnsi="Times New Roman"/>
                <w:b w:val="0"/>
                <w:i w:val="0"/>
                <w:sz w:val="20"/>
              </w:rPr>
              <w:t>Banyak admin action</w:t>
            </w:r>
          </w:p>
        </w:tc>
      </w:tr>
      <w:tr>
        <w:tc>
          <w:tcPr>
            <w:tcW w:type="dxa" w:w="1625"/>
          </w:tcPr>
          <w:p>
            <w:pPr>
              <w:jc w:val="center"/>
            </w:pPr>
            <w:r/>
            <w:r>
              <w:rPr>
                <w:rFonts w:ascii="Times New Roman" w:hAnsi="Times New Roman"/>
                <w:b w:val="0"/>
                <w:i w:val="0"/>
                <w:sz w:val="20"/>
              </w:rPr>
              <w:t>eris.rismansyah</w:t>
            </w:r>
          </w:p>
        </w:tc>
        <w:tc>
          <w:tcPr>
            <w:tcW w:type="dxa" w:w="1625"/>
          </w:tcPr>
          <w:p>
            <w:pPr>
              <w:jc w:val="center"/>
            </w:pPr>
            <w:r/>
            <w:r>
              <w:rPr>
                <w:rFonts w:ascii="Times New Roman" w:hAnsi="Times New Roman"/>
                <w:b w:val="0"/>
                <w:i w:val="0"/>
                <w:sz w:val="20"/>
              </w:rPr>
              <w:t>0.3740</w:t>
            </w:r>
          </w:p>
        </w:tc>
        <w:tc>
          <w:tcPr>
            <w:tcW w:type="dxa" w:w="1625"/>
          </w:tcPr>
          <w:p>
            <w:pPr>
              <w:jc w:val="center"/>
            </w:pPr>
            <w:r/>
            <w:r>
              <w:rPr>
                <w:rFonts w:ascii="Times New Roman" w:hAnsi="Times New Roman"/>
                <w:b w:val="0"/>
                <w:i w:val="0"/>
                <w:sz w:val="20"/>
              </w:rPr>
              <w:t>CRITICAL</w:t>
            </w:r>
          </w:p>
        </w:tc>
        <w:tc>
          <w:tcPr>
            <w:tcW w:type="dxa" w:w="1625"/>
          </w:tcPr>
          <w:p>
            <w:pPr>
              <w:jc w:val="center"/>
            </w:pPr>
            <w:r/>
            <w:r>
              <w:rPr>
                <w:rFonts w:ascii="Times New Roman" w:hAnsi="Times New Roman"/>
                <w:b w:val="0"/>
                <w:i w:val="0"/>
                <w:sz w:val="20"/>
              </w:rPr>
              <w:t>6/10</w:t>
            </w:r>
          </w:p>
        </w:tc>
        <w:tc>
          <w:tcPr>
            <w:tcW w:type="dxa" w:w="1625"/>
          </w:tcPr>
          <w:p>
            <w:pPr>
              <w:jc w:val="center"/>
            </w:pPr>
            <w:r/>
            <w:r>
              <w:rPr>
                <w:rFonts w:ascii="Times New Roman" w:hAnsi="Times New Roman"/>
                <w:b w:val="0"/>
                <w:i w:val="0"/>
                <w:sz w:val="20"/>
              </w:rPr>
              <w:t>2/3</w:t>
            </w:r>
          </w:p>
        </w:tc>
        <w:tc>
          <w:tcPr>
            <w:tcW w:type="dxa" w:w="1625"/>
          </w:tcPr>
          <w:p>
            <w:pPr>
              <w:jc w:val="center"/>
            </w:pPr>
            <w:r/>
            <w:r>
              <w:rPr>
                <w:rFonts w:ascii="Times New Roman" w:hAnsi="Times New Roman"/>
                <w:b w:val="0"/>
                <w:i w:val="0"/>
                <w:sz w:val="20"/>
              </w:rPr>
              <w:t>Sering lockout</w:t>
            </w:r>
          </w:p>
        </w:tc>
      </w:tr>
    </w:tbl>
    <w:p>
      <w:pPr>
        <w:spacing w:after="60"/>
      </w:pPr>
    </w:p>
    <w:p>
      <w:pPr>
        <w:spacing w:before="60" w:after="40" w:line="240" w:lineRule="auto"/>
      </w:pPr>
      <w:r>
        <w:rPr>
          <w:rFonts w:ascii="Times New Roman" w:hAnsi="Times New Roman"/>
          <w:b/>
          <w:i w:val="0"/>
          <w:sz w:val="22"/>
        </w:rPr>
        <w:t>5.3 Ablation study</w:t>
      </w:r>
    </w:p>
    <w:p>
      <w:pPr>
        <w:spacing w:after="0" w:line="240" w:lineRule="auto"/>
        <w:ind w:firstLine="283"/>
        <w:jc w:val="both"/>
      </w:pPr>
      <w:r>
        <w:rPr>
          <w:rFonts w:ascii="Times New Roman" w:hAnsi="Times New Roman"/>
          <w:b w:val="0"/>
          <w:i w:val="0"/>
          <w:sz w:val="22"/>
        </w:rPr>
        <w:t>To quantify the contribution of each ensemble component, we evaluate IF, LOF, and EE individually. Table 3 reports detection counts, inter-model agreement, and proxy-based quality metrics.</w:t>
      </w:r>
    </w:p>
    <w:p>
      <w:pPr>
        <w:spacing w:before="120" w:after="60"/>
        <w:jc w:val="center"/>
      </w:pPr>
      <w:r>
        <w:rPr>
          <w:rFonts w:ascii="Times New Roman" w:hAnsi="Times New Roman"/>
          <w:b w:val="0"/>
          <w:i w:val="0"/>
          <w:sz w:val="20"/>
        </w:rPr>
        <w:t>Table 3. Ablation study: individual model performance</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950"/>
          </w:tcPr>
          <w:p>
            <w:pPr>
              <w:jc w:val="center"/>
            </w:pPr>
            <w:r/>
            <w:r>
              <w:rPr>
                <w:rFonts w:ascii="Times New Roman" w:hAnsi="Times New Roman"/>
                <w:b/>
                <w:i w:val="0"/>
                <w:sz w:val="20"/>
              </w:rPr>
              <w:t>Model</w:t>
            </w:r>
          </w:p>
        </w:tc>
        <w:tc>
          <w:tcPr>
            <w:tcW w:type="dxa" w:w="1950"/>
          </w:tcPr>
          <w:p>
            <w:pPr>
              <w:jc w:val="center"/>
            </w:pPr>
            <w:r/>
            <w:r>
              <w:rPr>
                <w:rFonts w:ascii="Times New Roman" w:hAnsi="Times New Roman"/>
                <w:b/>
                <w:i w:val="0"/>
                <w:sz w:val="20"/>
              </w:rPr>
              <w:t>Detected</w:t>
            </w:r>
          </w:p>
        </w:tc>
        <w:tc>
          <w:tcPr>
            <w:tcW w:type="dxa" w:w="1950"/>
          </w:tcPr>
          <w:p>
            <w:pPr>
              <w:jc w:val="center"/>
            </w:pPr>
            <w:r/>
            <w:r>
              <w:rPr>
                <w:rFonts w:ascii="Times New Roman" w:hAnsi="Times New Roman"/>
                <w:b/>
                <w:i w:val="0"/>
                <w:sz w:val="20"/>
              </w:rPr>
              <w:t>Precision@K</w:t>
            </w:r>
          </w:p>
        </w:tc>
        <w:tc>
          <w:tcPr>
            <w:tcW w:type="dxa" w:w="1950"/>
          </w:tcPr>
          <w:p>
            <w:pPr>
              <w:jc w:val="center"/>
            </w:pPr>
            <w:r/>
            <w:r>
              <w:rPr>
                <w:rFonts w:ascii="Times New Roman" w:hAnsi="Times New Roman"/>
                <w:b/>
                <w:i w:val="0"/>
                <w:sz w:val="20"/>
              </w:rPr>
              <w:t>Avg rule_viol</w:t>
            </w:r>
          </w:p>
        </w:tc>
        <w:tc>
          <w:tcPr>
            <w:tcW w:type="dxa" w:w="1950"/>
          </w:tcPr>
          <w:p>
            <w:pPr>
              <w:jc w:val="center"/>
            </w:pPr>
            <w:r/>
            <w:r>
              <w:rPr>
                <w:rFonts w:ascii="Times New Roman" w:hAnsi="Times New Roman"/>
                <w:b/>
                <w:i w:val="0"/>
                <w:sz w:val="20"/>
              </w:rPr>
              <w:t>Avg score</w:t>
            </w:r>
          </w:p>
        </w:tc>
      </w:tr>
      <w:tr>
        <w:tc>
          <w:tcPr>
            <w:tcW w:type="dxa" w:w="1950"/>
          </w:tcPr>
          <w:p>
            <w:pPr>
              <w:jc w:val="center"/>
            </w:pPr>
            <w:r/>
            <w:r>
              <w:rPr>
                <w:rFonts w:ascii="Times New Roman" w:hAnsi="Times New Roman"/>
                <w:b w:val="0"/>
                <w:i w:val="0"/>
                <w:sz w:val="20"/>
              </w:rPr>
              <w:t>IF</w:t>
            </w:r>
          </w:p>
        </w:tc>
        <w:tc>
          <w:tcPr>
            <w:tcW w:type="dxa" w:w="1950"/>
          </w:tcPr>
          <w:p>
            <w:pPr>
              <w:jc w:val="center"/>
            </w:pPr>
            <w:r/>
            <w:r>
              <w:rPr>
                <w:rFonts w:ascii="Times New Roman" w:hAnsi="Times New Roman"/>
                <w:b w:val="0"/>
                <w:i w:val="0"/>
                <w:sz w:val="20"/>
              </w:rPr>
              <w:t>45</w:t>
            </w:r>
          </w:p>
        </w:tc>
        <w:tc>
          <w:tcPr>
            <w:tcW w:type="dxa" w:w="1950"/>
          </w:tcPr>
          <w:p>
            <w:pPr>
              <w:jc w:val="center"/>
            </w:pPr>
            <w:r/>
            <w:r>
              <w:rPr>
                <w:rFonts w:ascii="Times New Roman" w:hAnsi="Times New Roman"/>
                <w:b w:val="0"/>
                <w:i w:val="0"/>
                <w:sz w:val="20"/>
              </w:rPr>
              <w:t>0.3333</w:t>
            </w:r>
          </w:p>
        </w:tc>
        <w:tc>
          <w:tcPr>
            <w:tcW w:type="dxa" w:w="1950"/>
          </w:tcPr>
          <w:p>
            <w:pPr>
              <w:jc w:val="center"/>
            </w:pPr>
            <w:r/>
            <w:r>
              <w:rPr>
                <w:rFonts w:ascii="Times New Roman" w:hAnsi="Times New Roman"/>
                <w:b w:val="0"/>
                <w:i w:val="0"/>
                <w:sz w:val="20"/>
              </w:rPr>
              <w:t>3.33</w:t>
            </w:r>
          </w:p>
        </w:tc>
        <w:tc>
          <w:tcPr>
            <w:tcW w:type="dxa" w:w="1950"/>
          </w:tcPr>
          <w:p>
            <w:pPr>
              <w:jc w:val="center"/>
            </w:pPr>
            <w:r/>
            <w:r>
              <w:rPr>
                <w:rFonts w:ascii="Times New Roman" w:hAnsi="Times New Roman"/>
                <w:b w:val="0"/>
                <w:i w:val="0"/>
                <w:sz w:val="20"/>
              </w:rPr>
              <w:t>0.2717</w:t>
            </w:r>
          </w:p>
        </w:tc>
      </w:tr>
      <w:tr>
        <w:tc>
          <w:tcPr>
            <w:tcW w:type="dxa" w:w="1950"/>
          </w:tcPr>
          <w:p>
            <w:pPr>
              <w:jc w:val="center"/>
            </w:pPr>
            <w:r/>
            <w:r>
              <w:rPr>
                <w:rFonts w:ascii="Times New Roman" w:hAnsi="Times New Roman"/>
                <w:b w:val="0"/>
                <w:i w:val="0"/>
                <w:sz w:val="20"/>
              </w:rPr>
              <w:t>LOF</w:t>
            </w:r>
          </w:p>
        </w:tc>
        <w:tc>
          <w:tcPr>
            <w:tcW w:type="dxa" w:w="1950"/>
          </w:tcPr>
          <w:p>
            <w:pPr>
              <w:jc w:val="center"/>
            </w:pPr>
            <w:r/>
            <w:r>
              <w:rPr>
                <w:rFonts w:ascii="Times New Roman" w:hAnsi="Times New Roman"/>
                <w:b w:val="0"/>
                <w:i w:val="0"/>
                <w:sz w:val="20"/>
              </w:rPr>
              <w:t>45</w:t>
            </w:r>
          </w:p>
        </w:tc>
        <w:tc>
          <w:tcPr>
            <w:tcW w:type="dxa" w:w="1950"/>
          </w:tcPr>
          <w:p>
            <w:pPr>
              <w:jc w:val="center"/>
            </w:pPr>
            <w:r/>
            <w:r>
              <w:rPr>
                <w:rFonts w:ascii="Times New Roman" w:hAnsi="Times New Roman"/>
                <w:b w:val="0"/>
                <w:i w:val="0"/>
                <w:sz w:val="20"/>
              </w:rPr>
              <w:t>0.0444</w:t>
            </w:r>
          </w:p>
        </w:tc>
        <w:tc>
          <w:tcPr>
            <w:tcW w:type="dxa" w:w="1950"/>
          </w:tcPr>
          <w:p>
            <w:pPr>
              <w:jc w:val="center"/>
            </w:pPr>
            <w:r/>
            <w:r>
              <w:rPr>
                <w:rFonts w:ascii="Times New Roman" w:hAnsi="Times New Roman"/>
                <w:b w:val="0"/>
                <w:i w:val="0"/>
                <w:sz w:val="20"/>
              </w:rPr>
              <w:t>0.73</w:t>
            </w:r>
          </w:p>
        </w:tc>
        <w:tc>
          <w:tcPr>
            <w:tcW w:type="dxa" w:w="1950"/>
          </w:tcPr>
          <w:p>
            <w:pPr>
              <w:jc w:val="center"/>
            </w:pPr>
            <w:r/>
            <w:r>
              <w:rPr>
                <w:rFonts w:ascii="Times New Roman" w:hAnsi="Times New Roman"/>
                <w:b w:val="0"/>
                <w:i w:val="0"/>
                <w:sz w:val="20"/>
              </w:rPr>
              <w:t>0.1465</w:t>
            </w:r>
          </w:p>
        </w:tc>
      </w:tr>
      <w:tr>
        <w:tc>
          <w:tcPr>
            <w:tcW w:type="dxa" w:w="1950"/>
          </w:tcPr>
          <w:p>
            <w:pPr>
              <w:jc w:val="center"/>
            </w:pPr>
            <w:r/>
            <w:r>
              <w:rPr>
                <w:rFonts w:ascii="Times New Roman" w:hAnsi="Times New Roman"/>
                <w:b w:val="0"/>
                <w:i w:val="0"/>
                <w:sz w:val="20"/>
              </w:rPr>
              <w:t>EE</w:t>
            </w:r>
          </w:p>
        </w:tc>
        <w:tc>
          <w:tcPr>
            <w:tcW w:type="dxa" w:w="1950"/>
          </w:tcPr>
          <w:p>
            <w:pPr>
              <w:jc w:val="center"/>
            </w:pPr>
            <w:r/>
            <w:r>
              <w:rPr>
                <w:rFonts w:ascii="Times New Roman" w:hAnsi="Times New Roman"/>
                <w:b w:val="0"/>
                <w:i w:val="0"/>
                <w:sz w:val="20"/>
              </w:rPr>
              <w:t>45</w:t>
            </w:r>
          </w:p>
        </w:tc>
        <w:tc>
          <w:tcPr>
            <w:tcW w:type="dxa" w:w="1950"/>
          </w:tcPr>
          <w:p>
            <w:pPr>
              <w:jc w:val="center"/>
            </w:pPr>
            <w:r/>
            <w:r>
              <w:rPr>
                <w:rFonts w:ascii="Times New Roman" w:hAnsi="Times New Roman"/>
                <w:b w:val="0"/>
                <w:i w:val="0"/>
                <w:sz w:val="20"/>
              </w:rPr>
              <w:t>0.5333</w:t>
            </w:r>
          </w:p>
        </w:tc>
        <w:tc>
          <w:tcPr>
            <w:tcW w:type="dxa" w:w="1950"/>
          </w:tcPr>
          <w:p>
            <w:pPr>
              <w:jc w:val="center"/>
            </w:pPr>
            <w:r/>
            <w:r>
              <w:rPr>
                <w:rFonts w:ascii="Times New Roman" w:hAnsi="Times New Roman"/>
                <w:b w:val="0"/>
                <w:i w:val="0"/>
                <w:sz w:val="20"/>
              </w:rPr>
              <w:t>4.87</w:t>
            </w:r>
          </w:p>
        </w:tc>
        <w:tc>
          <w:tcPr>
            <w:tcW w:type="dxa" w:w="1950"/>
          </w:tcPr>
          <w:p>
            <w:pPr>
              <w:jc w:val="center"/>
            </w:pPr>
            <w:r/>
            <w:r>
              <w:rPr>
                <w:rFonts w:ascii="Times New Roman" w:hAnsi="Times New Roman"/>
                <w:b w:val="0"/>
                <w:i w:val="0"/>
                <w:sz w:val="20"/>
              </w:rPr>
              <w:t>0.3139</w:t>
            </w:r>
          </w:p>
        </w:tc>
      </w:tr>
      <w:tr>
        <w:tc>
          <w:tcPr>
            <w:tcW w:type="dxa" w:w="1950"/>
          </w:tcPr>
          <w:p>
            <w:pPr>
              <w:jc w:val="center"/>
            </w:pPr>
            <w:r/>
            <w:r>
              <w:rPr>
                <w:rFonts w:ascii="Times New Roman" w:hAnsi="Times New Roman"/>
                <w:b w:val="0"/>
                <w:i w:val="0"/>
                <w:sz w:val="20"/>
              </w:rPr>
              <w:t>Ensemble</w:t>
            </w:r>
          </w:p>
        </w:tc>
        <w:tc>
          <w:tcPr>
            <w:tcW w:type="dxa" w:w="1950"/>
          </w:tcPr>
          <w:p>
            <w:pPr>
              <w:jc w:val="center"/>
            </w:pPr>
            <w:r/>
            <w:r>
              <w:rPr>
                <w:rFonts w:ascii="Times New Roman" w:hAnsi="Times New Roman"/>
                <w:b w:val="0"/>
                <w:i w:val="0"/>
                <w:sz w:val="20"/>
              </w:rPr>
              <w:t>45</w:t>
            </w:r>
          </w:p>
        </w:tc>
        <w:tc>
          <w:tcPr>
            <w:tcW w:type="dxa" w:w="1950"/>
          </w:tcPr>
          <w:p>
            <w:pPr>
              <w:jc w:val="center"/>
            </w:pPr>
            <w:r/>
            <w:r>
              <w:rPr>
                <w:rFonts w:ascii="Times New Roman" w:hAnsi="Times New Roman"/>
                <w:b w:val="0"/>
                <w:i w:val="0"/>
                <w:sz w:val="20"/>
              </w:rPr>
              <w:t>0.3333</w:t>
            </w:r>
          </w:p>
        </w:tc>
        <w:tc>
          <w:tcPr>
            <w:tcW w:type="dxa" w:w="1950"/>
          </w:tcPr>
          <w:p>
            <w:pPr>
              <w:jc w:val="center"/>
            </w:pPr>
            <w:r/>
            <w:r>
              <w:rPr>
                <w:rFonts w:ascii="Times New Roman" w:hAnsi="Times New Roman"/>
                <w:b w:val="0"/>
                <w:i w:val="0"/>
                <w:sz w:val="20"/>
              </w:rPr>
              <w:t>3.33</w:t>
            </w:r>
          </w:p>
        </w:tc>
        <w:tc>
          <w:tcPr>
            <w:tcW w:type="dxa" w:w="1950"/>
          </w:tcPr>
          <w:p>
            <w:pPr>
              <w:jc w:val="center"/>
            </w:pPr>
            <w:r/>
            <w:r>
              <w:rPr>
                <w:rFonts w:ascii="Times New Roman" w:hAnsi="Times New Roman"/>
                <w:b w:val="0"/>
                <w:i w:val="0"/>
                <w:sz w:val="20"/>
              </w:rPr>
              <w:t>0.2717</w:t>
            </w:r>
          </w:p>
        </w:tc>
      </w:tr>
    </w:tbl>
    <w:p>
      <w:pPr>
        <w:spacing w:after="60"/>
      </w:pPr>
    </w:p>
    <w:p>
      <w:pPr>
        <w:spacing w:after="0" w:line="240" w:lineRule="auto"/>
        <w:ind w:firstLine="283"/>
        <w:jc w:val="both"/>
      </w:pPr>
      <w:r>
        <w:rPr>
          <w:rFonts w:ascii="Times New Roman" w:hAnsi="Times New Roman"/>
          <w:b w:val="0"/>
          <w:i w:val="0"/>
          <w:sz w:val="22"/>
        </w:rPr>
        <w:t>The results reveal complementary behavior. EE achieves the highest Precision@K (53.3%) and average rule violations (4.87), indicating strong alignment with the rule engine. LOF, conversely, shows the lowest values (avg rule_viol = 0.73, below the population baseline of 3.39), suggesting it captures anomalies orthogonal to rule-based patterns. This complementarity justifies the heterogeneous ensemble: the models specialize in different anomaly types.</w:t>
      </w:r>
    </w:p>
    <w:p>
      <w:pPr>
        <w:spacing w:after="0" w:line="240" w:lineRule="auto"/>
        <w:ind w:firstLine="283"/>
        <w:jc w:val="both"/>
      </w:pPr>
      <w:r>
        <w:rPr>
          <w:rFonts w:ascii="Times New Roman" w:hAnsi="Times New Roman"/>
          <w:b w:val="0"/>
          <w:i w:val="0"/>
          <w:sz w:val="22"/>
        </w:rPr>
        <w:t>Inter-model agreement metrics (Jaccard and Cohen’s Kappa, Table 4) further support this finding. LOF–EE agreement is particularly low (Kappa = 0.18), indicating they identify largely disjoint sets of anomalies.</w:t>
      </w:r>
    </w:p>
    <w:p>
      <w:pPr>
        <w:spacing w:before="120" w:after="60"/>
        <w:jc w:val="center"/>
      </w:pPr>
      <w:r>
        <w:rPr>
          <w:rFonts w:ascii="Times New Roman" w:hAnsi="Times New Roman"/>
          <w:b w:val="0"/>
          <w:i w:val="0"/>
          <w:sz w:val="20"/>
        </w:rPr>
        <w:t>Table 4. Inter-model agreement metrics</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38"/>
          </w:tcPr>
          <w:p>
            <w:pPr>
              <w:jc w:val="center"/>
            </w:pPr>
            <w:r/>
            <w:r>
              <w:rPr>
                <w:rFonts w:ascii="Times New Roman" w:hAnsi="Times New Roman"/>
                <w:b/>
                <w:i w:val="0"/>
                <w:sz w:val="20"/>
              </w:rPr>
              <w:t>Model Pair</w:t>
            </w:r>
          </w:p>
        </w:tc>
        <w:tc>
          <w:tcPr>
            <w:tcW w:type="dxa" w:w="2438"/>
          </w:tcPr>
          <w:p>
            <w:pPr>
              <w:jc w:val="center"/>
            </w:pPr>
            <w:r/>
            <w:r>
              <w:rPr>
                <w:rFonts w:ascii="Times New Roman" w:hAnsi="Times New Roman"/>
                <w:b/>
                <w:i w:val="0"/>
                <w:sz w:val="20"/>
              </w:rPr>
              <w:t>Jaccard</w:t>
            </w:r>
          </w:p>
        </w:tc>
        <w:tc>
          <w:tcPr>
            <w:tcW w:type="dxa" w:w="2438"/>
          </w:tcPr>
          <w:p>
            <w:pPr>
              <w:jc w:val="center"/>
            </w:pPr>
            <w:r/>
            <w:r>
              <w:rPr>
                <w:rFonts w:ascii="Times New Roman" w:hAnsi="Times New Roman"/>
                <w:b/>
                <w:i w:val="0"/>
                <w:sz w:val="20"/>
              </w:rPr>
              <w:t>Cohen’s Kappa</w:t>
            </w:r>
          </w:p>
        </w:tc>
        <w:tc>
          <w:tcPr>
            <w:tcW w:type="dxa" w:w="2438"/>
          </w:tcPr>
          <w:p>
            <w:pPr>
              <w:jc w:val="center"/>
            </w:pPr>
            <w:r/>
            <w:r>
              <w:rPr>
                <w:rFonts w:ascii="Times New Roman" w:hAnsi="Times New Roman"/>
                <w:b/>
                <w:i w:val="0"/>
                <w:sz w:val="20"/>
              </w:rPr>
              <w:t>Interpretation</w:t>
            </w:r>
          </w:p>
        </w:tc>
      </w:tr>
      <w:tr>
        <w:tc>
          <w:tcPr>
            <w:tcW w:type="dxa" w:w="2438"/>
          </w:tcPr>
          <w:p>
            <w:pPr>
              <w:jc w:val="center"/>
            </w:pPr>
            <w:r/>
            <w:r>
              <w:rPr>
                <w:rFonts w:ascii="Times New Roman" w:hAnsi="Times New Roman"/>
                <w:b w:val="0"/>
                <w:i w:val="0"/>
                <w:sz w:val="20"/>
              </w:rPr>
              <w:t>IF–LOF</w:t>
            </w:r>
          </w:p>
        </w:tc>
        <w:tc>
          <w:tcPr>
            <w:tcW w:type="dxa" w:w="2438"/>
          </w:tcPr>
          <w:p>
            <w:pPr>
              <w:jc w:val="center"/>
            </w:pPr>
            <w:r/>
            <w:r>
              <w:rPr>
                <w:rFonts w:ascii="Times New Roman" w:hAnsi="Times New Roman"/>
                <w:b w:val="0"/>
                <w:i w:val="0"/>
                <w:sz w:val="20"/>
              </w:rPr>
              <w:t>0.343</w:t>
            </w:r>
          </w:p>
        </w:tc>
        <w:tc>
          <w:tcPr>
            <w:tcW w:type="dxa" w:w="2438"/>
          </w:tcPr>
          <w:p>
            <w:pPr>
              <w:jc w:val="center"/>
            </w:pPr>
            <w:r/>
            <w:r>
              <w:rPr>
                <w:rFonts w:ascii="Times New Roman" w:hAnsi="Times New Roman"/>
                <w:b w:val="0"/>
                <w:i w:val="0"/>
                <w:sz w:val="20"/>
              </w:rPr>
              <w:t>0.485</w:t>
            </w:r>
          </w:p>
        </w:tc>
        <w:tc>
          <w:tcPr>
            <w:tcW w:type="dxa" w:w="2438"/>
          </w:tcPr>
          <w:p>
            <w:pPr>
              <w:jc w:val="center"/>
            </w:pPr>
            <w:r/>
            <w:r>
              <w:rPr>
                <w:rFonts w:ascii="Times New Roman" w:hAnsi="Times New Roman"/>
                <w:b w:val="0"/>
                <w:i w:val="0"/>
                <w:sz w:val="20"/>
              </w:rPr>
              <w:t>Moderate</w:t>
            </w:r>
          </w:p>
        </w:tc>
      </w:tr>
      <w:tr>
        <w:tc>
          <w:tcPr>
            <w:tcW w:type="dxa" w:w="2438"/>
          </w:tcPr>
          <w:p>
            <w:pPr>
              <w:jc w:val="center"/>
            </w:pPr>
            <w:r/>
            <w:r>
              <w:rPr>
                <w:rFonts w:ascii="Times New Roman" w:hAnsi="Times New Roman"/>
                <w:b w:val="0"/>
                <w:i w:val="0"/>
                <w:sz w:val="20"/>
              </w:rPr>
              <w:t>IF–EE</w:t>
            </w:r>
          </w:p>
        </w:tc>
        <w:tc>
          <w:tcPr>
            <w:tcW w:type="dxa" w:w="2438"/>
          </w:tcPr>
          <w:p>
            <w:pPr>
              <w:jc w:val="center"/>
            </w:pPr>
            <w:r/>
            <w:r>
              <w:rPr>
                <w:rFonts w:ascii="Times New Roman" w:hAnsi="Times New Roman"/>
                <w:b w:val="0"/>
                <w:i w:val="0"/>
                <w:sz w:val="20"/>
              </w:rPr>
              <w:t>0.552</w:t>
            </w:r>
          </w:p>
        </w:tc>
        <w:tc>
          <w:tcPr>
            <w:tcW w:type="dxa" w:w="2438"/>
          </w:tcPr>
          <w:p>
            <w:pPr>
              <w:jc w:val="center"/>
            </w:pPr>
            <w:r/>
            <w:r>
              <w:rPr>
                <w:rFonts w:ascii="Times New Roman" w:hAnsi="Times New Roman"/>
                <w:b w:val="0"/>
                <w:i w:val="0"/>
                <w:sz w:val="20"/>
              </w:rPr>
              <w:t>0.696</w:t>
            </w:r>
          </w:p>
        </w:tc>
        <w:tc>
          <w:tcPr>
            <w:tcW w:type="dxa" w:w="2438"/>
          </w:tcPr>
          <w:p>
            <w:pPr>
              <w:jc w:val="center"/>
            </w:pPr>
            <w:r/>
            <w:r>
              <w:rPr>
                <w:rFonts w:ascii="Times New Roman" w:hAnsi="Times New Roman"/>
                <w:b w:val="0"/>
                <w:i w:val="0"/>
                <w:sz w:val="20"/>
              </w:rPr>
              <w:t>High</w:t>
            </w:r>
          </w:p>
        </w:tc>
      </w:tr>
      <w:tr>
        <w:tc>
          <w:tcPr>
            <w:tcW w:type="dxa" w:w="2438"/>
          </w:tcPr>
          <w:p>
            <w:pPr>
              <w:jc w:val="center"/>
            </w:pPr>
            <w:r/>
            <w:r>
              <w:rPr>
                <w:rFonts w:ascii="Times New Roman" w:hAnsi="Times New Roman"/>
                <w:b w:val="0"/>
                <w:i w:val="0"/>
                <w:sz w:val="20"/>
              </w:rPr>
              <w:t>LOF–EE</w:t>
            </w:r>
          </w:p>
        </w:tc>
        <w:tc>
          <w:tcPr>
            <w:tcW w:type="dxa" w:w="2438"/>
          </w:tcPr>
          <w:p>
            <w:pPr>
              <w:jc w:val="center"/>
            </w:pPr>
            <w:r/>
            <w:r>
              <w:rPr>
                <w:rFonts w:ascii="Times New Roman" w:hAnsi="Times New Roman"/>
                <w:b w:val="0"/>
                <w:i w:val="0"/>
                <w:sz w:val="20"/>
              </w:rPr>
              <w:t>0.125</w:t>
            </w:r>
          </w:p>
        </w:tc>
        <w:tc>
          <w:tcPr>
            <w:tcW w:type="dxa" w:w="2438"/>
          </w:tcPr>
          <w:p>
            <w:pPr>
              <w:jc w:val="center"/>
            </w:pPr>
            <w:r/>
            <w:r>
              <w:rPr>
                <w:rFonts w:ascii="Times New Roman" w:hAnsi="Times New Roman"/>
                <w:b w:val="0"/>
                <w:i w:val="0"/>
                <w:sz w:val="20"/>
              </w:rPr>
              <w:t>0.181</w:t>
            </w:r>
          </w:p>
        </w:tc>
        <w:tc>
          <w:tcPr>
            <w:tcW w:type="dxa" w:w="2438"/>
          </w:tcPr>
          <w:p>
            <w:pPr>
              <w:jc w:val="center"/>
            </w:pPr>
            <w:r/>
            <w:r>
              <w:rPr>
                <w:rFonts w:ascii="Times New Roman" w:hAnsi="Times New Roman"/>
                <w:b w:val="0"/>
                <w:i w:val="0"/>
                <w:sz w:val="20"/>
              </w:rPr>
              <w:t>Low</w:t>
            </w:r>
          </w:p>
        </w:tc>
      </w:tr>
    </w:tbl>
    <w:p>
      <w:pPr>
        <w:spacing w:after="60"/>
      </w:pPr>
    </w:p>
    <w:p>
      <w:pPr>
        <w:spacing w:before="60" w:after="40" w:line="240" w:lineRule="auto"/>
      </w:pPr>
      <w:r>
        <w:rPr>
          <w:rFonts w:ascii="Times New Roman" w:hAnsi="Times New Roman"/>
          <w:b/>
          <w:i w:val="0"/>
          <w:sz w:val="22"/>
        </w:rPr>
        <w:t>5.4 Ensemble configuration ablation</w:t>
      </w:r>
    </w:p>
    <w:p>
      <w:pPr>
        <w:spacing w:after="0" w:line="240" w:lineRule="auto"/>
        <w:ind w:firstLine="283"/>
        <w:jc w:val="both"/>
      </w:pPr>
      <w:r>
        <w:rPr>
          <w:rFonts w:ascii="Times New Roman" w:hAnsi="Times New Roman"/>
          <w:b w:val="0"/>
          <w:i w:val="0"/>
          <w:sz w:val="22"/>
        </w:rPr>
        <w:t>Beyond individual models, we evaluate all seven non-empty ensemble configurations (three single, three pairwise, one triple) to assess whether any combination consistently outperforms the others. For fairness, model scores are combined via rank-based fusion (robust to scale differences across detectors), and each configuration flags the top-K users where K equals the number of proxy-positive users (rule_violations ≥ 6). Accuracy, Precision, Recall, and F1 are computed against the rule-based proxy ground truth. Table 5 reports the results.</w:t>
      </w:r>
    </w:p>
    <w:p>
      <w:pPr>
        <w:spacing w:before="120" w:after="60"/>
        <w:jc w:val="center"/>
      </w:pPr>
      <w:r>
        <w:rPr>
          <w:rFonts w:ascii="Times New Roman" w:hAnsi="Times New Roman"/>
          <w:b w:val="0"/>
          <w:i w:val="0"/>
          <w:sz w:val="20"/>
        </w:rPr>
        <w:t>Table 5. Accuracy of seven ensemble configurations (rule-based proxy)</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950"/>
          </w:tcPr>
          <w:p>
            <w:pPr>
              <w:jc w:val="center"/>
            </w:pPr>
            <w:r/>
            <w:r>
              <w:rPr>
                <w:rFonts w:ascii="Times New Roman" w:hAnsi="Times New Roman"/>
                <w:b/>
                <w:i w:val="0"/>
                <w:sz w:val="20"/>
              </w:rPr>
              <w:t>Configuration</w:t>
            </w:r>
          </w:p>
        </w:tc>
        <w:tc>
          <w:tcPr>
            <w:tcW w:type="dxa" w:w="1950"/>
          </w:tcPr>
          <w:p>
            <w:pPr>
              <w:jc w:val="center"/>
            </w:pPr>
            <w:r/>
            <w:r>
              <w:rPr>
                <w:rFonts w:ascii="Times New Roman" w:hAnsi="Times New Roman"/>
                <w:b/>
                <w:i w:val="0"/>
                <w:sz w:val="20"/>
              </w:rPr>
              <w:t>Accuracy</w:t>
            </w:r>
          </w:p>
        </w:tc>
        <w:tc>
          <w:tcPr>
            <w:tcW w:type="dxa" w:w="1950"/>
          </w:tcPr>
          <w:p>
            <w:pPr>
              <w:jc w:val="center"/>
            </w:pPr>
            <w:r/>
            <w:r>
              <w:rPr>
                <w:rFonts w:ascii="Times New Roman" w:hAnsi="Times New Roman"/>
                <w:b/>
                <w:i w:val="0"/>
                <w:sz w:val="20"/>
              </w:rPr>
              <w:t>Precision</w:t>
            </w:r>
          </w:p>
        </w:tc>
        <w:tc>
          <w:tcPr>
            <w:tcW w:type="dxa" w:w="1950"/>
          </w:tcPr>
          <w:p>
            <w:pPr>
              <w:jc w:val="center"/>
            </w:pPr>
            <w:r/>
            <w:r>
              <w:rPr>
                <w:rFonts w:ascii="Times New Roman" w:hAnsi="Times New Roman"/>
                <w:b/>
                <w:i w:val="0"/>
                <w:sz w:val="20"/>
              </w:rPr>
              <w:t>Recall</w:t>
            </w:r>
          </w:p>
        </w:tc>
        <w:tc>
          <w:tcPr>
            <w:tcW w:type="dxa" w:w="1950"/>
          </w:tcPr>
          <w:p>
            <w:pPr>
              <w:jc w:val="center"/>
            </w:pPr>
            <w:r/>
            <w:r>
              <w:rPr>
                <w:rFonts w:ascii="Times New Roman" w:hAnsi="Times New Roman"/>
                <w:b/>
                <w:i w:val="0"/>
                <w:sz w:val="20"/>
              </w:rPr>
              <w:t>F1</w:t>
            </w:r>
          </w:p>
        </w:tc>
      </w:tr>
      <w:tr>
        <w:tc>
          <w:tcPr>
            <w:tcW w:type="dxa" w:w="1950"/>
          </w:tcPr>
          <w:p>
            <w:pPr>
              <w:jc w:val="center"/>
            </w:pPr>
            <w:r/>
            <w:r>
              <w:rPr>
                <w:rFonts w:ascii="Times New Roman" w:hAnsi="Times New Roman"/>
                <w:b w:val="0"/>
                <w:i w:val="0"/>
                <w:sz w:val="20"/>
              </w:rPr>
              <w:t>IF</w:t>
            </w:r>
          </w:p>
        </w:tc>
        <w:tc>
          <w:tcPr>
            <w:tcW w:type="dxa" w:w="1950"/>
          </w:tcPr>
          <w:p>
            <w:pPr>
              <w:jc w:val="center"/>
            </w:pPr>
            <w:r/>
            <w:r>
              <w:rPr>
                <w:rFonts w:ascii="Times New Roman" w:hAnsi="Times New Roman"/>
                <w:b w:val="0"/>
                <w:i w:val="0"/>
                <w:sz w:val="20"/>
              </w:rPr>
              <w:t>0.9121</w:t>
            </w:r>
          </w:p>
        </w:tc>
        <w:tc>
          <w:tcPr>
            <w:tcW w:type="dxa" w:w="1950"/>
          </w:tcPr>
          <w:p>
            <w:pPr>
              <w:jc w:val="center"/>
            </w:pPr>
            <w:r/>
            <w:r>
              <w:rPr>
                <w:rFonts w:ascii="Times New Roman" w:hAnsi="Times New Roman"/>
                <w:b w:val="0"/>
                <w:i w:val="0"/>
                <w:sz w:val="20"/>
              </w:rPr>
              <w:t>0.3158</w:t>
            </w:r>
          </w:p>
        </w:tc>
        <w:tc>
          <w:tcPr>
            <w:tcW w:type="dxa" w:w="1950"/>
          </w:tcPr>
          <w:p>
            <w:pPr>
              <w:jc w:val="center"/>
            </w:pPr>
            <w:r/>
            <w:r>
              <w:rPr>
                <w:rFonts w:ascii="Times New Roman" w:hAnsi="Times New Roman"/>
                <w:b w:val="0"/>
                <w:i w:val="0"/>
                <w:sz w:val="20"/>
              </w:rPr>
              <w:t>0.3158</w:t>
            </w:r>
          </w:p>
        </w:tc>
        <w:tc>
          <w:tcPr>
            <w:tcW w:type="dxa" w:w="1950"/>
          </w:tcPr>
          <w:p>
            <w:pPr>
              <w:jc w:val="center"/>
            </w:pPr>
            <w:r/>
            <w:r>
              <w:rPr>
                <w:rFonts w:ascii="Times New Roman" w:hAnsi="Times New Roman"/>
                <w:b w:val="0"/>
                <w:i w:val="0"/>
                <w:sz w:val="20"/>
              </w:rPr>
              <w:t>0.3158</w:t>
            </w:r>
          </w:p>
        </w:tc>
      </w:tr>
      <w:tr>
        <w:tc>
          <w:tcPr>
            <w:tcW w:type="dxa" w:w="1950"/>
          </w:tcPr>
          <w:p>
            <w:pPr>
              <w:jc w:val="center"/>
            </w:pPr>
            <w:r/>
            <w:r>
              <w:rPr>
                <w:rFonts w:ascii="Times New Roman" w:hAnsi="Times New Roman"/>
                <w:b w:val="0"/>
                <w:i w:val="0"/>
                <w:sz w:val="20"/>
              </w:rPr>
              <w:t>LOF</w:t>
            </w:r>
          </w:p>
        </w:tc>
        <w:tc>
          <w:tcPr>
            <w:tcW w:type="dxa" w:w="1950"/>
          </w:tcPr>
          <w:p>
            <w:pPr>
              <w:jc w:val="center"/>
            </w:pPr>
            <w:r/>
            <w:r>
              <w:rPr>
                <w:rFonts w:ascii="Times New Roman" w:hAnsi="Times New Roman"/>
                <w:b w:val="0"/>
                <w:i w:val="0"/>
                <w:sz w:val="20"/>
              </w:rPr>
              <w:t>0.8940</w:t>
            </w:r>
          </w:p>
        </w:tc>
        <w:tc>
          <w:tcPr>
            <w:tcW w:type="dxa" w:w="1950"/>
          </w:tcPr>
          <w:p>
            <w:pPr>
              <w:jc w:val="center"/>
            </w:pPr>
            <w:r/>
            <w:r>
              <w:rPr>
                <w:rFonts w:ascii="Times New Roman" w:hAnsi="Times New Roman"/>
                <w:b w:val="0"/>
                <w:i w:val="0"/>
                <w:sz w:val="20"/>
              </w:rPr>
              <w:t>0.1754</w:t>
            </w:r>
          </w:p>
        </w:tc>
        <w:tc>
          <w:tcPr>
            <w:tcW w:type="dxa" w:w="1950"/>
          </w:tcPr>
          <w:p>
            <w:pPr>
              <w:jc w:val="center"/>
            </w:pPr>
            <w:r/>
            <w:r>
              <w:rPr>
                <w:rFonts w:ascii="Times New Roman" w:hAnsi="Times New Roman"/>
                <w:b w:val="0"/>
                <w:i w:val="0"/>
                <w:sz w:val="20"/>
              </w:rPr>
              <w:t>0.1754</w:t>
            </w:r>
          </w:p>
        </w:tc>
        <w:tc>
          <w:tcPr>
            <w:tcW w:type="dxa" w:w="1950"/>
          </w:tcPr>
          <w:p>
            <w:pPr>
              <w:jc w:val="center"/>
            </w:pPr>
            <w:r/>
            <w:r>
              <w:rPr>
                <w:rFonts w:ascii="Times New Roman" w:hAnsi="Times New Roman"/>
                <w:b w:val="0"/>
                <w:i w:val="0"/>
                <w:sz w:val="20"/>
              </w:rPr>
              <w:t>0.1754</w:t>
            </w:r>
          </w:p>
        </w:tc>
      </w:tr>
      <w:tr>
        <w:tc>
          <w:tcPr>
            <w:tcW w:type="dxa" w:w="1950"/>
          </w:tcPr>
          <w:p>
            <w:pPr>
              <w:jc w:val="center"/>
            </w:pPr>
            <w:r/>
            <w:r>
              <w:rPr>
                <w:rFonts w:ascii="Times New Roman" w:hAnsi="Times New Roman"/>
                <w:b w:val="0"/>
                <w:i w:val="0"/>
                <w:sz w:val="20"/>
              </w:rPr>
              <w:t>EE</w:t>
            </w:r>
          </w:p>
        </w:tc>
        <w:tc>
          <w:tcPr>
            <w:tcW w:type="dxa" w:w="1950"/>
          </w:tcPr>
          <w:p>
            <w:pPr>
              <w:jc w:val="center"/>
            </w:pPr>
            <w:r/>
            <w:r>
              <w:rPr>
                <w:rFonts w:ascii="Times New Roman" w:hAnsi="Times New Roman"/>
                <w:b w:val="0"/>
                <w:i w:val="0"/>
                <w:sz w:val="20"/>
              </w:rPr>
              <w:t>0.9324</w:t>
            </w:r>
          </w:p>
        </w:tc>
        <w:tc>
          <w:tcPr>
            <w:tcW w:type="dxa" w:w="1950"/>
          </w:tcPr>
          <w:p>
            <w:pPr>
              <w:jc w:val="center"/>
            </w:pPr>
            <w:r/>
            <w:r>
              <w:rPr>
                <w:rFonts w:ascii="Times New Roman" w:hAnsi="Times New Roman"/>
                <w:b w:val="0"/>
                <w:i w:val="0"/>
                <w:sz w:val="20"/>
              </w:rPr>
              <w:t>0.4737</w:t>
            </w:r>
          </w:p>
        </w:tc>
        <w:tc>
          <w:tcPr>
            <w:tcW w:type="dxa" w:w="1950"/>
          </w:tcPr>
          <w:p>
            <w:pPr>
              <w:jc w:val="center"/>
            </w:pPr>
            <w:r/>
            <w:r>
              <w:rPr>
                <w:rFonts w:ascii="Times New Roman" w:hAnsi="Times New Roman"/>
                <w:b w:val="0"/>
                <w:i w:val="0"/>
                <w:sz w:val="20"/>
              </w:rPr>
              <w:t>0.4737</w:t>
            </w:r>
          </w:p>
        </w:tc>
        <w:tc>
          <w:tcPr>
            <w:tcW w:type="dxa" w:w="1950"/>
          </w:tcPr>
          <w:p>
            <w:pPr>
              <w:jc w:val="center"/>
            </w:pPr>
            <w:r/>
            <w:r>
              <w:rPr>
                <w:rFonts w:ascii="Times New Roman" w:hAnsi="Times New Roman"/>
                <w:b w:val="0"/>
                <w:i w:val="0"/>
                <w:sz w:val="20"/>
              </w:rPr>
              <w:t>0.4737</w:t>
            </w:r>
          </w:p>
        </w:tc>
      </w:tr>
      <w:tr>
        <w:tc>
          <w:tcPr>
            <w:tcW w:type="dxa" w:w="1950"/>
          </w:tcPr>
          <w:p>
            <w:pPr>
              <w:jc w:val="center"/>
            </w:pPr>
            <w:r/>
            <w:r>
              <w:rPr>
                <w:rFonts w:ascii="Times New Roman" w:hAnsi="Times New Roman"/>
                <w:b w:val="0"/>
                <w:i w:val="0"/>
                <w:sz w:val="20"/>
              </w:rPr>
              <w:t>IF+LOF</w:t>
            </w:r>
          </w:p>
        </w:tc>
        <w:tc>
          <w:tcPr>
            <w:tcW w:type="dxa" w:w="1950"/>
          </w:tcPr>
          <w:p>
            <w:pPr>
              <w:jc w:val="center"/>
            </w:pPr>
            <w:r/>
            <w:r>
              <w:rPr>
                <w:rFonts w:ascii="Times New Roman" w:hAnsi="Times New Roman"/>
                <w:b w:val="0"/>
                <w:i w:val="0"/>
                <w:sz w:val="20"/>
              </w:rPr>
              <w:t>0.8985</w:t>
            </w:r>
          </w:p>
        </w:tc>
        <w:tc>
          <w:tcPr>
            <w:tcW w:type="dxa" w:w="1950"/>
          </w:tcPr>
          <w:p>
            <w:pPr>
              <w:jc w:val="center"/>
            </w:pPr>
            <w:r/>
            <w:r>
              <w:rPr>
                <w:rFonts w:ascii="Times New Roman" w:hAnsi="Times New Roman"/>
                <w:b w:val="0"/>
                <w:i w:val="0"/>
                <w:sz w:val="20"/>
              </w:rPr>
              <w:t>0.2105</w:t>
            </w:r>
          </w:p>
        </w:tc>
        <w:tc>
          <w:tcPr>
            <w:tcW w:type="dxa" w:w="1950"/>
          </w:tcPr>
          <w:p>
            <w:pPr>
              <w:jc w:val="center"/>
            </w:pPr>
            <w:r/>
            <w:r>
              <w:rPr>
                <w:rFonts w:ascii="Times New Roman" w:hAnsi="Times New Roman"/>
                <w:b w:val="0"/>
                <w:i w:val="0"/>
                <w:sz w:val="20"/>
              </w:rPr>
              <w:t>0.2105</w:t>
            </w:r>
          </w:p>
        </w:tc>
        <w:tc>
          <w:tcPr>
            <w:tcW w:type="dxa" w:w="1950"/>
          </w:tcPr>
          <w:p>
            <w:pPr>
              <w:jc w:val="center"/>
            </w:pPr>
            <w:r/>
            <w:r>
              <w:rPr>
                <w:rFonts w:ascii="Times New Roman" w:hAnsi="Times New Roman"/>
                <w:b w:val="0"/>
                <w:i w:val="0"/>
                <w:sz w:val="20"/>
              </w:rPr>
              <w:t>0.2105</w:t>
            </w:r>
          </w:p>
        </w:tc>
      </w:tr>
      <w:tr>
        <w:tc>
          <w:tcPr>
            <w:tcW w:type="dxa" w:w="1950"/>
          </w:tcPr>
          <w:p>
            <w:pPr>
              <w:jc w:val="center"/>
            </w:pPr>
            <w:r/>
            <w:r>
              <w:rPr>
                <w:rFonts w:ascii="Times New Roman" w:hAnsi="Times New Roman"/>
                <w:b w:val="0"/>
                <w:i w:val="0"/>
                <w:sz w:val="20"/>
              </w:rPr>
              <w:t>IF+EE</w:t>
            </w:r>
          </w:p>
        </w:tc>
        <w:tc>
          <w:tcPr>
            <w:tcW w:type="dxa" w:w="1950"/>
          </w:tcPr>
          <w:p>
            <w:pPr>
              <w:jc w:val="center"/>
            </w:pPr>
            <w:r/>
            <w:r>
              <w:rPr>
                <w:rFonts w:ascii="Times New Roman" w:hAnsi="Times New Roman"/>
                <w:b w:val="0"/>
                <w:i w:val="0"/>
                <w:sz w:val="20"/>
              </w:rPr>
              <w:t>0.9301</w:t>
            </w:r>
          </w:p>
        </w:tc>
        <w:tc>
          <w:tcPr>
            <w:tcW w:type="dxa" w:w="1950"/>
          </w:tcPr>
          <w:p>
            <w:pPr>
              <w:jc w:val="center"/>
            </w:pPr>
            <w:r/>
            <w:r>
              <w:rPr>
                <w:rFonts w:ascii="Times New Roman" w:hAnsi="Times New Roman"/>
                <w:b w:val="0"/>
                <w:i w:val="0"/>
                <w:sz w:val="20"/>
              </w:rPr>
              <w:t>0.4561</w:t>
            </w:r>
          </w:p>
        </w:tc>
        <w:tc>
          <w:tcPr>
            <w:tcW w:type="dxa" w:w="1950"/>
          </w:tcPr>
          <w:p>
            <w:pPr>
              <w:jc w:val="center"/>
            </w:pPr>
            <w:r/>
            <w:r>
              <w:rPr>
                <w:rFonts w:ascii="Times New Roman" w:hAnsi="Times New Roman"/>
                <w:b w:val="0"/>
                <w:i w:val="0"/>
                <w:sz w:val="20"/>
              </w:rPr>
              <w:t>0.4561</w:t>
            </w:r>
          </w:p>
        </w:tc>
        <w:tc>
          <w:tcPr>
            <w:tcW w:type="dxa" w:w="1950"/>
          </w:tcPr>
          <w:p>
            <w:pPr>
              <w:jc w:val="center"/>
            </w:pPr>
            <w:r/>
            <w:r>
              <w:rPr>
                <w:rFonts w:ascii="Times New Roman" w:hAnsi="Times New Roman"/>
                <w:b w:val="0"/>
                <w:i w:val="0"/>
                <w:sz w:val="20"/>
              </w:rPr>
              <w:t>0.4561</w:t>
            </w:r>
          </w:p>
        </w:tc>
      </w:tr>
      <w:tr>
        <w:tc>
          <w:tcPr>
            <w:tcW w:type="dxa" w:w="1950"/>
          </w:tcPr>
          <w:p>
            <w:pPr>
              <w:jc w:val="center"/>
            </w:pPr>
            <w:r/>
            <w:r>
              <w:rPr>
                <w:rFonts w:ascii="Times New Roman" w:hAnsi="Times New Roman"/>
                <w:b w:val="0"/>
                <w:i w:val="0"/>
                <w:sz w:val="20"/>
              </w:rPr>
              <w:t>LOF+EE</w:t>
            </w:r>
          </w:p>
        </w:tc>
        <w:tc>
          <w:tcPr>
            <w:tcW w:type="dxa" w:w="1950"/>
          </w:tcPr>
          <w:p>
            <w:pPr>
              <w:jc w:val="center"/>
            </w:pPr>
            <w:r/>
            <w:r>
              <w:rPr>
                <w:rFonts w:ascii="Times New Roman" w:hAnsi="Times New Roman"/>
                <w:b w:val="0"/>
                <w:i w:val="0"/>
                <w:sz w:val="20"/>
              </w:rPr>
              <w:t>0.9301</w:t>
            </w:r>
          </w:p>
        </w:tc>
        <w:tc>
          <w:tcPr>
            <w:tcW w:type="dxa" w:w="1950"/>
          </w:tcPr>
          <w:p>
            <w:pPr>
              <w:jc w:val="center"/>
            </w:pPr>
            <w:r/>
            <w:r>
              <w:rPr>
                <w:rFonts w:ascii="Times New Roman" w:hAnsi="Times New Roman"/>
                <w:b w:val="0"/>
                <w:i w:val="0"/>
                <w:sz w:val="20"/>
              </w:rPr>
              <w:t>0.4561</w:t>
            </w:r>
          </w:p>
        </w:tc>
        <w:tc>
          <w:tcPr>
            <w:tcW w:type="dxa" w:w="1950"/>
          </w:tcPr>
          <w:p>
            <w:pPr>
              <w:jc w:val="center"/>
            </w:pPr>
            <w:r/>
            <w:r>
              <w:rPr>
                <w:rFonts w:ascii="Times New Roman" w:hAnsi="Times New Roman"/>
                <w:b w:val="0"/>
                <w:i w:val="0"/>
                <w:sz w:val="20"/>
              </w:rPr>
              <w:t>0.4561</w:t>
            </w:r>
          </w:p>
        </w:tc>
        <w:tc>
          <w:tcPr>
            <w:tcW w:type="dxa" w:w="1950"/>
          </w:tcPr>
          <w:p>
            <w:pPr>
              <w:jc w:val="center"/>
            </w:pPr>
            <w:r/>
            <w:r>
              <w:rPr>
                <w:rFonts w:ascii="Times New Roman" w:hAnsi="Times New Roman"/>
                <w:b w:val="0"/>
                <w:i w:val="0"/>
                <w:sz w:val="20"/>
              </w:rPr>
              <w:t>0.4561</w:t>
            </w:r>
          </w:p>
        </w:tc>
      </w:tr>
      <w:tr>
        <w:tc>
          <w:tcPr>
            <w:tcW w:type="dxa" w:w="1950"/>
          </w:tcPr>
          <w:p>
            <w:pPr>
              <w:jc w:val="center"/>
            </w:pPr>
            <w:r/>
            <w:r>
              <w:rPr>
                <w:rFonts w:ascii="Times New Roman" w:hAnsi="Times New Roman"/>
                <w:b w:val="0"/>
                <w:i w:val="0"/>
                <w:sz w:val="20"/>
              </w:rPr>
              <w:t>IF+LOF+EE</w:t>
            </w:r>
          </w:p>
        </w:tc>
        <w:tc>
          <w:tcPr>
            <w:tcW w:type="dxa" w:w="1950"/>
          </w:tcPr>
          <w:p>
            <w:pPr>
              <w:jc w:val="center"/>
            </w:pPr>
            <w:r/>
            <w:r>
              <w:rPr>
                <w:rFonts w:ascii="Times New Roman" w:hAnsi="Times New Roman"/>
                <w:b w:val="0"/>
                <w:i w:val="0"/>
                <w:sz w:val="20"/>
              </w:rPr>
              <w:t>0.9301</w:t>
            </w:r>
          </w:p>
        </w:tc>
        <w:tc>
          <w:tcPr>
            <w:tcW w:type="dxa" w:w="1950"/>
          </w:tcPr>
          <w:p>
            <w:pPr>
              <w:jc w:val="center"/>
            </w:pPr>
            <w:r/>
            <w:r>
              <w:rPr>
                <w:rFonts w:ascii="Times New Roman" w:hAnsi="Times New Roman"/>
                <w:b w:val="0"/>
                <w:i w:val="0"/>
                <w:sz w:val="20"/>
              </w:rPr>
              <w:t>0.4561</w:t>
            </w:r>
          </w:p>
        </w:tc>
        <w:tc>
          <w:tcPr>
            <w:tcW w:type="dxa" w:w="1950"/>
          </w:tcPr>
          <w:p>
            <w:pPr>
              <w:jc w:val="center"/>
            </w:pPr>
            <w:r/>
            <w:r>
              <w:rPr>
                <w:rFonts w:ascii="Times New Roman" w:hAnsi="Times New Roman"/>
                <w:b w:val="0"/>
                <w:i w:val="0"/>
                <w:sz w:val="20"/>
              </w:rPr>
              <w:t>0.4561</w:t>
            </w:r>
          </w:p>
        </w:tc>
        <w:tc>
          <w:tcPr>
            <w:tcW w:type="dxa" w:w="1950"/>
          </w:tcPr>
          <w:p>
            <w:pPr>
              <w:jc w:val="center"/>
            </w:pPr>
            <w:r/>
            <w:r>
              <w:rPr>
                <w:rFonts w:ascii="Times New Roman" w:hAnsi="Times New Roman"/>
                <w:b w:val="0"/>
                <w:i w:val="0"/>
                <w:sz w:val="20"/>
              </w:rPr>
              <w:t>0.4561</w:t>
            </w:r>
          </w:p>
        </w:tc>
      </w:tr>
    </w:tbl>
    <w:p>
      <w:pPr>
        <w:spacing w:after="60"/>
      </w:pPr>
    </w:p>
    <w:p>
      <w:pPr>
        <w:spacing w:after="0" w:line="240" w:lineRule="auto"/>
        <w:ind w:firstLine="283"/>
        <w:jc w:val="both"/>
      </w:pPr>
      <w:r>
        <w:rPr>
          <w:rFonts w:ascii="Times New Roman" w:hAnsi="Times New Roman"/>
          <w:b w:val="0"/>
          <w:i w:val="0"/>
          <w:sz w:val="22"/>
        </w:rPr>
        <w:t>A sensitivity analysis evaluates each configuration against proxy thresholds rule_violations ≥ 4 … 6 (best per threshold: EE (≥4), EE (≥5), EE (≥6)). EE attains the highest F1 in most settings; however, this advantage is partly an artifact of the proxy being derived from the same rule engine, so EE detections align with rule violations by construction. Individual models are also volatile across definitions — for example, LOF is competitive at lower thresholds but collapses at higher ones. Critically, the full IF+LOF+EE ensemble is never the worst configuration at any threshold (F1 = 0.559, 0.464, 0.456), remaining consistently mid-ranked. This demonstrates that the value of the heterogeneous ensemble lies in robustness and stable generalization across differing anomaly definitions rather than in maximizing any single (rule-biased) proxy metric.</w:t>
      </w:r>
    </w:p>
    <w:p>
      <w:pPr>
        <w:spacing w:before="60" w:after="40" w:line="240" w:lineRule="auto"/>
      </w:pPr>
      <w:r>
        <w:rPr>
          <w:rFonts w:ascii="Times New Roman" w:hAnsi="Times New Roman"/>
          <w:b/>
          <w:i w:val="0"/>
          <w:sz w:val="22"/>
        </w:rPr>
        <w:t>5.5 SHAP feature importance</w:t>
      </w:r>
    </w:p>
    <w:p>
      <w:pPr>
        <w:spacing w:after="0" w:line="240" w:lineRule="auto"/>
        <w:ind w:firstLine="283"/>
        <w:jc w:val="both"/>
      </w:pPr>
      <w:r>
        <w:rPr>
          <w:rFonts w:ascii="Times New Roman" w:hAnsi="Times New Roman"/>
          <w:b w:val="0"/>
          <w:i w:val="0"/>
          <w:sz w:val="22"/>
        </w:rPr>
        <w:t>Global SHAP analysis identifies the four most influential features (shared_device_risk, critical_server_ratio, host_diversity, rule_violations) with mean |SHAP| values above 0.47. Notably, three features (sensitive_groups, ip_network_risk, privilege_level) yield zero SHAP contribution on this dataset, indicating dataset-specific feature relevance that future deployments should re-evaluate.</w:t>
      </w:r>
    </w:p>
    <w:p>
      <w:pPr>
        <w:spacing w:after="0" w:line="240" w:lineRule="auto"/>
        <w:ind w:firstLine="283"/>
        <w:jc w:val="both"/>
      </w:pPr>
      <w:r>
        <w:rPr>
          <w:rFonts w:ascii="Times New Roman" w:hAnsi="Times New Roman"/>
          <w:b w:val="0"/>
          <w:i w:val="0"/>
          <w:sz w:val="22"/>
        </w:rPr>
        <w:t>Per-user SHAP top causes provide auditable explanations. For instance, the highest-scoring user is flagged due to "Sering lockout", enabling security analysts to focus investigation efforts on specific behavioral patterns rather than generic anomaly labels.</w:t>
      </w:r>
    </w:p>
    <w:p>
      <w:pPr>
        <w:spacing w:before="60" w:after="40" w:line="240" w:lineRule="auto"/>
      </w:pPr>
      <w:r>
        <w:rPr>
          <w:rFonts w:ascii="Times New Roman" w:hAnsi="Times New Roman"/>
          <w:b/>
          <w:i w:val="0"/>
          <w:sz w:val="22"/>
        </w:rPr>
        <w:t>5.6 Discussion</w:t>
      </w:r>
    </w:p>
    <w:p>
      <w:pPr>
        <w:spacing w:after="0" w:line="240" w:lineRule="auto"/>
        <w:ind w:firstLine="283"/>
        <w:jc w:val="both"/>
      </w:pPr>
      <w:r>
        <w:rPr>
          <w:rFonts w:ascii="Times New Roman" w:hAnsi="Times New Roman"/>
          <w:b w:val="0"/>
          <w:i w:val="0"/>
          <w:sz w:val="22"/>
        </w:rPr>
        <w:t>The proposed pipeline addresses three key challenges in AD anomaly detection. First, the knowledge graph representation enables relational queries that are infeasible in tabular formats. Second, the heterogeneous ensemble captures multiple anomaly types via complementary inductive biases. Third, SHAP explanations and quantile-based thresholds together produce transparent, reproducible classifications suitable for security audit workflows.</w:t>
      </w:r>
    </w:p>
    <w:p>
      <w:pPr>
        <w:spacing w:after="0" w:line="240" w:lineRule="auto"/>
        <w:ind w:firstLine="283"/>
        <w:jc w:val="both"/>
      </w:pPr>
      <w:r>
        <w:rPr>
          <w:rFonts w:ascii="Times New Roman" w:hAnsi="Times New Roman"/>
          <w:b w:val="0"/>
          <w:i w:val="0"/>
          <w:sz w:val="22"/>
        </w:rPr>
        <w:t>A key limitation is the absence of ground truth labels for absolute precision/recall evaluation. The proxy approach (rule_violations ≥ 6) inherently favors models aligned with domain rules (EE) and penalizes models capturing orthogonal anomalies (LOF), even though both have practical value. Future work should incorporate expert-validated labels and explore threshold sensitivity analysis.</w:t>
      </w:r>
    </w:p>
    <w:p>
      <w:pPr>
        <w:spacing w:before="120" w:after="60" w:line="240" w:lineRule="auto"/>
      </w:pPr>
      <w:r>
        <w:rPr>
          <w:rFonts w:ascii="Times New Roman" w:hAnsi="Times New Roman"/>
          <w:b/>
          <w:i w:val="0"/>
          <w:sz w:val="24"/>
        </w:rPr>
        <w:t>6. Conclusion</w:t>
      </w:r>
    </w:p>
    <w:p>
      <w:pPr>
        <w:spacing w:after="0" w:line="240" w:lineRule="auto"/>
        <w:ind w:firstLine="283"/>
        <w:jc w:val="both"/>
      </w:pPr>
      <w:r>
        <w:rPr>
          <w:rFonts w:ascii="Times New Roman" w:hAnsi="Times New Roman"/>
          <w:b w:val="0"/>
          <w:i w:val="0"/>
          <w:sz w:val="22"/>
        </w:rPr>
        <w:t>This paper presented a knowledge graph-based anomaly detection pipeline for Active Directory audit logs, integrating Neo4j, rule-based engine, heterogeneous ML ensemble (IF + LOF + EE), and SHAP explainability. Evaluated on 887 users derived from 1.8 million AD events, the system identified 89 anomalous users across CRITICAL, HIGH, and MEDIUM severity tiers, with data-driven quantile-based thresholds replacing arbitrary value selection.</w:t>
      </w:r>
    </w:p>
    <w:p>
      <w:pPr>
        <w:spacing w:after="0" w:line="240" w:lineRule="auto"/>
        <w:ind w:firstLine="283"/>
        <w:jc w:val="both"/>
      </w:pPr>
      <w:r>
        <w:rPr>
          <w:rFonts w:ascii="Times New Roman" w:hAnsi="Times New Roman"/>
          <w:b w:val="0"/>
          <w:i w:val="0"/>
          <w:sz w:val="22"/>
        </w:rPr>
        <w:t>The ablation study demonstrated that the three ensemble components capture complementary anomaly types: EE aligns with domain rules, LOF detects orthogonal local anomalies, and IF balances both. Low inter-model agreement (Cohen’s Kappa = 0.20 for LOF-EE) empirically justifies the ensemble approach. SHAP explanations transform black-box anomaly scores into auditable evidence, enabling practical deployment in security operations.</w:t>
      </w:r>
    </w:p>
    <w:p>
      <w:pPr>
        <w:spacing w:after="0" w:line="240" w:lineRule="auto"/>
        <w:ind w:firstLine="283"/>
        <w:jc w:val="both"/>
      </w:pPr>
      <w:r>
        <w:rPr>
          <w:rFonts w:ascii="Times New Roman" w:hAnsi="Times New Roman"/>
          <w:b w:val="0"/>
          <w:i w:val="0"/>
          <w:sz w:val="22"/>
        </w:rPr>
        <w:t>Future work will focus on (1) expert-validated ground truth for absolute precision/recall evaluation, (2) threshold sensitivity analysis with ROC and cost-sensitive metrics, and (3) extension to temporal anomaly detection using sequence models (e.g., LSTM autoencoders) integrated with the graph representation.</w:t>
      </w:r>
    </w:p>
    <w:p>
      <w:pPr>
        <w:spacing w:before="120"/>
      </w:pPr>
      <w:r>
        <w:rPr>
          <w:rFonts w:ascii="Times New Roman" w:hAnsi="Times New Roman"/>
          <w:b/>
          <w:i w:val="0"/>
          <w:sz w:val="22"/>
        </w:rPr>
        <w:t>Conflicts of interest</w:t>
      </w:r>
    </w:p>
    <w:p>
      <w:pPr>
        <w:spacing w:after="0" w:line="240" w:lineRule="auto"/>
        <w:jc w:val="both"/>
      </w:pPr>
      <w:r>
        <w:rPr>
          <w:rFonts w:ascii="Times New Roman" w:hAnsi="Times New Roman"/>
          <w:b w:val="0"/>
          <w:i w:val="0"/>
          <w:sz w:val="22"/>
        </w:rPr>
        <w:t>The authors declare no conflict of interest.</w:t>
      </w:r>
    </w:p>
    <w:p>
      <w:pPr>
        <w:spacing w:before="120"/>
      </w:pPr>
      <w:r>
        <w:rPr>
          <w:rFonts w:ascii="Times New Roman" w:hAnsi="Times New Roman"/>
          <w:b/>
          <w:i w:val="0"/>
          <w:sz w:val="22"/>
        </w:rPr>
        <w:t>Author contributions</w:t>
      </w:r>
    </w:p>
    <w:p>
      <w:pPr>
        <w:spacing w:after="0" w:line="240" w:lineRule="auto"/>
        <w:jc w:val="both"/>
      </w:pPr>
      <w:r>
        <w:rPr>
          <w:rFonts w:ascii="Times New Roman" w:hAnsi="Times New Roman"/>
          <w:b w:val="0"/>
          <w:i w:val="0"/>
          <w:sz w:val="22"/>
        </w:rPr>
        <w:t>Conceptualization, methodology, software, validation, formal analysis, investigation, data curation, writing—original draft preparation, writing—review and editing, visualization: Mahathir Muhammad.</w:t>
      </w:r>
    </w:p>
    <w:p>
      <w:pPr>
        <w:spacing w:before="120" w:after="60"/>
      </w:pPr>
      <w:r>
        <w:rPr>
          <w:rFonts w:ascii="Times New Roman" w:hAnsi="Times New Roman"/>
          <w:b/>
          <w:i w:val="0"/>
          <w:sz w:val="24"/>
        </w:rPr>
        <w:t>References</w:t>
      </w:r>
    </w:p>
    <w:p>
      <w:pPr>
        <w:spacing w:after="60" w:line="240" w:lineRule="auto"/>
        <w:ind w:left="283" w:hanging="283"/>
        <w:jc w:val="both"/>
      </w:pPr>
      <w:r>
        <w:rPr>
          <w:rFonts w:ascii="Times New Roman" w:hAnsi="Times New Roman"/>
          <w:b w:val="0"/>
          <w:i w:val="0"/>
          <w:sz w:val="22"/>
        </w:rPr>
        <w:t>[1] M. Du, F. Li, G. Zheng, and V. Srikumar, “DeepLog: Anomaly detection and diagnosis from system logs through deep learning”, In: Proc. of ACM SIGSAC Conf. on Computer and Communications Security, Dallas, Texas, USA, pp. 1285–1298, 2017.</w:t>
      </w:r>
    </w:p>
    <w:p>
      <w:pPr>
        <w:spacing w:after="60" w:line="240" w:lineRule="auto"/>
        <w:ind w:left="283" w:hanging="283"/>
        <w:jc w:val="both"/>
      </w:pPr>
      <w:r>
        <w:rPr>
          <w:rFonts w:ascii="Times New Roman" w:hAnsi="Times New Roman"/>
          <w:b w:val="0"/>
          <w:i w:val="0"/>
          <w:sz w:val="22"/>
        </w:rPr>
        <w:t>[2] R. Chen, S. Zhang, D. Li, Y. Zhang, F. Guo, W. Meng, D. Pei, Y. Zhang, X. Chen, and Y. Liu, “LogTransfer: Cross-system log anomaly detection for software systems with transfer learning”, In: Proc. of IEEE Int. Symp. on Software Reliability Engineering, Coimbra, Portugal, pp. 37–47, 2020.</w:t>
      </w:r>
    </w:p>
    <w:p>
      <w:pPr>
        <w:spacing w:after="60" w:line="240" w:lineRule="auto"/>
        <w:ind w:left="283" w:hanging="283"/>
        <w:jc w:val="both"/>
      </w:pPr>
      <w:r>
        <w:rPr>
          <w:rFonts w:ascii="Times New Roman" w:hAnsi="Times New Roman"/>
          <w:b w:val="0"/>
          <w:i w:val="0"/>
          <w:sz w:val="22"/>
        </w:rPr>
        <w:t>[3] X. Han, T. Pasquier, A. Bates, J. Mickens, and M. Seltzer, “Unicorn: Runtime provenance-based detector for advanced persistent threats”, In: Proc. of Network and Distributed System Security Symposium, San Diego, California, USA, 2020.</w:t>
      </w:r>
    </w:p>
    <w:p>
      <w:pPr>
        <w:spacing w:after="60" w:line="240" w:lineRule="auto"/>
        <w:ind w:left="283" w:hanging="283"/>
        <w:jc w:val="both"/>
      </w:pPr>
      <w:r>
        <w:rPr>
          <w:rFonts w:ascii="Times New Roman" w:hAnsi="Times New Roman"/>
          <w:b w:val="0"/>
          <w:i w:val="0"/>
          <w:sz w:val="22"/>
        </w:rPr>
        <w:t>[4] H. Studiawan, F. Sohel, and C. Payne, “Anomaly detection in operating system logs with deep learning-based sentiment analysis”, IEEE Trans. on Dependable and Secure Computing, Vol. 18, No. 5, pp. 2136–2148, 2020.</w:t>
      </w:r>
    </w:p>
    <w:p>
      <w:pPr>
        <w:spacing w:after="60" w:line="240" w:lineRule="auto"/>
        <w:ind w:left="283" w:hanging="283"/>
        <w:jc w:val="both"/>
      </w:pPr>
      <w:r>
        <w:rPr>
          <w:rFonts w:ascii="Times New Roman" w:hAnsi="Times New Roman"/>
          <w:b w:val="0"/>
          <w:i w:val="0"/>
          <w:sz w:val="22"/>
        </w:rPr>
        <w:t>[5] F. T. Liu, K. M. Ting, and Z. H. Zhou, “Isolation Forest”, In: Proc. of IEEE Int. Conf. on Data Mining, Pisa, Italy, pp. 413–422, 2008.</w:t>
      </w:r>
    </w:p>
    <w:p>
      <w:pPr>
        <w:spacing w:after="60" w:line="240" w:lineRule="auto"/>
        <w:ind w:left="283" w:hanging="283"/>
        <w:jc w:val="both"/>
      </w:pPr>
      <w:r>
        <w:rPr>
          <w:rFonts w:ascii="Times New Roman" w:hAnsi="Times New Roman"/>
          <w:b w:val="0"/>
          <w:i w:val="0"/>
          <w:sz w:val="22"/>
        </w:rPr>
        <w:t>[6] C. C. Aggarwal, Outlier Analysis, 2nd ed., Springer, New York, 2017.</w:t>
      </w:r>
    </w:p>
    <w:p>
      <w:pPr>
        <w:spacing w:after="60" w:line="240" w:lineRule="auto"/>
        <w:ind w:left="283" w:hanging="283"/>
        <w:jc w:val="both"/>
      </w:pPr>
      <w:r>
        <w:rPr>
          <w:rFonts w:ascii="Times New Roman" w:hAnsi="Times New Roman"/>
          <w:b w:val="0"/>
          <w:i w:val="0"/>
          <w:sz w:val="22"/>
        </w:rPr>
        <w:t>[7] M. M. Breunig, H. P. Kriegel, R. T. Ng, and J. Sander, “LOF: Identifying density-based local outliers”, In: Proc. of ACM SIGMOD Int. Conf. on Management of Data, Dallas, Texas, USA, pp. 93–104, 2000.</w:t>
      </w:r>
    </w:p>
    <w:p>
      <w:pPr>
        <w:spacing w:after="60" w:line="240" w:lineRule="auto"/>
        <w:ind w:left="283" w:hanging="283"/>
        <w:jc w:val="both"/>
      </w:pPr>
      <w:r>
        <w:rPr>
          <w:rFonts w:ascii="Times New Roman" w:hAnsi="Times New Roman"/>
          <w:b w:val="0"/>
          <w:i w:val="0"/>
          <w:sz w:val="22"/>
        </w:rPr>
        <w:t>[8] P. J. Rousseeuw and K. V. Driessen, “A fast algorithm for the minimum covariance determinant estimator”, Technometrics, Vol. 41, No. 3, pp. 212–223, 1999.</w:t>
      </w:r>
    </w:p>
    <w:p>
      <w:pPr>
        <w:spacing w:after="60" w:line="240" w:lineRule="auto"/>
        <w:ind w:left="283" w:hanging="283"/>
        <w:jc w:val="both"/>
      </w:pPr>
      <w:r>
        <w:rPr>
          <w:rFonts w:ascii="Times New Roman" w:hAnsi="Times New Roman"/>
          <w:b w:val="0"/>
          <w:i w:val="0"/>
          <w:sz w:val="22"/>
        </w:rPr>
        <w:t>[9] S. M. Lundberg and S. I. Lee, “A unified approach to interpreting model predictions”, In: Proc. of Advances in Neural Information Processing Systems, Long Beach, California, USA, pp. 4765–4774, 2017.</w:t>
      </w:r>
    </w:p>
    <w:p>
      <w:pPr>
        <w:spacing w:after="60" w:line="240" w:lineRule="auto"/>
        <w:ind w:left="283" w:hanging="283"/>
        <w:jc w:val="both"/>
      </w:pPr>
      <w:r>
        <w:rPr>
          <w:rFonts w:ascii="Times New Roman" w:hAnsi="Times New Roman"/>
          <w:b w:val="0"/>
          <w:i w:val="0"/>
          <w:sz w:val="22"/>
        </w:rPr>
        <w:t>[10] M. Goldstein and S. Uchida, “A comparative evaluation of unsupervised anomaly detection algorithms for multivariate data”, PLOS ONE, Vol. 11, No. 4, pp. 1–31, 2016.</w:t>
      </w:r>
    </w:p>
    <w:p>
      <w:pPr>
        <w:spacing w:after="60" w:line="240" w:lineRule="auto"/>
        <w:ind w:left="283" w:hanging="283"/>
        <w:jc w:val="both"/>
      </w:pPr>
      <w:r>
        <w:rPr>
          <w:rFonts w:ascii="Times New Roman" w:hAnsi="Times New Roman"/>
          <w:b w:val="0"/>
          <w:i w:val="0"/>
          <w:sz w:val="22"/>
        </w:rPr>
        <w:t>[11] Forum of Incident Response and Security Teams (FIRST), Common Vulnerability Scoring System v3.1: Specification Document, 2019. Available: https://www.first.org/cvss/v3-1/specification-document.</w:t>
      </w:r>
    </w:p>
    <w:sectPr w:rsidR="00FC693F" w:rsidRPr="0006063C" w:rsidSect="00034616">
      <w:type w:val="continuous"/>
      <w:pgSz w:w="11906" w:h="16838"/>
      <w:pgMar w:top="1417" w:right="1077" w:bottom="1417" w:left="1077"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