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procedure revision 001</w:t>
      </w:r>
    </w:p>
    <w:p>
      <w:r>
        <w:t>Synthetic revision pair with added, removed, modified, and unchanged items.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REV-ITEM-001</w:t>
            </w:r>
          </w:p>
        </w:tc>
        <w:tc>
          <w:tcPr>
            <w:tcW w:type="dxa" w:w="2160"/>
          </w:tcPr>
          <w:p>
            <w:r>
              <w:t>Satu peninjau memeriksa catatan uji sebelum penerbitan.</w:t>
            </w:r>
          </w:p>
        </w:tc>
        <w:tc>
          <w:tcPr>
            <w:tcW w:type="dxa" w:w="2160"/>
          </w:tcPr>
          <w:p>
            <w:r>
              <w:t>One reviewer checks the test record before issuance.</w:t>
            </w:r>
          </w:p>
        </w:tc>
        <w:tc>
          <w:tcPr>
            <w:tcW w:type="dxa" w:w="2160"/>
          </w:tcPr>
          <w:p>
            <w:r>
              <w:t>一名审核员在发布前检查测试记录。</w:t>
            </w:r>
          </w:p>
        </w:tc>
      </w:tr>
      <w:tr>
        <w:tc>
          <w:tcPr>
            <w:tcW w:type="dxa" w:w="2160"/>
          </w:tcPr>
          <w:p>
            <w:r>
              <w:t>REV-ITEM-002</w:t>
            </w:r>
          </w:p>
        </w:tc>
        <w:tc>
          <w:tcPr>
            <w:tcW w:type="dxa" w:w="2160"/>
          </w:tcPr>
          <w:p>
            <w:r>
              <w:t>Bukti tinjauan disimpan selama 12 bulan.</w:t>
            </w:r>
          </w:p>
        </w:tc>
        <w:tc>
          <w:tcPr>
            <w:tcW w:type="dxa" w:w="2160"/>
          </w:tcPr>
          <w:p>
            <w:r>
              <w:t>Review evidence is retained for 12 months.</w:t>
            </w:r>
          </w:p>
        </w:tc>
        <w:tc>
          <w:tcPr>
            <w:tcW w:type="dxa" w:w="2160"/>
          </w:tcPr>
          <w:p>
            <w:r>
              <w:t>审核证据保留12个月。</w:t>
            </w:r>
          </w:p>
        </w:tc>
      </w:tr>
      <w:tr>
        <w:tc>
          <w:tcPr>
            <w:tcW w:type="dxa" w:w="2160"/>
          </w:tcPr>
          <w:p>
            <w:r>
              <w:t>REV-ITEM-003</w:t>
            </w:r>
          </w:p>
        </w:tc>
        <w:tc>
          <w:tcPr>
            <w:tcW w:type="dxa" w:w="2160"/>
          </w:tcPr>
          <w:p>
            <w:r>
              <w:t>Salinan usang dipindahkan ke arsip lokal.</w:t>
            </w:r>
          </w:p>
        </w:tc>
        <w:tc>
          <w:tcPr>
            <w:tcW w:type="dxa" w:w="2160"/>
          </w:tcPr>
          <w:p>
            <w:r>
              <w:t>Obsolete copies are moved to the local archive.</w:t>
            </w:r>
          </w:p>
        </w:tc>
        <w:tc>
          <w:tcPr>
            <w:tcW w:type="dxa" w:w="2160"/>
          </w:tcPr>
          <w:p>
            <w:r>
              <w:t>作废副本移至本地档案。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procedure revision 001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