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procedure revision 002</w:t>
      </w:r>
    </w:p>
    <w:p>
      <w:r>
        <w:t>Synthetic revision pair with added, removed, modified, and unchanged items.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REV-ITEM-001</w:t>
            </w:r>
          </w:p>
        </w:tc>
        <w:tc>
          <w:tcPr>
            <w:tcW w:type="dxa" w:w="2160"/>
          </w:tcPr>
          <w:p>
            <w:r>
              <w:t>Dua peninjau memeriksa catatan uji sebelum penerbitan.</w:t>
            </w:r>
          </w:p>
        </w:tc>
        <w:tc>
          <w:tcPr>
            <w:tcW w:type="dxa" w:w="2160"/>
          </w:tcPr>
          <w:p>
            <w:r>
              <w:t>Two reviewers check the test record before issuance.</w:t>
            </w:r>
          </w:p>
        </w:tc>
        <w:tc>
          <w:tcPr>
            <w:tcW w:type="dxa" w:w="2160"/>
          </w:tcPr>
          <w:p>
            <w:r>
              <w:t>两名审核员在发布前检查测试记录。</w:t>
            </w:r>
          </w:p>
        </w:tc>
      </w:tr>
      <w:tr>
        <w:tc>
          <w:tcPr>
            <w:tcW w:type="dxa" w:w="2160"/>
          </w:tcPr>
          <w:p>
            <w:r>
              <w:t>REV-ITEM-003</w:t>
            </w:r>
          </w:p>
        </w:tc>
        <w:tc>
          <w:tcPr>
            <w:tcW w:type="dxa" w:w="2160"/>
          </w:tcPr>
          <w:p>
            <w:r>
              <w:t>Salinan usang dipindahkan ke arsip lokal.</w:t>
            </w:r>
          </w:p>
        </w:tc>
        <w:tc>
          <w:tcPr>
            <w:tcW w:type="dxa" w:w="2160"/>
          </w:tcPr>
          <w:p>
            <w:r>
              <w:t>Obsolete copies are moved to the local archive.</w:t>
            </w:r>
          </w:p>
        </w:tc>
        <w:tc>
          <w:tcPr>
            <w:tcW w:type="dxa" w:w="2160"/>
          </w:tcPr>
          <w:p>
            <w:r>
              <w:t>作废副本移至本地档案。</w:t>
            </w:r>
          </w:p>
        </w:tc>
      </w:tr>
      <w:tr>
        <w:tc>
          <w:tcPr>
            <w:tcW w:type="dxa" w:w="2160"/>
          </w:tcPr>
          <w:p>
            <w:r>
              <w:t>REV-ITEM-004</w:t>
            </w:r>
          </w:p>
        </w:tc>
        <w:tc>
          <w:tcPr>
            <w:tcW w:type="dxa" w:w="2160"/>
          </w:tcPr>
          <w:p>
            <w:r>
              <w:t>Pemilik mencatat alasan perubahan pada log revisi.</w:t>
            </w:r>
          </w:p>
        </w:tc>
        <w:tc>
          <w:tcPr>
            <w:tcW w:type="dxa" w:w="2160"/>
          </w:tcPr>
          <w:p>
            <w:r>
              <w:t>The owner records the change reason in the revision log.</w:t>
            </w:r>
          </w:p>
        </w:tc>
        <w:tc>
          <w:tcPr>
            <w:tcW w:type="dxa" w:w="2160"/>
          </w:tcPr>
          <w:p>
            <w:r>
              <w:t>负责人在修订日志中记录变更原因。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procedure revision 002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