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Negation consistency review signal</w:t>
      </w:r>
    </w:p>
    <w:p>
      <w:r>
        <w:t>Synthetic content for local translation-similarity and consistency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SIM-008</w:t>
            </w:r>
          </w:p>
        </w:tc>
        <w:tc>
          <w:tcPr>
            <w:tcW w:type="dxa" w:w="2160"/>
          </w:tcPr>
          <w:p>
            <w:r>
              <w:t>Operator tidak boleh menghapus catatan uji yang telah disetujui.</w:t>
            </w:r>
          </w:p>
        </w:tc>
        <w:tc>
          <w:tcPr>
            <w:tcW w:type="dxa" w:w="2160"/>
          </w:tcPr>
          <w:p>
            <w:r>
              <w:t>The operator may delete an approved test record.</w:t>
            </w:r>
          </w:p>
        </w:tc>
        <w:tc>
          <w:tcPr>
            <w:tcW w:type="dxa" w:w="2160"/>
          </w:tcPr>
          <w:p>
            <w:r>
              <w:t>操作员不得删除已批准的测试记录。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Negation consistency review signal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