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 consistency mismatch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SIM-007</w:t>
            </w:r>
          </w:p>
        </w:tc>
        <w:tc>
          <w:tcPr>
            <w:tcW w:type="dxa" w:w="2160"/>
          </w:tcPr>
          <w:p>
            <w:r>
              <w:t>Gunakan instruksi kerja WI-TEST-009 untuk pemeriksaan.</w:t>
            </w:r>
          </w:p>
        </w:tc>
        <w:tc>
          <w:tcPr>
            <w:tcW w:type="dxa" w:w="2160"/>
          </w:tcPr>
          <w:p>
            <w:r>
              <w:t>Use work instruction WI-TEST-010 for the inspection.</w:t>
            </w:r>
          </w:p>
        </w:tc>
        <w:tc>
          <w:tcPr>
            <w:tcW w:type="dxa" w:w="2160"/>
          </w:tcPr>
          <w:p>
            <w:r>
              <w:t>检查时使用作业指导书WI-TEST-009。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consistency mismatch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