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nts/CambriaMath-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jc w:val="center"/>
      </w:pPr>
      <w:r>
        <w:rPr>
          <w:rFonts w:ascii="Times New Roman" w:hAnsi="Times New Roman" w:eastAsia="Times New Roman" w:cs="Times New Roman"/>
          <w:b/>
          <w:sz w:val="36"/>
        </w:rPr>
        <w:t>Explainable Machine Learning with Counterfactual Analysis and GenAI Naturalization for Stress Prediction and Intervention Using Sleep and Lifestyle Data</w:t>
      </w:r>
    </w:p>
    <w:p>
      <w:pPr>
        <w:spacing w:after="0" w:before="0"/>
        <w:jc w:val="center"/>
      </w:pPr>
      <w:r>
        <w:rPr>
          <w:rFonts w:ascii="Times New Roman" w:hAnsi="Times New Roman" w:eastAsia="Times New Roman" w:cs="Times New Roman"/>
          <w:b w:val="0"/>
          <w:i w:val="0"/>
          <w:sz w:val="20"/>
        </w:rPr>
      </w:r>
    </w:p>
    <w:p>
      <w:pPr>
        <w:spacing w:after="0" w:before="0"/>
        <w:jc w:val="center"/>
      </w:pPr>
      <w:r>
        <w:rPr>
          <w:rFonts w:ascii="Times New Roman" w:hAnsi="Times New Roman" w:eastAsia="Times New Roman" w:cs="Times New Roman"/>
          <w:b/>
          <w:i w:val="0"/>
          <w:sz w:val="22"/>
        </w:rPr>
        <w:t>Ananta Dwi Prayoga Alwy 1,*), Dhayu Intan Nareswari 2), Mahathir Muhammad 3), and Obi Kastanya 4)</w:t>
      </w:r>
    </w:p>
    <w:p>
      <w:pPr>
        <w:spacing w:after="0" w:before="0"/>
        <w:jc w:val="center"/>
      </w:pPr>
      <w:r>
        <w:rPr>
          <w:rFonts w:ascii="Times New Roman" w:hAnsi="Times New Roman" w:eastAsia="Times New Roman" w:cs="Times New Roman"/>
          <w:b w:val="0"/>
          <w:i/>
          <w:sz w:val="20"/>
        </w:rPr>
        <w:t>1, 2, 3, 4) Department of Informatics, Faculty of Intelligent Electrical and Informatics Technology</w:t>
      </w:r>
    </w:p>
    <w:p>
      <w:pPr>
        <w:spacing w:after="0" w:before="0"/>
        <w:jc w:val="center"/>
      </w:pPr>
      <w:r>
        <w:rPr>
          <w:rFonts w:ascii="Times New Roman" w:hAnsi="Times New Roman" w:eastAsia="Times New Roman" w:cs="Times New Roman"/>
          <w:b w:val="0"/>
          <w:i/>
          <w:sz w:val="20"/>
        </w:rPr>
        <w:t>Institut Teknologi Sepuluh Nopember, Surabaya, Indonesia</w:t>
      </w:r>
    </w:p>
    <w:p>
      <w:pPr>
        <w:spacing w:after="0" w:before="0"/>
        <w:jc w:val="center"/>
      </w:pPr>
      <w:r>
        <w:rPr>
          <w:rFonts w:ascii="Times New Roman" w:hAnsi="Times New Roman" w:eastAsia="Times New Roman" w:cs="Times New Roman"/>
          <w:b w:val="0"/>
          <w:i w:val="0"/>
          <w:sz w:val="20"/>
        </w:rPr>
        <w:t>E-mail: 6025252008@student.its.ac.id 1), 6025252005@student.its.ac.id 2), 6025252008@student.its.ac.id 3), and 6025252015@student.its.ac.id 4)</w:t>
      </w:r>
    </w:p>
    <w:p>
      <w:pPr>
        <w:spacing w:after="0" w:before="0"/>
        <w:jc w:val="center"/>
      </w:pPr>
      <w:r>
        <w:rPr>
          <w:rFonts w:ascii="Times New Roman" w:hAnsi="Times New Roman" w:eastAsia="Times New Roman" w:cs="Times New Roman"/>
          <w:b w:val="0"/>
          <w:i w:val="0"/>
          <w:sz w:val="20"/>
        </w:rPr>
      </w:r>
    </w:p>
    <w:p>
      <w:pPr>
        <w:spacing w:after="0" w:before="0"/>
        <w:jc w:val="center"/>
      </w:pPr>
      <w:r>
        <w:rPr>
          <w:rFonts w:ascii="Times New Roman" w:hAnsi="Times New Roman" w:eastAsia="Times New Roman" w:cs="Times New Roman"/>
          <w:b w:val="0"/>
          <w:i w:val="0"/>
          <w:sz w:val="20"/>
        </w:rPr>
      </w:r>
    </w:p>
    <w:p>
      <w:pPr>
        <w:spacing w:after="0" w:before="0"/>
        <w:jc w:val="center"/>
      </w:pPr>
      <w:r>
        <w:rPr>
          <w:rFonts w:ascii="Times New Roman" w:hAnsi="Times New Roman" w:eastAsia="Times New Roman" w:cs="Times New Roman"/>
          <w:b/>
          <w:i w:val="0"/>
          <w:sz w:val="20"/>
        </w:rPr>
        <w:t>ABSTRACT</w:t>
      </w:r>
    </w:p>
    <w:p>
      <w:pPr>
        <w:spacing w:after="0" w:before="0"/>
        <w:jc w:val="both"/>
      </w:pPr>
      <w:r>
        <w:rPr>
          <w:rFonts w:ascii="Times New Roman" w:hAnsi="Times New Roman" w:eastAsia="Times New Roman" w:cs="Times New Roman"/>
          <w:b w:val="0"/>
          <w:i w:val="0"/>
          <w:sz w:val="20"/>
        </w:rPr>
        <w:t>Mental stress has become a major concern in modern life, influenced by sleep quality, daily activities, and lifestyle habits. Existing machine learning approaches for stress prediction typically focus on accuracy and remain black-box, offering limited actionable interventions for end users. This paper proposes a four-stage prescriptive framework integrating prediction (CatBoost, Random Forest, TabNet regressors), explanation (SHAP global and local), prescription (DiCE counterfactual analysis with causally-restricted behavior features), and naturalization (GPT-4o-mini language model with structured JSON output and safety filtering). Evaluated on the Sleep Health and Daily Performance dataset (100,000 synthetic samples; 10,000 stratified subset used for iteration), CatBoost achieved R^2 = 0.6503 (MAE = 0.7584), outperforming Random Forest (R^2 = 0.6239) and TabNet (R^2 = 0.6422). SHAP analysis confirmed strong domain validity, with sleep_quality_score showing correlation -0.996 between feature value and SHAP contribution. DiCE generated valid counterfactuals for 62.5% of evaluation instances with mean normalized proximity 0.226 and plausibility 100%. Three case studies across stress quartiles demonstrated successful counterfactual generation with prediction deltas of -0.21 to -0.38. GenAI naturalization produced narrative recommendations validated through structural and faithfulness checks, with all three case-study outputs passing post-generation validation. The integrated framework demonstrates end-to-end actionability with causally-restricted intervention recommendations, suitable for non-expert end users.</w:t>
      </w:r>
    </w:p>
    <w:p>
      <w:pPr>
        <w:spacing w:after="0" w:before="0"/>
        <w:jc w:val="left"/>
      </w:pPr>
      <w:r>
        <w:rPr>
          <w:rFonts w:ascii="Times New Roman" w:hAnsi="Times New Roman" w:eastAsia="Times New Roman" w:cs="Times New Roman"/>
          <w:b w:val="0"/>
          <w:i w:val="0"/>
          <w:sz w:val="20"/>
        </w:rPr>
      </w:r>
    </w:p>
    <w:p>
      <w:pPr>
        <w:spacing w:after="0" w:before="0"/>
        <w:jc w:val="both"/>
      </w:pPr>
      <w:r>
        <w:rPr>
          <w:rFonts w:ascii="Times New Roman" w:hAnsi="Times New Roman" w:eastAsia="Times New Roman" w:cs="Times New Roman"/>
          <w:b/>
          <w:i/>
          <w:sz w:val="20"/>
        </w:rPr>
        <w:t xml:space="preserve">Keywords: </w:t>
      </w:r>
      <w:r>
        <w:rPr>
          <w:rFonts w:ascii="Times New Roman" w:hAnsi="Times New Roman" w:eastAsia="Times New Roman" w:cs="Times New Roman"/>
          <w:b w:val="0"/>
          <w:sz w:val="20"/>
        </w:rPr>
        <w:t>Counterfactual analysis, DiCE, Explainable AI, Generative AI, Prescriptive analytics, SHAP, Sleep health, Stress prediction</w:t>
      </w:r>
    </w:p>
    <w:p>
      <w:pPr>
        <w:spacing w:after="0" w:before="0"/>
        <w:jc w:val="left"/>
      </w:pPr>
      <w:r>
        <w:rPr>
          <w:rFonts w:ascii="Times New Roman" w:hAnsi="Times New Roman" w:eastAsia="Times New Roman" w:cs="Times New Roman"/>
          <w:b w:val="0"/>
          <w:i w:val="0"/>
          <w:sz w:val="20"/>
        </w:rPr>
      </w:r>
    </w:p>
    <w:p>
      <w:pPr>
        <w:pStyle w:val="Heading2"/>
        <w:spacing w:before="240" w:after="60"/>
      </w:pPr>
      <w:r>
        <w:rPr>
          <w:rFonts w:ascii="Times New Roman" w:hAnsi="Times New Roman" w:eastAsia="Times New Roman" w:cs="Times New Roman"/>
          <w:b/>
          <w:sz w:val="24"/>
        </w:rPr>
        <w:t>Introduction</w:t>
      </w:r>
    </w:p>
    <w:p>
      <w:pPr>
        <w:spacing w:after="0" w:before="0"/>
        <w:jc w:val="both"/>
      </w:pPr>
      <w:r>
        <w:rPr>
          <w:rFonts w:ascii="Times New Roman" w:hAnsi="Times New Roman" w:eastAsia="Times New Roman" w:cs="Times New Roman"/>
          <w:b w:val="0"/>
          <w:i w:val="0"/>
          <w:sz w:val="20"/>
        </w:rPr>
        <w:t>Mental stress is one of the most pressing health concerns of the modern era. It is influenced by a complex interplay of factors including work pressure, sleep patterns, physical activity, underlying health conditions, and digital habits such as screen exposure before bedtime. As lifestyle and health-related data become increasingly available, machine learning techniques have emerged as a promising approach for predicting individual stress levels based on observable patterns in such data.</w:t>
      </w:r>
    </w:p>
    <w:p>
      <w:pPr>
        <w:spacing w:after="0" w:before="0"/>
        <w:jc w:val="both"/>
      </w:pPr>
      <w:r>
        <w:rPr>
          <w:rFonts w:ascii="Times New Roman" w:hAnsi="Times New Roman" w:eastAsia="Times New Roman" w:cs="Times New Roman"/>
          <w:b w:val="0"/>
          <w:i w:val="0"/>
          <w:sz w:val="20"/>
        </w:rPr>
        <w:t>However, most existing stress-prediction models focus primarily on accuracy, with limited explanation of the underlying factors driving each prediction. Complex models such as gradient boosting ensembles and deep learning architectures often achieve strong predictive performance yet operate as black boxes. This opacity creates a significant barrier when these predictions are intended to support decision-making or guide intervention recommendations.</w:t>
      </w:r>
    </w:p>
    <w:p>
      <w:pPr>
        <w:spacing w:after="0" w:before="0"/>
        <w:jc w:val="both"/>
      </w:pPr>
      <w:r>
        <w:rPr>
          <w:rFonts w:ascii="Times New Roman" w:hAnsi="Times New Roman" w:eastAsia="Times New Roman" w:cs="Times New Roman"/>
          <w:b w:val="0"/>
          <w:i w:val="0"/>
          <w:sz w:val="20"/>
        </w:rPr>
        <w:t>To address this limitation, this study develops an explainable and actionable machine learning framework for stress prediction. In addition to building regression models for stress_score, the framework leverages SHAP for feature-level explanation and DiCE counterfactual analysis for generating concrete intervention recommendations. To ensure causal validity, the counterfactual search is restricted to manipulable behavior features only, while physiological outcomes remain locked from modification.</w:t>
      </w:r>
    </w:p>
    <w:p>
      <w:pPr>
        <w:spacing w:after="0" w:before="0"/>
        <w:jc w:val="both"/>
      </w:pPr>
      <w:r>
        <w:rPr>
          <w:rFonts w:ascii="Times New Roman" w:hAnsi="Times New Roman" w:eastAsia="Times New Roman" w:cs="Times New Roman"/>
          <w:b w:val="0"/>
          <w:i w:val="0"/>
          <w:sz w:val="20"/>
        </w:rPr>
        <w:t>While SHAP and counterfactual analysis already provide richer information than a single prediction, their outputs remain technical and numeric, making them difficult to interpret for non-expert users. To bridge this gap, we incorporate a Generative AI naturalization layer that converts counterfactual outputs into empathetic, context-aware narrative recommendations in Bahasa Indonesia, with safety filtering and faithfulness validation applied post-generation.</w:t>
      </w:r>
    </w:p>
    <w:p>
      <w:pPr>
        <w:spacing w:after="0" w:before="0"/>
        <w:jc w:val="both"/>
      </w:pPr>
      <w:r>
        <w:rPr>
          <w:rFonts w:ascii="Times New Roman" w:hAnsi="Times New Roman" w:eastAsia="Times New Roman" w:cs="Times New Roman"/>
          <w:b w:val="0"/>
          <w:i w:val="0"/>
          <w:sz w:val="20"/>
        </w:rPr>
        <w:t>The main contributions of this paper are: (1) a four-stage integrated framework combining prediction, explanation, prescription, and naturalization for stress modeling; (2) a causally-restricted counterfactual design that separates behavior, outcome, and immutable features; (3) a GenAI deployment layer with safety filtering and post-generation faithfulness validation; and (4) empirical evaluation demonstrating that the integrated pipeline produces actionable, causally-valid interventions for 62.5% of evaluation instances with 100% plausibility.</w:t>
      </w:r>
    </w:p>
    <w:p>
      <w:pPr>
        <w:pStyle w:val="Heading2"/>
        <w:spacing w:before="240" w:after="60"/>
      </w:pPr>
      <w:r>
        <w:rPr>
          <w:rFonts w:ascii="Times New Roman" w:hAnsi="Times New Roman" w:eastAsia="Times New Roman" w:cs="Times New Roman"/>
          <w:b/>
          <w:sz w:val="24"/>
        </w:rPr>
        <w:t>Related Work</w:t>
      </w:r>
    </w:p>
    <w:p>
      <w:pPr>
        <w:spacing w:after="0" w:before="0"/>
        <w:jc w:val="both"/>
      </w:pPr>
      <w:r>
        <w:rPr>
          <w:rFonts w:ascii="Times New Roman" w:hAnsi="Times New Roman" w:eastAsia="Times New Roman" w:cs="Times New Roman"/>
          <w:b w:val="0"/>
          <w:i w:val="0"/>
          <w:sz w:val="20"/>
        </w:rPr>
        <w:t>Prior work on stress prediction has explored a variety of machine learning models including support vector machines, random forests, and deep neural networks applied to wearable sensor data, self-reported surveys, and combined lifestyle features. Recent studies have begun incorporating interpretability methods such as SHAP and LIME to identify globally important features.</w:t>
      </w:r>
    </w:p>
    <w:p>
      <w:pPr>
        <w:spacing w:after="0" w:before="0"/>
        <w:jc w:val="both"/>
      </w:pPr>
      <w:r>
        <w:rPr>
          <w:rFonts w:ascii="Times New Roman" w:hAnsi="Times New Roman" w:eastAsia="Times New Roman" w:cs="Times New Roman"/>
          <w:b w:val="0"/>
          <w:i w:val="0"/>
          <w:sz w:val="20"/>
        </w:rPr>
        <w:t>Counterfactual explanation methods, popularized by Wachter et al. and operationalized through tools such as DiCE, have been applied primarily in classification settings (e.g., loan approval, recidivism prediction). Their application to regression tasks in health contexts remains less explored, particularly under strict causal constraints separating manipulable from non-manipulable features.</w:t>
      </w:r>
    </w:p>
    <w:p>
      <w:pPr>
        <w:spacing w:after="0" w:before="0"/>
        <w:jc w:val="both"/>
      </w:pPr>
      <w:r>
        <w:rPr>
          <w:rFonts w:ascii="Times New Roman" w:hAnsi="Times New Roman" w:eastAsia="Times New Roman" w:cs="Times New Roman"/>
          <w:b w:val="0"/>
          <w:i w:val="0"/>
          <w:sz w:val="20"/>
        </w:rPr>
        <w:t>Generative AI integration in healthcare communication is a rapidly growing area. Prior work has explored large language models for clinical summary generation, patient education, and decision support. However, the use of GPT as a downstream naturalization layer for counterfactual machine learning outputs, particularly with safety filtering and faithfulness validation, is novel to our knowledge.</w:t>
      </w:r>
    </w:p>
    <w:p>
      <w:pPr>
        <w:spacing w:after="0" w:before="0"/>
        <w:jc w:val="both"/>
      </w:pPr>
      <w:r>
        <w:rPr>
          <w:rFonts w:ascii="Times New Roman" w:hAnsi="Times New Roman" w:eastAsia="Times New Roman" w:cs="Times New Roman"/>
          <w:b w:val="0"/>
          <w:i w:val="0"/>
          <w:sz w:val="20"/>
        </w:rPr>
        <w:t>The gap addressed by this paper is the integration of three layers (explanation, prescription, naturalization) into a single coherent pipeline that produces actionable, narrative recommendations while preserving causal validity.</w:t>
      </w:r>
    </w:p>
    <w:p>
      <w:pPr>
        <w:pStyle w:val="Heading2"/>
        <w:spacing w:before="240" w:after="60"/>
      </w:pPr>
      <w:r>
        <w:rPr>
          <w:rFonts w:ascii="Times New Roman" w:hAnsi="Times New Roman" w:eastAsia="Times New Roman" w:cs="Times New Roman"/>
          <w:b/>
          <w:sz w:val="24"/>
        </w:rPr>
        <w:t>Methodology</w:t>
      </w:r>
    </w:p>
    <w:p>
      <w:pPr>
        <w:pStyle w:val="Heading3"/>
        <w:spacing w:before="120" w:after="60"/>
      </w:pPr>
      <w:r>
        <w:rPr>
          <w:rFonts w:ascii="Times New Roman" w:hAnsi="Times New Roman" w:eastAsia="Times New Roman" w:cs="Times New Roman"/>
          <w:b/>
          <w:sz w:val="22"/>
        </w:rPr>
        <w:t>Dataset</w:t>
      </w:r>
    </w:p>
    <w:p>
      <w:pPr>
        <w:spacing w:after="0" w:before="0"/>
        <w:jc w:val="both"/>
      </w:pPr>
      <w:r>
        <w:rPr>
          <w:rFonts w:ascii="Times New Roman" w:hAnsi="Times New Roman" w:eastAsia="Times New Roman" w:cs="Times New Roman"/>
          <w:b w:val="0"/>
          <w:i w:val="0"/>
          <w:sz w:val="20"/>
        </w:rPr>
        <w:t>We use the Sleep Health and Daily Performance dataset from Kaggle, containing 100,000 synthetic samples with 32 features covering sleep patterns, lifestyle, health conditions, and daily activity. The target variable is stress_score, ranging from 1.0 to 10.0. For development iteration, we use a stratified 10,000-sample subset based on stress_score deciles; the pipeline is designed to scale to the complete dataset.</w:t>
      </w:r>
    </w:p>
    <w:p>
      <w:pPr>
        <w:spacing w:after="0" w:before="0"/>
        <w:jc w:val="both"/>
      </w:pPr>
      <w:r>
        <w:rPr>
          <w:rFonts w:ascii="Times New Roman" w:hAnsi="Times New Roman" w:eastAsia="Times New Roman" w:cs="Times New Roman"/>
          <w:b w:val="0"/>
          <w:i w:val="0"/>
          <w:sz w:val="20"/>
        </w:rPr>
        <w:t>Exploratory analysis confirmed a mean stress_score of approximately 5.73 (standard deviation 1.62) and revealed a strong negative correlation between sleep_quality_score and stress_score (r = -0.639), consistent with prior expectations regarding sleep-stress relationships.</w:t>
      </w:r>
    </w:p>
    <w:p>
      <w:pPr>
        <w:pStyle w:val="Heading3"/>
        <w:spacing w:before="120" w:after="60"/>
      </w:pPr>
      <w:r>
        <w:rPr>
          <w:rFonts w:ascii="Times New Roman" w:hAnsi="Times New Roman" w:eastAsia="Times New Roman" w:cs="Times New Roman"/>
          <w:b/>
          <w:sz w:val="22"/>
        </w:rPr>
        <w:t>Preprocessing</w:t>
      </w:r>
    </w:p>
    <w:p>
      <w:pPr>
        <w:spacing w:after="0" w:before="0"/>
        <w:jc w:val="both"/>
      </w:pPr>
      <w:r>
        <w:rPr>
          <w:rFonts w:ascii="Times New Roman" w:hAnsi="Times New Roman" w:eastAsia="Times New Roman" w:cs="Times New Roman"/>
          <w:b w:val="0"/>
          <w:i w:val="0"/>
          <w:sz w:val="20"/>
        </w:rPr>
        <w:t>Four features were dropped as data leakage: person_id, cognitive_performance_score, sleep_disorder_risk, and felt_rested. Physiological outcome features (sleep_quality_score, rem_percentage, wake_episodes_per_night, sleep_latency_mins, deep_sleep_percentage, heart_rate_resting_bpm) were retained as predictors but later locked from counterfactual modification at the prescription stage.</w:t>
      </w:r>
    </w:p>
    <w:p>
      <w:pPr>
        <w:spacing w:after="0" w:before="0"/>
        <w:jc w:val="both"/>
      </w:pPr>
      <w:r>
        <w:rPr>
          <w:rFonts w:ascii="Times New Roman" w:hAnsi="Times New Roman" w:eastAsia="Times New Roman" w:cs="Times New Roman"/>
          <w:b w:val="0"/>
          <w:i w:val="0"/>
          <w:sz w:val="20"/>
        </w:rPr>
        <w:t>Two data versions were prepared: Version A retains categorical features in their raw form for CatBoost native categorical support; Version B applies ordinal encoding and StandardScaler normalization for Random Forest and TabNet. Data was split 70%/15%/15% (train/validation/test) with stratification by stress_score deciles.</w:t>
      </w:r>
    </w:p>
    <w:p>
      <w:pPr>
        <w:pStyle w:val="Heading3"/>
        <w:spacing w:before="120" w:after="60"/>
      </w:pPr>
      <w:r>
        <w:rPr>
          <w:rFonts w:ascii="Times New Roman" w:hAnsi="Times New Roman" w:eastAsia="Times New Roman" w:cs="Times New Roman"/>
          <w:b/>
          <w:sz w:val="22"/>
        </w:rPr>
        <w:t>Model Training</w:t>
      </w:r>
    </w:p>
    <w:p>
      <w:pPr>
        <w:spacing w:after="0" w:before="0"/>
        <w:jc w:val="both"/>
      </w:pPr>
      <w:r>
        <w:rPr>
          <w:rFonts w:ascii="Times New Roman" w:hAnsi="Times New Roman" w:eastAsia="Times New Roman" w:cs="Times New Roman"/>
          <w:b w:val="0"/>
          <w:i w:val="0"/>
          <w:sz w:val="20"/>
        </w:rPr>
        <w:t>Three regression models were trained. CatBoost was configured with 1000 iterations, depth 6, learning rate 0.05, and early stopping after 50 rounds of no improvement on validation RMSE. Random Forest used 300 estimators with minimum samples per leaf of 5. TabNet was trained for up to 200 epochs with batch size 1024 and patience 20. All models used random_state=42 for reproducibility. The best-performing model was selected based on test R^2 and further validated through 5-Fold cross-validation.</w:t>
      </w:r>
    </w:p>
    <w:p>
      <w:pPr>
        <w:pStyle w:val="Heading3"/>
        <w:spacing w:before="120" w:after="60"/>
      </w:pPr>
      <w:r>
        <w:rPr>
          <w:rFonts w:ascii="Times New Roman" w:hAnsi="Times New Roman" w:eastAsia="Times New Roman" w:cs="Times New Roman"/>
          <w:b/>
          <w:sz w:val="22"/>
        </w:rPr>
        <w:t>SHAP Explainability</w:t>
      </w:r>
    </w:p>
    <w:p>
      <w:pPr>
        <w:spacing w:after="0" w:before="0"/>
        <w:jc w:val="both"/>
      </w:pPr>
      <w:r>
        <w:rPr>
          <w:rFonts w:ascii="Times New Roman" w:hAnsi="Times New Roman" w:eastAsia="Times New Roman" w:cs="Times New Roman"/>
          <w:b w:val="0"/>
          <w:i w:val="0"/>
          <w:sz w:val="20"/>
        </w:rPr>
        <w:t>SHAP TreeExplainer was applied to the CatBoost model on a 2000-sample subset of the test set. Both global (mean absolute SHAP per feature) and local (waterfall plots for individual predictions) explanations were generated. Domain validity was verified by computing the correlation between feature value and SHAP contribution for top-10 numerical features, comparing against expected directional relationships from sleep medicine literature.</w:t>
      </w:r>
    </w:p>
    <w:p>
      <w:pPr>
        <w:pStyle w:val="Heading3"/>
        <w:spacing w:before="120" w:after="60"/>
      </w:pPr>
      <w:r>
        <w:rPr>
          <w:rFonts w:ascii="Times New Roman" w:hAnsi="Times New Roman" w:eastAsia="Times New Roman" w:cs="Times New Roman"/>
          <w:b/>
          <w:sz w:val="22"/>
        </w:rPr>
        <w:t>Counterfactual Analysis</w:t>
      </w:r>
    </w:p>
    <w:p>
      <w:pPr>
        <w:spacing w:after="0" w:before="0"/>
        <w:jc w:val="both"/>
      </w:pPr>
      <w:r>
        <w:rPr>
          <w:rFonts w:ascii="Times New Roman" w:hAnsi="Times New Roman" w:eastAsia="Times New Roman" w:cs="Times New Roman"/>
          <w:b w:val="0"/>
          <w:i w:val="0"/>
          <w:sz w:val="20"/>
        </w:rPr>
        <w:t>DiCE was configured with the genetic algorithm method and model_type='regressor'. Features were categorized into three groups: behavior features (sleep_duration_hrs, screen_time_before_bed_mins, caffeine_mg_before_bed, alcohol_units_before_bed, exercise_day, steps_that_day, nap_duration_mins, room_temperature_celsius, sleep_aid_used), outcome features (six physiological measurements, locked), and immutable features (demographic attributes, locked). Only behavior features were varied during counterfactual generation, ensuring intervention causal validity.</w:t>
      </w:r>
    </w:p>
    <w:p>
      <w:pPr>
        <w:spacing w:after="0" w:before="0"/>
        <w:jc w:val="both"/>
      </w:pPr>
      <w:r>
        <w:rPr>
          <w:rFonts w:ascii="Times New Roman" w:hAnsi="Times New Roman" w:eastAsia="Times New Roman" w:cs="Times New Roman"/>
          <w:b w:val="0"/>
          <w:i w:val="0"/>
          <w:sz w:val="20"/>
        </w:rPr>
        <w:t>Explicit permitted_range constraints were applied to each behavior feature for safety: e.g., sleep_duration_hrs in [4.0, 10.0] hours, caffeine_mg_before_bed in [0, 400] mg, alcohol_units_before_bed locked at [0, 0] to prevent recommending alcohol consumption, and steps_that_day in [1000, 15000].</w:t>
      </w:r>
    </w:p>
    <w:p>
      <w:pPr>
        <w:spacing w:after="0" w:before="0"/>
        <w:jc w:val="both"/>
      </w:pPr>
      <w:r>
        <w:rPr>
          <w:rFonts w:ascii="Times New Roman" w:hAnsi="Times New Roman" w:eastAsia="Times New Roman" w:cs="Times New Roman"/>
          <w:b w:val="0"/>
          <w:i w:val="0"/>
          <w:sz w:val="20"/>
        </w:rPr>
        <w:t>Counterfactual quality was evaluated on 40 test instances stratified by stress quartile (10 per quartile), with 3 counterfactuals generated per instance. Five standard metrics were computed: Validity (fraction reaching desired_range), Proximity (mean normalized L1 distance from query), Sparsity (mean number of features changed), Diversity (mean pairwise distance between counterfactuals), and Plausibility (fraction within permitted_range). For three case-study individuals representing low, mid, and high stress levels, a cascade retry strategy was used: target reductions were attempted at orig-0.30, orig-0.15, and orig-0.05 in sequence to guarantee at least one valid counterfactual per individual.</w:t>
      </w:r>
    </w:p>
    <w:p>
      <w:pPr>
        <w:pStyle w:val="Heading3"/>
        <w:spacing w:before="120" w:after="60"/>
      </w:pPr>
      <w:r>
        <w:rPr>
          <w:rFonts w:ascii="Times New Roman" w:hAnsi="Times New Roman" w:eastAsia="Times New Roman" w:cs="Times New Roman"/>
          <w:b/>
          <w:sz w:val="22"/>
        </w:rPr>
        <w:t>GenAI Naturalization</w:t>
      </w:r>
    </w:p>
    <w:p>
      <w:pPr>
        <w:spacing w:after="0" w:before="0"/>
        <w:jc w:val="both"/>
      </w:pPr>
      <w:r>
        <w:rPr>
          <w:rFonts w:ascii="Times New Roman" w:hAnsi="Times New Roman" w:eastAsia="Times New Roman" w:cs="Times New Roman"/>
          <w:b w:val="0"/>
          <w:i w:val="0"/>
          <w:sz w:val="20"/>
        </w:rPr>
        <w:t>The OpenAI GPT-4o-mini model was used to convert counterfactual results into narrative recommendations. The system prompt defined the role of a sleep and stress counselor with explicit rules prohibiting medical diagnosis, drug recommendation, absolute outcome promises, and alcohol promotion. Faithfulness rules required exact preservation of numeric before/after values from the counterfactual, correct directional verbs, and confinement of recommendations to features present in the perubahan_disarankan input field.</w:t>
      </w:r>
    </w:p>
    <w:p>
      <w:pPr>
        <w:spacing w:after="0" w:before="0"/>
        <w:jc w:val="both"/>
      </w:pPr>
      <w:r>
        <w:rPr>
          <w:rFonts w:ascii="Times New Roman" w:hAnsi="Times New Roman" w:eastAsia="Times New Roman" w:cs="Times New Roman"/>
          <w:b w:val="0"/>
          <w:i w:val="0"/>
          <w:sz w:val="20"/>
        </w:rPr>
        <w:t>API calls used temperature=0.3 and response_format='json_object' to enforce structured output. Each output contained five fields: summary, drivers (three items), recommendations (one to six items with action, target, and rationale), encouragement, and disclaimer. Post-generation validation comprised: (a) a regex-based safety filter checking for prohibited terms; (b) a faithfulness check flagging recommendations that referenced locked outcome features as actions; and (c) structural validation of required JSON keys. Outputs failing any check triggered up to three retry attempts before falling back to a dummy fallback.</w:t>
      </w:r>
    </w:p>
    <w:p>
      <w:pPr>
        <w:pStyle w:val="Heading2"/>
        <w:spacing w:before="240" w:after="60"/>
      </w:pPr>
      <w:r>
        <w:rPr>
          <w:rFonts w:ascii="Times New Roman" w:hAnsi="Times New Roman" w:eastAsia="Times New Roman" w:cs="Times New Roman"/>
          <w:b/>
          <w:sz w:val="24"/>
        </w:rPr>
        <w:t>Results and Discussion</w:t>
      </w:r>
    </w:p>
    <w:p>
      <w:pPr>
        <w:pStyle w:val="Heading3"/>
        <w:spacing w:before="120" w:after="60"/>
      </w:pPr>
      <w:r>
        <w:rPr>
          <w:rFonts w:ascii="Times New Roman" w:hAnsi="Times New Roman" w:eastAsia="Times New Roman" w:cs="Times New Roman"/>
          <w:b/>
          <w:sz w:val="22"/>
        </w:rPr>
        <w:t>Model Performance</w:t>
      </w:r>
    </w:p>
    <w:p>
      <w:pPr>
        <w:spacing w:after="0" w:before="0"/>
        <w:jc w:val="both"/>
      </w:pPr>
      <w:r>
        <w:rPr>
          <w:rFonts w:ascii="Times New Roman" w:hAnsi="Times New Roman" w:eastAsia="Times New Roman" w:cs="Times New Roman"/>
          <w:b w:val="0"/>
          <w:i w:val="0"/>
          <w:sz w:val="20"/>
        </w:rPr>
        <w:t>Table 1 summarizes the test-set performance of the three models. CatBoost achieved the best results across all metrics with R^2 = 0.6503, RMSE = 0.9523, and MAE = 0.7584. TabNet performed competitively at R^2 = 0.6422, narrowly behind CatBoost, while Random Forest came in third with R^2 = 0.6239. The narrow gap between the top two models suggests that both gradient boosting and attention-based deep learning are viable for this tabular regression task. CatBoost was selected for subsequent SHAP and counterfactual analysis due to its slight edge and native categorical feature support which simplifies the explanation pipeline.</w:t>
      </w:r>
    </w:p>
    <w:p>
      <w:pPr>
        <w:spacing w:after="0" w:before="0"/>
        <w:jc w:val="both"/>
      </w:pPr>
      <w:r>
        <w:rPr>
          <w:rFonts w:ascii="Times New Roman" w:hAnsi="Times New Roman" w:eastAsia="Times New Roman" w:cs="Times New Roman"/>
          <w:b w:val="0"/>
          <w:i w:val="0"/>
          <w:sz w:val="20"/>
        </w:rPr>
      </w:r>
    </w:p>
    <w:p>
      <w:pPr>
        <w:spacing w:after="40" w:before="120"/>
        <w:jc w:val="center"/>
      </w:pPr>
      <w:r>
        <w:rPr>
          <w:rFonts w:ascii="Times New Roman" w:hAnsi="Times New Roman" w:eastAsia="Times New Roman" w:cs="Times New Roman"/>
          <w:b/>
          <w:sz w:val="20"/>
        </w:rPr>
        <w:t>Table 1. Test-set performance of three regression models.</w:t>
      </w:r>
    </w:p>
    <w:tbl>
      <w:tblPr>
        <w:tblStyle w:val="TableGrid"/>
        <w:tblW w:type="auto" w:w="0"/>
        <w:jc w:val="center"/>
        <w:tblLook w:firstColumn="1" w:firstRow="1" w:lastColumn="0" w:lastRow="0" w:noHBand="0" w:noVBand="1" w:val="04A0"/>
      </w:tblPr>
      <w:tblGrid>
        <w:gridCol w:w="2509"/>
        <w:gridCol w:w="2509"/>
        <w:gridCol w:w="2509"/>
        <w:gridCol w:w="2509"/>
      </w:tblGrid>
      <w:tr>
        <w:tc>
          <w:tcPr>
            <w:tcW w:type="dxa" w:w="2509"/>
          </w:tcPr>
          <w:p>
            <w:pPr>
              <w:jc w:val="center"/>
            </w:pPr>
            <w:r/>
            <w:r>
              <w:rPr>
                <w:rFonts w:ascii="Times New Roman" w:hAnsi="Times New Roman" w:eastAsia="Times New Roman" w:cs="Times New Roman"/>
                <w:b/>
                <w:sz w:val="20"/>
              </w:rPr>
              <w:t>Model</w:t>
            </w:r>
          </w:p>
        </w:tc>
        <w:tc>
          <w:tcPr>
            <w:tcW w:type="dxa" w:w="2509"/>
          </w:tcPr>
          <w:p>
            <w:pPr>
              <w:jc w:val="center"/>
            </w:pPr>
            <w:r/>
            <w:r>
              <w:rPr>
                <w:rFonts w:ascii="Times New Roman" w:hAnsi="Times New Roman" w:eastAsia="Times New Roman" w:cs="Times New Roman"/>
                <w:b/>
                <w:sz w:val="20"/>
              </w:rPr>
              <w:t>R²</w:t>
            </w:r>
          </w:p>
        </w:tc>
        <w:tc>
          <w:tcPr>
            <w:tcW w:type="dxa" w:w="2509"/>
          </w:tcPr>
          <w:p>
            <w:pPr>
              <w:jc w:val="center"/>
            </w:pPr>
            <w:r/>
            <w:r>
              <w:rPr>
                <w:rFonts w:ascii="Times New Roman" w:hAnsi="Times New Roman" w:eastAsia="Times New Roman" w:cs="Times New Roman"/>
                <w:b/>
                <w:sz w:val="20"/>
              </w:rPr>
              <w:t>RMSE</w:t>
            </w:r>
          </w:p>
        </w:tc>
        <w:tc>
          <w:tcPr>
            <w:tcW w:type="dxa" w:w="2509"/>
          </w:tcPr>
          <w:p>
            <w:pPr>
              <w:jc w:val="center"/>
            </w:pPr>
            <w:r/>
            <w:r>
              <w:rPr>
                <w:rFonts w:ascii="Times New Roman" w:hAnsi="Times New Roman" w:eastAsia="Times New Roman" w:cs="Times New Roman"/>
                <w:b/>
                <w:sz w:val="20"/>
              </w:rPr>
              <w:t>MAE</w:t>
            </w:r>
          </w:p>
        </w:tc>
      </w:tr>
      <w:tr>
        <w:tc>
          <w:tcPr>
            <w:tcW w:type="dxa" w:w="2509"/>
          </w:tcPr>
          <w:p>
            <w:pPr>
              <w:jc w:val="center"/>
            </w:pPr>
            <w:r/>
            <w:r>
              <w:rPr>
                <w:rFonts w:ascii="Times New Roman" w:hAnsi="Times New Roman" w:eastAsia="Times New Roman" w:cs="Times New Roman"/>
                <w:sz w:val="20"/>
              </w:rPr>
              <w:t>CatBoost</w:t>
            </w:r>
          </w:p>
        </w:tc>
        <w:tc>
          <w:tcPr>
            <w:tcW w:type="dxa" w:w="2509"/>
          </w:tcPr>
          <w:p>
            <w:pPr>
              <w:jc w:val="center"/>
            </w:pPr>
            <w:r/>
            <w:r>
              <w:rPr>
                <w:rFonts w:ascii="Times New Roman" w:hAnsi="Times New Roman" w:eastAsia="Times New Roman" w:cs="Times New Roman"/>
                <w:sz w:val="20"/>
              </w:rPr>
              <w:t>0.6503</w:t>
            </w:r>
          </w:p>
        </w:tc>
        <w:tc>
          <w:tcPr>
            <w:tcW w:type="dxa" w:w="2509"/>
          </w:tcPr>
          <w:p>
            <w:pPr>
              <w:jc w:val="center"/>
            </w:pPr>
            <w:r/>
            <w:r>
              <w:rPr>
                <w:rFonts w:ascii="Times New Roman" w:hAnsi="Times New Roman" w:eastAsia="Times New Roman" w:cs="Times New Roman"/>
                <w:sz w:val="20"/>
              </w:rPr>
              <w:t>0.9523</w:t>
            </w:r>
          </w:p>
        </w:tc>
        <w:tc>
          <w:tcPr>
            <w:tcW w:type="dxa" w:w="2509"/>
          </w:tcPr>
          <w:p>
            <w:pPr>
              <w:jc w:val="center"/>
            </w:pPr>
            <w:r/>
            <w:r>
              <w:rPr>
                <w:rFonts w:ascii="Times New Roman" w:hAnsi="Times New Roman" w:eastAsia="Times New Roman" w:cs="Times New Roman"/>
                <w:sz w:val="20"/>
              </w:rPr>
              <w:t>0.7584</w:t>
            </w:r>
          </w:p>
        </w:tc>
      </w:tr>
      <w:tr>
        <w:tc>
          <w:tcPr>
            <w:tcW w:type="dxa" w:w="2509"/>
          </w:tcPr>
          <w:p>
            <w:pPr>
              <w:jc w:val="center"/>
            </w:pPr>
            <w:r/>
            <w:r>
              <w:rPr>
                <w:rFonts w:ascii="Times New Roman" w:hAnsi="Times New Roman" w:eastAsia="Times New Roman" w:cs="Times New Roman"/>
                <w:sz w:val="20"/>
              </w:rPr>
              <w:t>TabNet</w:t>
            </w:r>
          </w:p>
        </w:tc>
        <w:tc>
          <w:tcPr>
            <w:tcW w:type="dxa" w:w="2509"/>
          </w:tcPr>
          <w:p>
            <w:pPr>
              <w:jc w:val="center"/>
            </w:pPr>
            <w:r/>
            <w:r>
              <w:rPr>
                <w:rFonts w:ascii="Times New Roman" w:hAnsi="Times New Roman" w:eastAsia="Times New Roman" w:cs="Times New Roman"/>
                <w:sz w:val="20"/>
              </w:rPr>
              <w:t>0.6422</w:t>
            </w:r>
          </w:p>
        </w:tc>
        <w:tc>
          <w:tcPr>
            <w:tcW w:type="dxa" w:w="2509"/>
          </w:tcPr>
          <w:p>
            <w:pPr>
              <w:jc w:val="center"/>
            </w:pPr>
            <w:r/>
            <w:r>
              <w:rPr>
                <w:rFonts w:ascii="Times New Roman" w:hAnsi="Times New Roman" w:eastAsia="Times New Roman" w:cs="Times New Roman"/>
                <w:sz w:val="20"/>
              </w:rPr>
              <w:t>0.9633</w:t>
            </w:r>
          </w:p>
        </w:tc>
        <w:tc>
          <w:tcPr>
            <w:tcW w:type="dxa" w:w="2509"/>
          </w:tcPr>
          <w:p>
            <w:pPr>
              <w:jc w:val="center"/>
            </w:pPr>
            <w:r/>
            <w:r>
              <w:rPr>
                <w:rFonts w:ascii="Times New Roman" w:hAnsi="Times New Roman" w:eastAsia="Times New Roman" w:cs="Times New Roman"/>
                <w:sz w:val="20"/>
              </w:rPr>
              <w:t>0.7668</w:t>
            </w:r>
          </w:p>
        </w:tc>
      </w:tr>
      <w:tr>
        <w:tc>
          <w:tcPr>
            <w:tcW w:type="dxa" w:w="2509"/>
          </w:tcPr>
          <w:p>
            <w:pPr>
              <w:jc w:val="center"/>
            </w:pPr>
            <w:r/>
            <w:r>
              <w:rPr>
                <w:rFonts w:ascii="Times New Roman" w:hAnsi="Times New Roman" w:eastAsia="Times New Roman" w:cs="Times New Roman"/>
                <w:sz w:val="20"/>
              </w:rPr>
              <w:t>Random Forest</w:t>
            </w:r>
          </w:p>
        </w:tc>
        <w:tc>
          <w:tcPr>
            <w:tcW w:type="dxa" w:w="2509"/>
          </w:tcPr>
          <w:p>
            <w:pPr>
              <w:jc w:val="center"/>
            </w:pPr>
            <w:r/>
            <w:r>
              <w:rPr>
                <w:rFonts w:ascii="Times New Roman" w:hAnsi="Times New Roman" w:eastAsia="Times New Roman" w:cs="Times New Roman"/>
                <w:sz w:val="20"/>
              </w:rPr>
              <w:t>0.6239</w:t>
            </w:r>
          </w:p>
        </w:tc>
        <w:tc>
          <w:tcPr>
            <w:tcW w:type="dxa" w:w="2509"/>
          </w:tcPr>
          <w:p>
            <w:pPr>
              <w:jc w:val="center"/>
            </w:pPr>
            <w:r/>
            <w:r>
              <w:rPr>
                <w:rFonts w:ascii="Times New Roman" w:hAnsi="Times New Roman" w:eastAsia="Times New Roman" w:cs="Times New Roman"/>
                <w:sz w:val="20"/>
              </w:rPr>
              <w:t>0.9876</w:t>
            </w:r>
          </w:p>
        </w:tc>
        <w:tc>
          <w:tcPr>
            <w:tcW w:type="dxa" w:w="2509"/>
          </w:tcPr>
          <w:p>
            <w:pPr>
              <w:jc w:val="center"/>
            </w:pPr>
            <w:r/>
            <w:r>
              <w:rPr>
                <w:rFonts w:ascii="Times New Roman" w:hAnsi="Times New Roman" w:eastAsia="Times New Roman" w:cs="Times New Roman"/>
                <w:sz w:val="20"/>
              </w:rPr>
              <w:t>0.7856</w:t>
            </w:r>
          </w:p>
        </w:tc>
      </w:tr>
    </w:tbl>
    <w:p>
      <w:pPr>
        <w:spacing w:before="120" w:after="40"/>
        <w:jc w:val="center"/>
      </w:pPr>
      <w:r>
        <w:drawing>
          <wp:inline>
            <wp:extent cx="4320000" cy="1152000"/>
            <wp:docPr id="1" name="Picture 1"/>
            <wp:cNvGraphicFramePr>
              <a:graphicFrameLocks noChangeAspect="1"/>
            </wp:cNvGraphicFramePr>
            <a:graphic>
              <a:graphicData uri="http://schemas.openxmlformats.org/drawingml/2006/picture">
                <pic:pic>
                  <pic:nvPicPr>
                    <pic:cNvPr id="0" name="model_comparison.png"/>
                    <pic:cNvPicPr/>
                  </pic:nvPicPr>
                  <pic:blipFill>
                    <a:blip r:embed="rId26"/>
                    <a:stretch>
                      <a:fillRect/>
                    </a:stretch>
                  </pic:blipFill>
                  <pic:spPr>
                    <a:xfrm>
                      <a:off x="0" y="0"/>
                      <a:ext cx="4320000" cy="1152000"/>
                    </a:xfrm>
                    <a:prstGeom prst="rect"/>
                  </pic:spPr>
                </pic:pic>
              </a:graphicData>
            </a:graphic>
          </wp:inline>
        </w:drawing>
      </w:r>
    </w:p>
    <w:p>
      <w:pPr>
        <w:spacing w:after="120"/>
        <w:jc w:val="center"/>
      </w:pPr>
      <w:r>
        <w:rPr>
          <w:rFonts w:ascii="Times New Roman" w:hAnsi="Times New Roman" w:eastAsia="Times New Roman" w:cs="Times New Roman"/>
          <w:sz w:val="20"/>
        </w:rPr>
        <w:t>Fig. 1. Comparative performance of CatBoost, Random Forest, and TabNet on test set.</w:t>
      </w:r>
    </w:p>
    <w:p>
      <w:pPr>
        <w:pStyle w:val="Heading3"/>
        <w:spacing w:before="120" w:after="60"/>
      </w:pPr>
      <w:r>
        <w:rPr>
          <w:rFonts w:ascii="Times New Roman" w:hAnsi="Times New Roman" w:eastAsia="Times New Roman" w:cs="Times New Roman"/>
          <w:b/>
          <w:sz w:val="22"/>
        </w:rPr>
        <w:t>SHAP Analysis</w:t>
      </w:r>
    </w:p>
    <w:p>
      <w:pPr>
        <w:spacing w:after="0" w:before="0"/>
        <w:jc w:val="both"/>
      </w:pPr>
      <w:r>
        <w:rPr>
          <w:rFonts w:ascii="Times New Roman" w:hAnsi="Times New Roman" w:eastAsia="Times New Roman" w:cs="Times New Roman"/>
          <w:b w:val="0"/>
          <w:i w:val="0"/>
          <w:sz w:val="20"/>
        </w:rPr>
        <w:t>Fig. 1 shows the top features ranked by mean absolute SHAP value. sleep_quality_score (0.660) and occupation (0.569) dominate the feature importance, with sleep_duration_hrs (0.133), room_temperature_celsius (0.084), and wake_episodes_per_night (0.077) forming a secondary tier. All remaining features contribute below 0.06 each.</w:t>
      </w:r>
    </w:p>
    <w:p>
      <w:pPr>
        <w:spacing w:after="0" w:before="0"/>
        <w:jc w:val="both"/>
      </w:pPr>
      <w:r>
        <w:rPr>
          <w:rFonts w:ascii="Times New Roman" w:hAnsi="Times New Roman" w:eastAsia="Times New Roman" w:cs="Times New Roman"/>
          <w:b w:val="0"/>
          <w:i w:val="0"/>
          <w:sz w:val="20"/>
        </w:rPr>
        <w:t>Domain validity sign-check confirmed expected directional relationships. Notably, sleep_quality_score showed correlation of -0.996 between feature value and SHAP contribution, indicating that higher sleep quality consistently reduces predicted stress. Similar strong negative correlations were observed for wake_episodes_per_night (-0.981), alcohol_units_before_bed (-0.977), and deep_sleep_percentage (-0.963). heart_rate_resting_bpm showed a positive correlation of +0.974, consistent with elevated resting heart rate as a stress indicator. These directional patterns align with sleep medicine literature and reinforce the trustworthiness of the model's learned representations.</w:t>
      </w:r>
    </w:p>
    <w:p>
      <w:pPr>
        <w:spacing w:before="120" w:after="40"/>
        <w:jc w:val="center"/>
      </w:pPr>
      <w:r>
        <w:drawing>
          <wp:inline>
            <wp:extent cx="4320000" cy="4051711"/>
            <wp:docPr id="2" name="Picture 2"/>
            <wp:cNvGraphicFramePr>
              <a:graphicFrameLocks noChangeAspect="1"/>
            </wp:cNvGraphicFramePr>
            <a:graphic>
              <a:graphicData uri="http://schemas.openxmlformats.org/drawingml/2006/picture">
                <pic:pic>
                  <pic:nvPicPr>
                    <pic:cNvPr id="0" name="shap_global_bar.png"/>
                    <pic:cNvPicPr/>
                  </pic:nvPicPr>
                  <pic:blipFill>
                    <a:blip r:embed="rId27"/>
                    <a:stretch>
                      <a:fillRect/>
                    </a:stretch>
                  </pic:blipFill>
                  <pic:spPr>
                    <a:xfrm>
                      <a:off x="0" y="0"/>
                      <a:ext cx="4320000" cy="4051711"/>
                    </a:xfrm>
                    <a:prstGeom prst="rect"/>
                  </pic:spPr>
                </pic:pic>
              </a:graphicData>
            </a:graphic>
          </wp:inline>
        </w:drawing>
      </w:r>
    </w:p>
    <w:p>
      <w:pPr>
        <w:spacing w:after="120"/>
        <w:jc w:val="center"/>
      </w:pPr>
      <w:r>
        <w:rPr>
          <w:rFonts w:ascii="Times New Roman" w:hAnsi="Times New Roman" w:eastAsia="Times New Roman" w:cs="Times New Roman"/>
          <w:sz w:val="20"/>
        </w:rPr>
        <w:t>Fig. 2. SHAP global feature importance (top-15) for CatBoost on stress_score regression.</w:t>
      </w:r>
    </w:p>
    <w:p>
      <w:pPr>
        <w:pStyle w:val="Heading3"/>
        <w:spacing w:before="120" w:after="60"/>
      </w:pPr>
      <w:r>
        <w:rPr>
          <w:rFonts w:ascii="Times New Roman" w:hAnsi="Times New Roman" w:eastAsia="Times New Roman" w:cs="Times New Roman"/>
          <w:b/>
          <w:sz w:val="22"/>
        </w:rPr>
        <w:t>Counterfactual Quality</w:t>
      </w:r>
    </w:p>
    <w:p>
      <w:pPr>
        <w:spacing w:after="0" w:before="0"/>
        <w:jc w:val="both"/>
      </w:pPr>
      <w:r>
        <w:rPr>
          <w:rFonts w:ascii="Times New Roman" w:hAnsi="Times New Roman" w:eastAsia="Times New Roman" w:cs="Times New Roman"/>
          <w:b w:val="0"/>
          <w:i w:val="0"/>
          <w:sz w:val="20"/>
        </w:rPr>
        <w:t>Table 2 reports counterfactual evaluation metrics. Out of 40 evaluation instances, 25 (62.5%) produced valid counterfactuals. When valid counterfactuals were found, mean Validity was 100% (by construction), mean normalized Proximity was 0.226, mean Sparsity was 4.65 features changed, mean Diversity was 0.120, and Plausibility was 100% (all counterfactuals within permitted_range). Success rates were balanced across stress quartiles (7, 6, 6, 6 out of 10 per quartile), indicating that the framework is not biased toward any particular stress level.</w:t>
      </w:r>
    </w:p>
    <w:p>
      <w:pPr>
        <w:spacing w:after="0" w:before="0"/>
        <w:jc w:val="both"/>
      </w:pPr>
      <w:r>
        <w:rPr>
          <w:rFonts w:ascii="Times New Roman" w:hAnsi="Times New Roman" w:eastAsia="Times New Roman" w:cs="Times New Roman"/>
          <w:b w:val="0"/>
          <w:i w:val="0"/>
          <w:sz w:val="20"/>
        </w:rPr>
        <w:t>The 62.5% success rate is a substantial improvement over earlier configurations and demonstrates that the genetic algorithm combined with calibrated target relaxation (orig-0.30) can reliably produce behavior-only counterfactuals on this dataset. Plausibility of 100% confirms that all generated counterfactuals respect the explicit safety constraints (e.g., alcohol locked at 0, sleep duration within [4, 10] hours).</w:t>
      </w:r>
    </w:p>
    <w:p>
      <w:pPr>
        <w:spacing w:after="0" w:before="0"/>
        <w:jc w:val="both"/>
      </w:pPr>
      <w:r>
        <w:rPr>
          <w:rFonts w:ascii="Times New Roman" w:hAnsi="Times New Roman" w:eastAsia="Times New Roman" w:cs="Times New Roman"/>
          <w:b w:val="0"/>
          <w:i w:val="0"/>
          <w:sz w:val="20"/>
        </w:rPr>
      </w:r>
    </w:p>
    <w:p>
      <w:pPr>
        <w:spacing w:after="40" w:before="120"/>
        <w:jc w:val="center"/>
      </w:pPr>
      <w:r>
        <w:rPr>
          <w:rFonts w:ascii="Times New Roman" w:hAnsi="Times New Roman" w:eastAsia="Times New Roman" w:cs="Times New Roman"/>
          <w:b/>
          <w:sz w:val="20"/>
        </w:rPr>
        <w:t>Table 2. DiCE counterfactual evaluation metrics on 40 instances.</w:t>
      </w:r>
    </w:p>
    <w:tbl>
      <w:tblPr>
        <w:tblStyle w:val="TableGrid"/>
        <w:tblW w:type="auto" w:w="0"/>
        <w:jc w:val="center"/>
        <w:tblLook w:firstColumn="1" w:firstRow="1" w:lastColumn="0" w:lastRow="0" w:noHBand="0" w:noVBand="1" w:val="04A0"/>
      </w:tblPr>
      <w:tblGrid>
        <w:gridCol w:w="3345"/>
        <w:gridCol w:w="3345"/>
        <w:gridCol w:w="3345"/>
      </w:tblGrid>
      <w:tr>
        <w:tc>
          <w:tcPr>
            <w:tcW w:type="dxa" w:w="3345"/>
          </w:tcPr>
          <w:p>
            <w:pPr>
              <w:jc w:val="center"/>
            </w:pPr>
            <w:r/>
            <w:r>
              <w:rPr>
                <w:rFonts w:ascii="Times New Roman" w:hAnsi="Times New Roman" w:eastAsia="Times New Roman" w:cs="Times New Roman"/>
                <w:b/>
                <w:sz w:val="20"/>
              </w:rPr>
              <w:t>Metric</w:t>
            </w:r>
          </w:p>
        </w:tc>
        <w:tc>
          <w:tcPr>
            <w:tcW w:type="dxa" w:w="3345"/>
          </w:tcPr>
          <w:p>
            <w:pPr>
              <w:jc w:val="center"/>
            </w:pPr>
            <w:r/>
            <w:r>
              <w:rPr>
                <w:rFonts w:ascii="Times New Roman" w:hAnsi="Times New Roman" w:eastAsia="Times New Roman" w:cs="Times New Roman"/>
                <w:b/>
                <w:sz w:val="20"/>
              </w:rPr>
              <w:t>Mean</w:t>
            </w:r>
          </w:p>
        </w:tc>
        <w:tc>
          <w:tcPr>
            <w:tcW w:type="dxa" w:w="3345"/>
          </w:tcPr>
          <w:p>
            <w:pPr>
              <w:jc w:val="center"/>
            </w:pPr>
            <w:r/>
            <w:r>
              <w:rPr>
                <w:rFonts w:ascii="Times New Roman" w:hAnsi="Times New Roman" w:eastAsia="Times New Roman" w:cs="Times New Roman"/>
                <w:b/>
                <w:sz w:val="20"/>
              </w:rPr>
              <w:t>Plan target</w:t>
            </w:r>
          </w:p>
        </w:tc>
      </w:tr>
      <w:tr>
        <w:tc>
          <w:tcPr>
            <w:tcW w:type="dxa" w:w="3345"/>
          </w:tcPr>
          <w:p>
            <w:pPr>
              <w:jc w:val="center"/>
            </w:pPr>
            <w:r/>
            <w:r>
              <w:rPr>
                <w:rFonts w:ascii="Times New Roman" w:hAnsi="Times New Roman" w:eastAsia="Times New Roman" w:cs="Times New Roman"/>
                <w:sz w:val="20"/>
              </w:rPr>
              <w:t>Validity (when CF found)</w:t>
            </w:r>
          </w:p>
        </w:tc>
        <w:tc>
          <w:tcPr>
            <w:tcW w:type="dxa" w:w="3345"/>
          </w:tcPr>
          <w:p>
            <w:pPr>
              <w:jc w:val="center"/>
            </w:pPr>
            <w:r/>
            <w:r>
              <w:rPr>
                <w:rFonts w:ascii="Times New Roman" w:hAnsi="Times New Roman" w:eastAsia="Times New Roman" w:cs="Times New Roman"/>
                <w:sz w:val="20"/>
              </w:rPr>
              <w:t>1.000</w:t>
            </w:r>
          </w:p>
        </w:tc>
        <w:tc>
          <w:tcPr>
            <w:tcW w:type="dxa" w:w="3345"/>
          </w:tcPr>
          <w:p>
            <w:pPr>
              <w:jc w:val="center"/>
            </w:pPr>
            <w:r/>
            <w:r>
              <w:rPr>
                <w:rFonts w:ascii="Times New Roman" w:hAnsi="Times New Roman" w:eastAsia="Times New Roman" w:cs="Times New Roman"/>
                <w:sz w:val="20"/>
              </w:rPr>
              <w:t>≥ 0.80</w:t>
            </w:r>
          </w:p>
        </w:tc>
      </w:tr>
      <w:tr>
        <w:tc>
          <w:tcPr>
            <w:tcW w:type="dxa" w:w="3345"/>
          </w:tcPr>
          <w:p>
            <w:pPr>
              <w:jc w:val="center"/>
            </w:pPr>
            <w:r/>
            <w:r>
              <w:rPr>
                <w:rFonts w:ascii="Times New Roman" w:hAnsi="Times New Roman" w:eastAsia="Times New Roman" w:cs="Times New Roman"/>
                <w:sz w:val="20"/>
              </w:rPr>
              <w:t>Proximity (normalized L1)</w:t>
            </w:r>
          </w:p>
        </w:tc>
        <w:tc>
          <w:tcPr>
            <w:tcW w:type="dxa" w:w="3345"/>
          </w:tcPr>
          <w:p>
            <w:pPr>
              <w:jc w:val="center"/>
            </w:pPr>
            <w:r/>
            <w:r>
              <w:rPr>
                <w:rFonts w:ascii="Times New Roman" w:hAnsi="Times New Roman" w:eastAsia="Times New Roman" w:cs="Times New Roman"/>
                <w:sz w:val="20"/>
              </w:rPr>
              <w:t>0.226</w:t>
            </w:r>
          </w:p>
        </w:tc>
        <w:tc>
          <w:tcPr>
            <w:tcW w:type="dxa" w:w="3345"/>
          </w:tcPr>
          <w:p>
            <w:pPr>
              <w:jc w:val="center"/>
            </w:pPr>
            <w:r/>
            <w:r>
              <w:rPr>
                <w:rFonts w:ascii="Times New Roman" w:hAnsi="Times New Roman" w:eastAsia="Times New Roman" w:cs="Times New Roman"/>
                <w:sz w:val="20"/>
              </w:rPr>
              <w:t>low</w:t>
            </w:r>
          </w:p>
        </w:tc>
      </w:tr>
      <w:tr>
        <w:tc>
          <w:tcPr>
            <w:tcW w:type="dxa" w:w="3345"/>
          </w:tcPr>
          <w:p>
            <w:pPr>
              <w:jc w:val="center"/>
            </w:pPr>
            <w:r/>
            <w:r>
              <w:rPr>
                <w:rFonts w:ascii="Times New Roman" w:hAnsi="Times New Roman" w:eastAsia="Times New Roman" w:cs="Times New Roman"/>
                <w:sz w:val="20"/>
              </w:rPr>
              <w:t>Sparsity (features changed)</w:t>
            </w:r>
          </w:p>
        </w:tc>
        <w:tc>
          <w:tcPr>
            <w:tcW w:type="dxa" w:w="3345"/>
          </w:tcPr>
          <w:p>
            <w:pPr>
              <w:jc w:val="center"/>
            </w:pPr>
            <w:r/>
            <w:r>
              <w:rPr>
                <w:rFonts w:ascii="Times New Roman" w:hAnsi="Times New Roman" w:eastAsia="Times New Roman" w:cs="Times New Roman"/>
                <w:sz w:val="20"/>
              </w:rPr>
              <w:t>4.65</w:t>
            </w:r>
          </w:p>
        </w:tc>
        <w:tc>
          <w:tcPr>
            <w:tcW w:type="dxa" w:w="3345"/>
          </w:tcPr>
          <w:p>
            <w:pPr>
              <w:jc w:val="center"/>
            </w:pPr>
            <w:r/>
            <w:r>
              <w:rPr>
                <w:rFonts w:ascii="Times New Roman" w:hAnsi="Times New Roman" w:eastAsia="Times New Roman" w:cs="Times New Roman"/>
                <w:sz w:val="20"/>
              </w:rPr>
              <w:t>2–4</w:t>
            </w:r>
          </w:p>
        </w:tc>
      </w:tr>
      <w:tr>
        <w:tc>
          <w:tcPr>
            <w:tcW w:type="dxa" w:w="3345"/>
          </w:tcPr>
          <w:p>
            <w:pPr>
              <w:jc w:val="center"/>
            </w:pPr>
            <w:r/>
            <w:r>
              <w:rPr>
                <w:rFonts w:ascii="Times New Roman" w:hAnsi="Times New Roman" w:eastAsia="Times New Roman" w:cs="Times New Roman"/>
                <w:sz w:val="20"/>
              </w:rPr>
              <w:t>Diversity</w:t>
            </w:r>
          </w:p>
        </w:tc>
        <w:tc>
          <w:tcPr>
            <w:tcW w:type="dxa" w:w="3345"/>
          </w:tcPr>
          <w:p>
            <w:pPr>
              <w:jc w:val="center"/>
            </w:pPr>
            <w:r/>
            <w:r>
              <w:rPr>
                <w:rFonts w:ascii="Times New Roman" w:hAnsi="Times New Roman" w:eastAsia="Times New Roman" w:cs="Times New Roman"/>
                <w:sz w:val="20"/>
              </w:rPr>
              <w:t>0.120</w:t>
            </w:r>
          </w:p>
        </w:tc>
        <w:tc>
          <w:tcPr>
            <w:tcW w:type="dxa" w:w="3345"/>
          </w:tcPr>
          <w:p>
            <w:pPr>
              <w:jc w:val="center"/>
            </w:pPr>
            <w:r/>
            <w:r>
              <w:rPr>
                <w:rFonts w:ascii="Times New Roman" w:hAnsi="Times New Roman" w:eastAsia="Times New Roman" w:cs="Times New Roman"/>
                <w:sz w:val="20"/>
              </w:rPr>
              <w:t>moderate</w:t>
            </w:r>
          </w:p>
        </w:tc>
      </w:tr>
      <w:tr>
        <w:tc>
          <w:tcPr>
            <w:tcW w:type="dxa" w:w="3345"/>
          </w:tcPr>
          <w:p>
            <w:pPr>
              <w:jc w:val="center"/>
            </w:pPr>
            <w:r/>
            <w:r>
              <w:rPr>
                <w:rFonts w:ascii="Times New Roman" w:hAnsi="Times New Roman" w:eastAsia="Times New Roman" w:cs="Times New Roman"/>
                <w:sz w:val="20"/>
              </w:rPr>
              <w:t>Plausibility</w:t>
            </w:r>
          </w:p>
        </w:tc>
        <w:tc>
          <w:tcPr>
            <w:tcW w:type="dxa" w:w="3345"/>
          </w:tcPr>
          <w:p>
            <w:pPr>
              <w:jc w:val="center"/>
            </w:pPr>
            <w:r/>
            <w:r>
              <w:rPr>
                <w:rFonts w:ascii="Times New Roman" w:hAnsi="Times New Roman" w:eastAsia="Times New Roman" w:cs="Times New Roman"/>
                <w:sz w:val="20"/>
              </w:rPr>
              <w:t>1.000</w:t>
            </w:r>
          </w:p>
        </w:tc>
        <w:tc>
          <w:tcPr>
            <w:tcW w:type="dxa" w:w="3345"/>
          </w:tcPr>
          <w:p>
            <w:pPr>
              <w:jc w:val="center"/>
            </w:pPr>
            <w:r/>
            <w:r>
              <w:rPr>
                <w:rFonts w:ascii="Times New Roman" w:hAnsi="Times New Roman" w:eastAsia="Times New Roman" w:cs="Times New Roman"/>
                <w:sz w:val="20"/>
              </w:rPr>
              <w:t>1.00</w:t>
            </w:r>
          </w:p>
        </w:tc>
      </w:tr>
      <w:tr>
        <w:tc>
          <w:tcPr>
            <w:tcW w:type="dxa" w:w="3345"/>
          </w:tcPr>
          <w:p>
            <w:pPr>
              <w:jc w:val="center"/>
            </w:pPr>
            <w:r/>
            <w:r>
              <w:rPr>
                <w:rFonts w:ascii="Times New Roman" w:hAnsi="Times New Roman" w:eastAsia="Times New Roman" w:cs="Times New Roman"/>
                <w:sz w:val="20"/>
              </w:rPr>
              <w:t>Overall success rate</w:t>
            </w:r>
          </w:p>
        </w:tc>
        <w:tc>
          <w:tcPr>
            <w:tcW w:type="dxa" w:w="3345"/>
          </w:tcPr>
          <w:p>
            <w:pPr>
              <w:jc w:val="center"/>
            </w:pPr>
            <w:r/>
            <w:r>
              <w:rPr>
                <w:rFonts w:ascii="Times New Roman" w:hAnsi="Times New Roman" w:eastAsia="Times New Roman" w:cs="Times New Roman"/>
                <w:sz w:val="20"/>
              </w:rPr>
              <w:t>62.5% (25/40)</w:t>
            </w:r>
          </w:p>
        </w:tc>
        <w:tc>
          <w:tcPr>
            <w:tcW w:type="dxa" w:w="3345"/>
          </w:tcPr>
          <w:p>
            <w:pPr>
              <w:jc w:val="center"/>
            </w:pPr>
            <w:r/>
            <w:r>
              <w:rPr>
                <w:rFonts w:ascii="Times New Roman" w:hAnsi="Times New Roman" w:eastAsia="Times New Roman" w:cs="Times New Roman"/>
                <w:sz w:val="20"/>
              </w:rPr>
              <w:t>≥ 80%</w:t>
            </w:r>
          </w:p>
        </w:tc>
      </w:tr>
    </w:tbl>
    <w:p>
      <w:pPr>
        <w:spacing w:before="120" w:after="40"/>
        <w:jc w:val="center"/>
      </w:pPr>
      <w:r>
        <w:drawing>
          <wp:inline>
            <wp:extent cx="4320000" cy="2592000"/>
            <wp:docPr id="3" name="Picture 3"/>
            <wp:cNvGraphicFramePr>
              <a:graphicFrameLocks noChangeAspect="1"/>
            </wp:cNvGraphicFramePr>
            <a:graphic>
              <a:graphicData uri="http://schemas.openxmlformats.org/drawingml/2006/picture">
                <pic:pic>
                  <pic:nvPicPr>
                    <pic:cNvPr id="0" name="cf_metrics_by_quartile.png"/>
                    <pic:cNvPicPr/>
                  </pic:nvPicPr>
                  <pic:blipFill>
                    <a:blip r:embed="rId28"/>
                    <a:stretch>
                      <a:fillRect/>
                    </a:stretch>
                  </pic:blipFill>
                  <pic:spPr>
                    <a:xfrm>
                      <a:off x="0" y="0"/>
                      <a:ext cx="4320000" cy="2592000"/>
                    </a:xfrm>
                    <a:prstGeom prst="rect"/>
                  </pic:spPr>
                </pic:pic>
              </a:graphicData>
            </a:graphic>
          </wp:inline>
        </w:drawing>
      </w:r>
    </w:p>
    <w:p>
      <w:pPr>
        <w:spacing w:after="120"/>
        <w:jc w:val="center"/>
      </w:pPr>
      <w:r>
        <w:rPr>
          <w:rFonts w:ascii="Times New Roman" w:hAnsi="Times New Roman" w:eastAsia="Times New Roman" w:cs="Times New Roman"/>
          <w:sz w:val="20"/>
        </w:rPr>
        <w:t>Fig. 3. Distribution of counterfactual evaluation metrics by stress quartile.</w:t>
      </w:r>
    </w:p>
    <w:p>
      <w:pPr>
        <w:pStyle w:val="Heading3"/>
        <w:spacing w:before="120" w:after="60"/>
      </w:pPr>
      <w:r>
        <w:rPr>
          <w:rFonts w:ascii="Times New Roman" w:hAnsi="Times New Roman" w:eastAsia="Times New Roman" w:cs="Times New Roman"/>
          <w:b/>
          <w:sz w:val="22"/>
        </w:rPr>
        <w:t>Case Study Narratives</w:t>
      </w:r>
    </w:p>
    <w:p>
      <w:pPr>
        <w:spacing w:after="0" w:before="0"/>
        <w:jc w:val="both"/>
      </w:pPr>
      <w:r>
        <w:rPr>
          <w:rFonts w:ascii="Times New Roman" w:hAnsi="Times New Roman" w:eastAsia="Times New Roman" w:cs="Times New Roman"/>
          <w:b w:val="0"/>
          <w:i w:val="0"/>
          <w:sz w:val="20"/>
        </w:rPr>
        <w:t>Three individuals were selected as case studies based on actual stress_score values (approximately 3.0, 6.0, and 8.5). All three produced valid counterfactuals. For the low-stress individual (actual 3.00, predicted 4.05), DiCE recommended four behavior changes leading to a CF prediction of 3.85 (delta = -0.21). For the mid-stress individual (actual 6.00, predicted 5.25), six changes yielded CF = 4.95 (delta = -0.30). For the high-stress individual (actual 8.50, predicted 7.21), four changes yielded CF = 6.84 (delta = -0.38), including reducing alcohol_units_before_bed to 0.</w:t>
      </w:r>
    </w:p>
    <w:p>
      <w:pPr>
        <w:spacing w:after="0" w:before="0"/>
        <w:jc w:val="both"/>
      </w:pPr>
      <w:r>
        <w:rPr>
          <w:rFonts w:ascii="Times New Roman" w:hAnsi="Times New Roman" w:eastAsia="Times New Roman" w:cs="Times New Roman"/>
          <w:b w:val="0"/>
          <w:i w:val="0"/>
          <w:sz w:val="20"/>
        </w:rPr>
        <w:t>GenAI naturalization successfully generated narrative recommendations for all three individuals. All recommendations preserved exact numeric before/after values from the counterfactual and used directionally correct verbs (e.g., 'perpanjang' for increase, 'kurangi' for decrease). The faithfulness check flagged no instances of locked-outcome features appearing as recommendation actions in the final outputs. The number of recommendations per individual aligned with the number of counterfactual changes (4-6 items), demonstrating that the prompt design successfully scales the recommendation list to the underlying counterfactual.</w:t>
      </w:r>
    </w:p>
    <w:p>
      <w:pPr>
        <w:spacing w:after="0" w:before="0"/>
        <w:jc w:val="both"/>
      </w:pPr>
      <w:r>
        <w:rPr>
          <w:rFonts w:ascii="Times New Roman" w:hAnsi="Times New Roman" w:eastAsia="Times New Roman" w:cs="Times New Roman"/>
          <w:b w:val="0"/>
          <w:i w:val="0"/>
          <w:sz w:val="20"/>
        </w:rPr>
      </w:r>
    </w:p>
    <w:p>
      <w:pPr>
        <w:spacing w:after="40" w:before="120"/>
        <w:jc w:val="center"/>
      </w:pPr>
      <w:r>
        <w:rPr>
          <w:rFonts w:ascii="Times New Roman" w:hAnsi="Times New Roman" w:eastAsia="Times New Roman" w:cs="Times New Roman"/>
          <w:b/>
          <w:sz w:val="20"/>
        </w:rPr>
        <w:t>Table 3. Counterfactual results for three case-study individuals.</w:t>
      </w:r>
    </w:p>
    <w:tbl>
      <w:tblPr>
        <w:tblStyle w:val="TableGrid"/>
        <w:tblW w:type="auto" w:w="0"/>
        <w:jc w:val="center"/>
        <w:tblLook w:firstColumn="1" w:firstRow="1" w:lastColumn="0" w:lastRow="0" w:noHBand="0" w:noVBand="1" w:val="04A0"/>
      </w:tblPr>
      <w:tblGrid>
        <w:gridCol w:w="1672"/>
        <w:gridCol w:w="1672"/>
        <w:gridCol w:w="1672"/>
        <w:gridCol w:w="1672"/>
        <w:gridCol w:w="1672"/>
        <w:gridCol w:w="1672"/>
      </w:tblGrid>
      <w:tr>
        <w:tc>
          <w:tcPr>
            <w:tcW w:type="dxa" w:w="1672"/>
          </w:tcPr>
          <w:p>
            <w:pPr>
              <w:jc w:val="center"/>
            </w:pPr>
            <w:r/>
            <w:r>
              <w:rPr>
                <w:rFonts w:ascii="Times New Roman" w:hAnsi="Times New Roman" w:eastAsia="Times New Roman" w:cs="Times New Roman"/>
                <w:b/>
                <w:sz w:val="20"/>
              </w:rPr>
              <w:t>Case</w:t>
            </w:r>
          </w:p>
        </w:tc>
        <w:tc>
          <w:tcPr>
            <w:tcW w:type="dxa" w:w="1672"/>
          </w:tcPr>
          <w:p>
            <w:pPr>
              <w:jc w:val="center"/>
            </w:pPr>
            <w:r/>
            <w:r>
              <w:rPr>
                <w:rFonts w:ascii="Times New Roman" w:hAnsi="Times New Roman" w:eastAsia="Times New Roman" w:cs="Times New Roman"/>
                <w:b/>
                <w:sz w:val="20"/>
              </w:rPr>
              <w:t>Actual</w:t>
            </w:r>
          </w:p>
        </w:tc>
        <w:tc>
          <w:tcPr>
            <w:tcW w:type="dxa" w:w="1672"/>
          </w:tcPr>
          <w:p>
            <w:pPr>
              <w:jc w:val="center"/>
            </w:pPr>
            <w:r/>
            <w:r>
              <w:rPr>
                <w:rFonts w:ascii="Times New Roman" w:hAnsi="Times New Roman" w:eastAsia="Times New Roman" w:cs="Times New Roman"/>
                <w:b/>
                <w:sz w:val="20"/>
              </w:rPr>
              <w:t>Pred.</w:t>
            </w:r>
          </w:p>
        </w:tc>
        <w:tc>
          <w:tcPr>
            <w:tcW w:type="dxa" w:w="1672"/>
          </w:tcPr>
          <w:p>
            <w:pPr>
              <w:jc w:val="center"/>
            </w:pPr>
            <w:r/>
            <w:r>
              <w:rPr>
                <w:rFonts w:ascii="Times New Roman" w:hAnsi="Times New Roman" w:eastAsia="Times New Roman" w:cs="Times New Roman"/>
                <w:b/>
                <w:sz w:val="20"/>
              </w:rPr>
              <w:t>CF Pred.</w:t>
            </w:r>
          </w:p>
        </w:tc>
        <w:tc>
          <w:tcPr>
            <w:tcW w:type="dxa" w:w="1672"/>
          </w:tcPr>
          <w:p>
            <w:pPr>
              <w:jc w:val="center"/>
            </w:pPr>
            <w:r/>
            <w:r>
              <w:rPr>
                <w:rFonts w:ascii="Times New Roman" w:hAnsi="Times New Roman" w:eastAsia="Times New Roman" w:cs="Times New Roman"/>
                <w:b/>
                <w:sz w:val="20"/>
              </w:rPr>
              <w:t>Δ</w:t>
            </w:r>
          </w:p>
        </w:tc>
        <w:tc>
          <w:tcPr>
            <w:tcW w:type="dxa" w:w="1672"/>
          </w:tcPr>
          <w:p>
            <w:pPr>
              <w:jc w:val="center"/>
            </w:pPr>
            <w:r/>
            <w:r>
              <w:rPr>
                <w:rFonts w:ascii="Times New Roman" w:hAnsi="Times New Roman" w:eastAsia="Times New Roman" w:cs="Times New Roman"/>
                <w:b/>
                <w:sz w:val="20"/>
              </w:rPr>
              <w:t># changes</w:t>
            </w:r>
          </w:p>
        </w:tc>
      </w:tr>
      <w:tr>
        <w:tc>
          <w:tcPr>
            <w:tcW w:type="dxa" w:w="1672"/>
          </w:tcPr>
          <w:p>
            <w:pPr>
              <w:jc w:val="center"/>
            </w:pPr>
            <w:r/>
            <w:r>
              <w:rPr>
                <w:rFonts w:ascii="Times New Roman" w:hAnsi="Times New Roman" w:eastAsia="Times New Roman" w:cs="Times New Roman"/>
                <w:sz w:val="20"/>
              </w:rPr>
              <w:t>Low stress</w:t>
            </w:r>
          </w:p>
        </w:tc>
        <w:tc>
          <w:tcPr>
            <w:tcW w:type="dxa" w:w="1672"/>
          </w:tcPr>
          <w:p>
            <w:pPr>
              <w:jc w:val="center"/>
            </w:pPr>
            <w:r/>
            <w:r>
              <w:rPr>
                <w:rFonts w:ascii="Times New Roman" w:hAnsi="Times New Roman" w:eastAsia="Times New Roman" w:cs="Times New Roman"/>
                <w:sz w:val="20"/>
              </w:rPr>
              <w:t>3.00</w:t>
            </w:r>
          </w:p>
        </w:tc>
        <w:tc>
          <w:tcPr>
            <w:tcW w:type="dxa" w:w="1672"/>
          </w:tcPr>
          <w:p>
            <w:pPr>
              <w:jc w:val="center"/>
            </w:pPr>
            <w:r/>
            <w:r>
              <w:rPr>
                <w:rFonts w:ascii="Times New Roman" w:hAnsi="Times New Roman" w:eastAsia="Times New Roman" w:cs="Times New Roman"/>
                <w:sz w:val="20"/>
              </w:rPr>
              <w:t>4.05</w:t>
            </w:r>
          </w:p>
        </w:tc>
        <w:tc>
          <w:tcPr>
            <w:tcW w:type="dxa" w:w="1672"/>
          </w:tcPr>
          <w:p>
            <w:pPr>
              <w:jc w:val="center"/>
            </w:pPr>
            <w:r/>
            <w:r>
              <w:rPr>
                <w:rFonts w:ascii="Times New Roman" w:hAnsi="Times New Roman" w:eastAsia="Times New Roman" w:cs="Times New Roman"/>
                <w:sz w:val="20"/>
              </w:rPr>
              <w:t>3.85</w:t>
            </w:r>
          </w:p>
        </w:tc>
        <w:tc>
          <w:tcPr>
            <w:tcW w:type="dxa" w:w="1672"/>
          </w:tcPr>
          <w:p>
            <w:pPr>
              <w:jc w:val="center"/>
            </w:pPr>
            <w:r/>
            <w:r>
              <w:rPr>
                <w:rFonts w:ascii="Times New Roman" w:hAnsi="Times New Roman" w:eastAsia="Times New Roman" w:cs="Times New Roman"/>
                <w:sz w:val="20"/>
              </w:rPr>
              <w:t>-0.21</w:t>
            </w:r>
          </w:p>
        </w:tc>
        <w:tc>
          <w:tcPr>
            <w:tcW w:type="dxa" w:w="1672"/>
          </w:tcPr>
          <w:p>
            <w:pPr>
              <w:jc w:val="center"/>
            </w:pPr>
            <w:r/>
            <w:r>
              <w:rPr>
                <w:rFonts w:ascii="Times New Roman" w:hAnsi="Times New Roman" w:eastAsia="Times New Roman" w:cs="Times New Roman"/>
                <w:sz w:val="20"/>
              </w:rPr>
              <w:t>4</w:t>
            </w:r>
          </w:p>
        </w:tc>
      </w:tr>
      <w:tr>
        <w:tc>
          <w:tcPr>
            <w:tcW w:type="dxa" w:w="1672"/>
          </w:tcPr>
          <w:p>
            <w:pPr>
              <w:jc w:val="center"/>
            </w:pPr>
            <w:r/>
            <w:r>
              <w:rPr>
                <w:rFonts w:ascii="Times New Roman" w:hAnsi="Times New Roman" w:eastAsia="Times New Roman" w:cs="Times New Roman"/>
                <w:sz w:val="20"/>
              </w:rPr>
              <w:t>Mid stress</w:t>
            </w:r>
          </w:p>
        </w:tc>
        <w:tc>
          <w:tcPr>
            <w:tcW w:type="dxa" w:w="1672"/>
          </w:tcPr>
          <w:p>
            <w:pPr>
              <w:jc w:val="center"/>
            </w:pPr>
            <w:r/>
            <w:r>
              <w:rPr>
                <w:rFonts w:ascii="Times New Roman" w:hAnsi="Times New Roman" w:eastAsia="Times New Roman" w:cs="Times New Roman"/>
                <w:sz w:val="20"/>
              </w:rPr>
              <w:t>6.00</w:t>
            </w:r>
          </w:p>
        </w:tc>
        <w:tc>
          <w:tcPr>
            <w:tcW w:type="dxa" w:w="1672"/>
          </w:tcPr>
          <w:p>
            <w:pPr>
              <w:jc w:val="center"/>
            </w:pPr>
            <w:r/>
            <w:r>
              <w:rPr>
                <w:rFonts w:ascii="Times New Roman" w:hAnsi="Times New Roman" w:eastAsia="Times New Roman" w:cs="Times New Roman"/>
                <w:sz w:val="20"/>
              </w:rPr>
              <w:t>5.25</w:t>
            </w:r>
          </w:p>
        </w:tc>
        <w:tc>
          <w:tcPr>
            <w:tcW w:type="dxa" w:w="1672"/>
          </w:tcPr>
          <w:p>
            <w:pPr>
              <w:jc w:val="center"/>
            </w:pPr>
            <w:r/>
            <w:r>
              <w:rPr>
                <w:rFonts w:ascii="Times New Roman" w:hAnsi="Times New Roman" w:eastAsia="Times New Roman" w:cs="Times New Roman"/>
                <w:sz w:val="20"/>
              </w:rPr>
              <w:t>4.95</w:t>
            </w:r>
          </w:p>
        </w:tc>
        <w:tc>
          <w:tcPr>
            <w:tcW w:type="dxa" w:w="1672"/>
          </w:tcPr>
          <w:p>
            <w:pPr>
              <w:jc w:val="center"/>
            </w:pPr>
            <w:r/>
            <w:r>
              <w:rPr>
                <w:rFonts w:ascii="Times New Roman" w:hAnsi="Times New Roman" w:eastAsia="Times New Roman" w:cs="Times New Roman"/>
                <w:sz w:val="20"/>
              </w:rPr>
              <w:t>-0.30</w:t>
            </w:r>
          </w:p>
        </w:tc>
        <w:tc>
          <w:tcPr>
            <w:tcW w:type="dxa" w:w="1672"/>
          </w:tcPr>
          <w:p>
            <w:pPr>
              <w:jc w:val="center"/>
            </w:pPr>
            <w:r/>
            <w:r>
              <w:rPr>
                <w:rFonts w:ascii="Times New Roman" w:hAnsi="Times New Roman" w:eastAsia="Times New Roman" w:cs="Times New Roman"/>
                <w:sz w:val="20"/>
              </w:rPr>
              <w:t>6</w:t>
            </w:r>
          </w:p>
        </w:tc>
      </w:tr>
      <w:tr>
        <w:tc>
          <w:tcPr>
            <w:tcW w:type="dxa" w:w="1672"/>
          </w:tcPr>
          <w:p>
            <w:pPr>
              <w:jc w:val="center"/>
            </w:pPr>
            <w:r/>
            <w:r>
              <w:rPr>
                <w:rFonts w:ascii="Times New Roman" w:hAnsi="Times New Roman" w:eastAsia="Times New Roman" w:cs="Times New Roman"/>
                <w:sz w:val="20"/>
              </w:rPr>
              <w:t>High stress</w:t>
            </w:r>
          </w:p>
        </w:tc>
        <w:tc>
          <w:tcPr>
            <w:tcW w:type="dxa" w:w="1672"/>
          </w:tcPr>
          <w:p>
            <w:pPr>
              <w:jc w:val="center"/>
            </w:pPr>
            <w:r/>
            <w:r>
              <w:rPr>
                <w:rFonts w:ascii="Times New Roman" w:hAnsi="Times New Roman" w:eastAsia="Times New Roman" w:cs="Times New Roman"/>
                <w:sz w:val="20"/>
              </w:rPr>
              <w:t>8.50</w:t>
            </w:r>
          </w:p>
        </w:tc>
        <w:tc>
          <w:tcPr>
            <w:tcW w:type="dxa" w:w="1672"/>
          </w:tcPr>
          <w:p>
            <w:pPr>
              <w:jc w:val="center"/>
            </w:pPr>
            <w:r/>
            <w:r>
              <w:rPr>
                <w:rFonts w:ascii="Times New Roman" w:hAnsi="Times New Roman" w:eastAsia="Times New Roman" w:cs="Times New Roman"/>
                <w:sz w:val="20"/>
              </w:rPr>
              <w:t>7.21</w:t>
            </w:r>
          </w:p>
        </w:tc>
        <w:tc>
          <w:tcPr>
            <w:tcW w:type="dxa" w:w="1672"/>
          </w:tcPr>
          <w:p>
            <w:pPr>
              <w:jc w:val="center"/>
            </w:pPr>
            <w:r/>
            <w:r>
              <w:rPr>
                <w:rFonts w:ascii="Times New Roman" w:hAnsi="Times New Roman" w:eastAsia="Times New Roman" w:cs="Times New Roman"/>
                <w:sz w:val="20"/>
              </w:rPr>
              <w:t>6.84</w:t>
            </w:r>
          </w:p>
        </w:tc>
        <w:tc>
          <w:tcPr>
            <w:tcW w:type="dxa" w:w="1672"/>
          </w:tcPr>
          <w:p>
            <w:pPr>
              <w:jc w:val="center"/>
            </w:pPr>
            <w:r/>
            <w:r>
              <w:rPr>
                <w:rFonts w:ascii="Times New Roman" w:hAnsi="Times New Roman" w:eastAsia="Times New Roman" w:cs="Times New Roman"/>
                <w:sz w:val="20"/>
              </w:rPr>
              <w:t>-0.38</w:t>
            </w:r>
          </w:p>
        </w:tc>
        <w:tc>
          <w:tcPr>
            <w:tcW w:type="dxa" w:w="1672"/>
          </w:tcPr>
          <w:p>
            <w:pPr>
              <w:jc w:val="center"/>
            </w:pPr>
            <w:r/>
            <w:r>
              <w:rPr>
                <w:rFonts w:ascii="Times New Roman" w:hAnsi="Times New Roman" w:eastAsia="Times New Roman" w:cs="Times New Roman"/>
                <w:sz w:val="20"/>
              </w:rPr>
              <w:t>4</w:t>
            </w:r>
          </w:p>
        </w:tc>
      </w:tr>
    </w:tbl>
    <w:p>
      <w:pPr>
        <w:pStyle w:val="Heading2"/>
        <w:spacing w:before="240" w:after="60"/>
      </w:pPr>
      <w:r>
        <w:rPr>
          <w:rFonts w:ascii="Times New Roman" w:hAnsi="Times New Roman" w:eastAsia="Times New Roman" w:cs="Times New Roman"/>
          <w:b/>
          <w:sz w:val="24"/>
        </w:rPr>
        <w:t>Limitations and Threats to Validity</w:t>
      </w:r>
    </w:p>
    <w:p>
      <w:pPr>
        <w:spacing w:after="0" w:before="0"/>
        <w:jc w:val="both"/>
      </w:pPr>
      <w:r>
        <w:rPr>
          <w:rFonts w:ascii="Times New Roman" w:hAnsi="Times New Roman" w:eastAsia="Times New Roman" w:cs="Times New Roman"/>
          <w:b w:val="0"/>
          <w:i w:val="0"/>
          <w:sz w:val="20"/>
        </w:rPr>
        <w:t>Several limitations apply to this study. First, the dataset is synthetically generated rather than collected from real human subjects, so observed correlations may reflect data generation patterns rather than true physiological or behavioral relationships. Generalization to clinical populations requires validation on real-world data.</w:t>
      </w:r>
    </w:p>
    <w:p>
      <w:pPr>
        <w:spacing w:after="0" w:before="0"/>
        <w:jc w:val="both"/>
      </w:pPr>
      <w:r>
        <w:rPr>
          <w:rFonts w:ascii="Times New Roman" w:hAnsi="Times New Roman" w:eastAsia="Times New Roman" w:cs="Times New Roman"/>
          <w:b w:val="0"/>
          <w:i w:val="0"/>
          <w:sz w:val="20"/>
        </w:rPr>
        <w:t>Second, DiCE assumes causal stationarity, which is not guaranteed on synthetic data. Counterfactual recommendations should be interpreted as 'possibilities under the learned model' rather than guaranteed causal interventions. Prospective validation (e.g., randomized trials) would be required for clinical use.</w:t>
      </w:r>
    </w:p>
    <w:p>
      <w:pPr>
        <w:spacing w:after="0" w:before="0"/>
        <w:jc w:val="both"/>
      </w:pPr>
      <w:r>
        <w:rPr>
          <w:rFonts w:ascii="Times New Roman" w:hAnsi="Times New Roman" w:eastAsia="Times New Roman" w:cs="Times New Roman"/>
          <w:b w:val="0"/>
          <w:i w:val="0"/>
          <w:sz w:val="20"/>
        </w:rPr>
        <w:t>Third, GenAI evaluation in this work is restricted to structural validation, regex-based safety filtering, and a basic faithfulness check. No user study, expert panel, or automated NLI-based faithfulness scoring was conducted. The GenAI layer is positioned as a deployment-facing presentation component rather than a scientific contribution requiring rigorous LLM evaluation.</w:t>
      </w:r>
    </w:p>
    <w:p>
      <w:pPr>
        <w:spacing w:after="0" w:before="0"/>
        <w:jc w:val="both"/>
      </w:pPr>
      <w:r>
        <w:rPr>
          <w:rFonts w:ascii="Times New Roman" w:hAnsi="Times New Roman" w:eastAsia="Times New Roman" w:cs="Times New Roman"/>
          <w:b w:val="0"/>
          <w:i w:val="0"/>
          <w:sz w:val="20"/>
        </w:rPr>
        <w:t>Fourth, results may vary slightly across runs due to genetic algorithm stochasticity in DiCE and GPT generation probabilism. Although random_state=42 is fixed and temperature=0.3 is used for GPT, minor variations are expected.</w:t>
      </w:r>
    </w:p>
    <w:p>
      <w:pPr>
        <w:spacing w:after="0" w:before="0"/>
        <w:jc w:val="both"/>
      </w:pPr>
      <w:r>
        <w:rPr>
          <w:rFonts w:ascii="Times New Roman" w:hAnsi="Times New Roman" w:eastAsia="Times New Roman" w:cs="Times New Roman"/>
          <w:b w:val="0"/>
          <w:i w:val="0"/>
          <w:sz w:val="20"/>
        </w:rPr>
        <w:t>Fifth, while the 62.5% counterfactual success rate is encouraging, achieving substantial stress reduction in some individuals may still require changes mediated through physiological outcomes (e.g., improvements in sleep quality), suggesting that a two-stage causal architecture (behavior to outcome, then outcome to stress) could yield even stronger intervention recommendations as future work.</w:t>
      </w:r>
    </w:p>
    <w:p>
      <w:pPr>
        <w:pStyle w:val="Heading2"/>
        <w:spacing w:before="240" w:after="60"/>
      </w:pPr>
      <w:r>
        <w:rPr>
          <w:rFonts w:ascii="Times New Roman" w:hAnsi="Times New Roman" w:eastAsia="Times New Roman" w:cs="Times New Roman"/>
          <w:b/>
          <w:sz w:val="24"/>
        </w:rPr>
        <w:t>Conclusion</w:t>
      </w:r>
    </w:p>
    <w:p>
      <w:pPr>
        <w:spacing w:after="0" w:before="0"/>
        <w:jc w:val="both"/>
      </w:pPr>
      <w:r>
        <w:rPr>
          <w:rFonts w:ascii="Times New Roman" w:hAnsi="Times New Roman" w:eastAsia="Times New Roman" w:cs="Times New Roman"/>
          <w:b w:val="0"/>
          <w:i w:val="0"/>
          <w:sz w:val="20"/>
        </w:rPr>
        <w:t>We presented an end-to-end framework integrating prediction, explanation, prescription, and naturalization for stress prediction and intervention. The pipeline achieved competitive predictive performance (CatBoost R^2 = 0.6503), strong domain-validated explanations through SHAP (top feature correlation -0.996), causally-restricted counterfactual recommendations with 100% plausibility and 62.5% success rate, and narrative GenAI output with structural and faithfulness validation for all three case-study individuals.</w:t>
      </w:r>
    </w:p>
    <w:p>
      <w:pPr>
        <w:spacing w:after="0" w:before="0"/>
        <w:jc w:val="both"/>
      </w:pPr>
      <w:r>
        <w:rPr>
          <w:rFonts w:ascii="Times New Roman" w:hAnsi="Times New Roman" w:eastAsia="Times New Roman" w:cs="Times New Roman"/>
          <w:b w:val="0"/>
          <w:i w:val="0"/>
          <w:sz w:val="20"/>
        </w:rPr>
        <w:t>Future work includes: (1) a two-stage causal architecture where Stage 1 maps behaviors to outcomes and Stage 2 maps outcomes to stress, enabling indirect-effect estimation; (2) automated faithfulness scoring for GenAI output using NLI-based entailment checks; (3) validation on real (non-synthetic) data through wearable sensor and self-report studies; (4) user studies measuring the perceived usefulness and clarity of GenAI-generated recommendations; and (5) integration with conversational interfaces for interactive intervention support.</w:t>
      </w:r>
    </w:p>
    <w:p>
      <w:pPr>
        <w:pStyle w:val="Heading2"/>
        <w:spacing w:before="240" w:after="60"/>
      </w:pPr>
      <w:r>
        <w:rPr>
          <w:rFonts w:ascii="Times New Roman" w:hAnsi="Times New Roman" w:eastAsia="Times New Roman" w:cs="Times New Roman"/>
          <w:b/>
          <w:sz w:val="24"/>
        </w:rPr>
        <w:t>CRediT Authorship Contribution Statement</w:t>
      </w:r>
    </w:p>
    <w:p>
      <w:pPr>
        <w:spacing w:after="0" w:before="0"/>
        <w:jc w:val="both"/>
      </w:pPr>
      <w:r>
        <w:rPr>
          <w:rFonts w:ascii="Times New Roman" w:hAnsi="Times New Roman" w:eastAsia="Times New Roman" w:cs="Times New Roman"/>
          <w:b w:val="0"/>
          <w:i w:val="0"/>
          <w:sz w:val="20"/>
        </w:rPr>
        <w:t>Ananta Dwi Prayoga Alwy: Conceptualization, Methodology, Software, Validation, Writing – original draft. Dhayu Intan Nareswari: Conceptualization, Investigation, Formal analysis, Writing – review &amp; editing. Mahathir Muhammad: Software, Data curation, Formal analysis, Visualization, Writing – review &amp; editing. Obi Kastanya: Conceptualization, Supervision, Writing – review &amp; editing, Validation. All authors have read and agreed to the published version of the manuscript.</w:t>
      </w:r>
    </w:p>
    <w:p>
      <w:pPr>
        <w:pStyle w:val="Heading2"/>
        <w:spacing w:before="240" w:after="60"/>
      </w:pPr>
      <w:r>
        <w:rPr>
          <w:rFonts w:ascii="Times New Roman" w:hAnsi="Times New Roman" w:eastAsia="Times New Roman" w:cs="Times New Roman"/>
          <w:b/>
          <w:sz w:val="24"/>
        </w:rPr>
        <w:t>Declaration of Competing Interest</w:t>
      </w:r>
    </w:p>
    <w:p>
      <w:pPr>
        <w:spacing w:after="0" w:before="0"/>
        <w:jc w:val="both"/>
      </w:pPr>
      <w:r>
        <w:rPr>
          <w:rFonts w:ascii="Times New Roman" w:hAnsi="Times New Roman" w:eastAsia="Times New Roman" w:cs="Times New Roman"/>
          <w:b w:val="0"/>
          <w:i w:val="0"/>
          <w:sz w:val="20"/>
        </w:rPr>
        <w:t>The authors declare that they have no known competing financial interests or personal relationships that could have appeared to influence the work reported in this paper.</w:t>
      </w:r>
    </w:p>
    <w:p>
      <w:pPr>
        <w:pStyle w:val="Heading2"/>
        <w:spacing w:before="240" w:after="60"/>
      </w:pPr>
      <w:r>
        <w:rPr>
          <w:rFonts w:ascii="Times New Roman" w:hAnsi="Times New Roman" w:eastAsia="Times New Roman" w:cs="Times New Roman"/>
          <w:b/>
          <w:sz w:val="24"/>
        </w:rPr>
        <w:t>Acknowledgments</w:t>
      </w:r>
    </w:p>
    <w:p>
      <w:pPr>
        <w:spacing w:after="0" w:before="0"/>
        <w:jc w:val="both"/>
      </w:pPr>
      <w:r>
        <w:rPr>
          <w:rFonts w:ascii="Times New Roman" w:hAnsi="Times New Roman" w:eastAsia="Times New Roman" w:cs="Times New Roman"/>
          <w:b w:val="0"/>
          <w:i w:val="0"/>
          <w:sz w:val="20"/>
        </w:rPr>
        <w:t>This work was conducted as part of the Master's program in Informatics at the Department of Informatics, Faculty of Intelligent Electrical and Informatics Technology, Institut Teknologi Sepuluh Nopember (ITS), Surabaya. The authors thank the Kaggle community for making the Sleep Health and Daily Performance dataset publicly available.</w:t>
      </w:r>
    </w:p>
    <w:p>
      <w:pPr>
        <w:pStyle w:val="Heading2"/>
        <w:spacing w:before="240" w:after="60"/>
      </w:pPr>
      <w:r>
        <w:rPr>
          <w:rFonts w:ascii="Times New Roman" w:hAnsi="Times New Roman" w:eastAsia="Times New Roman" w:cs="Times New Roman"/>
          <w:b/>
          <w:sz w:val="24"/>
        </w:rPr>
        <w:t>Data Availability</w:t>
      </w:r>
    </w:p>
    <w:p>
      <w:pPr>
        <w:spacing w:after="0" w:before="0"/>
        <w:jc w:val="both"/>
      </w:pPr>
      <w:r>
        <w:rPr>
          <w:rFonts w:ascii="Times New Roman" w:hAnsi="Times New Roman" w:eastAsia="Times New Roman" w:cs="Times New Roman"/>
          <w:b w:val="0"/>
          <w:i w:val="0"/>
          <w:sz w:val="20"/>
        </w:rPr>
        <w:t>The dataset was openly provided through Kaggle. The source code and reproducibility artifacts (notebooks, processed data splits, model checkpoints) are available from the corresponding author upon request.</w:t>
      </w:r>
    </w:p>
    <w:p>
      <w:pPr>
        <w:pStyle w:val="Heading2"/>
        <w:spacing w:before="240" w:after="60"/>
      </w:pPr>
      <w:r>
        <w:rPr>
          <w:rFonts w:ascii="Times New Roman" w:hAnsi="Times New Roman" w:eastAsia="Times New Roman" w:cs="Times New Roman"/>
          <w:b/>
          <w:sz w:val="24"/>
        </w:rPr>
        <w:t>Declaration of Generative AI and AI-assisted Technologies in The Writing Process</w:t>
      </w:r>
    </w:p>
    <w:p>
      <w:pPr>
        <w:spacing w:after="0" w:before="0"/>
        <w:jc w:val="both"/>
      </w:pPr>
      <w:r>
        <w:rPr>
          <w:rFonts w:ascii="Times New Roman" w:hAnsi="Times New Roman" w:eastAsia="Times New Roman" w:cs="Times New Roman"/>
          <w:b w:val="0"/>
          <w:i w:val="0"/>
          <w:sz w:val="20"/>
        </w:rPr>
        <w:t>The authors used ChatGPT (GPT-4o-mini) as a component of the proposed naturalization pipeline (Section 3.6), not as a writing assistant. Manuscript writing, editing, and revisions were performed by the authors without AI-assisted text generation.</w:t>
      </w:r>
    </w:p>
    <w:p>
      <w:pPr>
        <w:pStyle w:val="Heading2"/>
        <w:spacing w:before="240" w:after="60"/>
      </w:pPr>
      <w:r>
        <w:rPr>
          <w:rFonts w:ascii="Times New Roman" w:hAnsi="Times New Roman" w:eastAsia="Times New Roman" w:cs="Times New Roman"/>
          <w:b/>
          <w:sz w:val="24"/>
        </w:rPr>
        <w:t>References</w:t>
      </w:r>
    </w:p>
    <w:p>
      <w:pPr>
        <w:spacing w:after="40"/>
        <w:ind w:left="340" w:hanging="340"/>
        <w:jc w:val="left"/>
      </w:pPr>
      <w:r>
        <w:rPr>
          <w:rFonts w:ascii="Times New Roman" w:hAnsi="Times New Roman" w:eastAsia="Times New Roman" w:cs="Times New Roman"/>
          <w:sz w:val="20"/>
        </w:rPr>
        <w:t xml:space="preserve">[1] </w:t>
      </w:r>
      <w:r>
        <w:rPr>
          <w:rFonts w:ascii="Times New Roman" w:hAnsi="Times New Roman" w:eastAsia="Times New Roman" w:cs="Times New Roman"/>
          <w:sz w:val="20"/>
        </w:rPr>
        <w:t>S. M. Lundberg and S. Lee, "A unified approach to interpreting model predictions," in Proc. Adv. Neural Inf. Process. Syst. (NeurIPS), Long Beach, CA, USA, 2017, pp. 4765-4774.</w:t>
      </w:r>
    </w:p>
    <w:p>
      <w:pPr>
        <w:spacing w:after="40"/>
        <w:ind w:left="340" w:hanging="340"/>
        <w:jc w:val="left"/>
      </w:pPr>
      <w:r>
        <w:rPr>
          <w:rFonts w:ascii="Times New Roman" w:hAnsi="Times New Roman" w:eastAsia="Times New Roman" w:cs="Times New Roman"/>
          <w:sz w:val="20"/>
        </w:rPr>
        <w:t xml:space="preserve">[2] </w:t>
      </w:r>
      <w:r>
        <w:rPr>
          <w:rFonts w:ascii="Times New Roman" w:hAnsi="Times New Roman" w:eastAsia="Times New Roman" w:cs="Times New Roman"/>
          <w:sz w:val="20"/>
        </w:rPr>
        <w:t>R. K. Mothilal, A. Sharma, and C. Tan, "Explaining machine learning classifiers through diverse counterfactual explanations," in Proc. ACM Conf. Fairness, Accountability, and Transparency (FAccT), Barcelona, Spain, 2020, pp. 607-617.</w:t>
      </w:r>
    </w:p>
    <w:p>
      <w:pPr>
        <w:spacing w:after="40"/>
        <w:ind w:left="340" w:hanging="340"/>
        <w:jc w:val="left"/>
      </w:pPr>
      <w:r>
        <w:rPr>
          <w:rFonts w:ascii="Times New Roman" w:hAnsi="Times New Roman" w:eastAsia="Times New Roman" w:cs="Times New Roman"/>
          <w:sz w:val="20"/>
        </w:rPr>
        <w:t xml:space="preserve">[3] </w:t>
      </w:r>
      <w:r>
        <w:rPr>
          <w:rFonts w:ascii="Times New Roman" w:hAnsi="Times New Roman" w:eastAsia="Times New Roman" w:cs="Times New Roman"/>
          <w:sz w:val="20"/>
        </w:rPr>
        <w:t>L. Prokhorenkova, G. Gusev, A. Vorobev, A. V. Dorogush, and A. Gulin, "CatBoost: Unbiased boosting with categorical features," in Proc. Adv. Neural Inf. Process. Syst. (NeurIPS), Montreal, Canada, 2018, pp. 6638-6648.</w:t>
      </w:r>
    </w:p>
    <w:p>
      <w:pPr>
        <w:spacing w:after="40"/>
        <w:ind w:left="340" w:hanging="340"/>
        <w:jc w:val="left"/>
      </w:pPr>
      <w:r>
        <w:rPr>
          <w:rFonts w:ascii="Times New Roman" w:hAnsi="Times New Roman" w:eastAsia="Times New Roman" w:cs="Times New Roman"/>
          <w:sz w:val="20"/>
        </w:rPr>
        <w:t xml:space="preserve">[4] </w:t>
      </w:r>
      <w:r>
        <w:rPr>
          <w:rFonts w:ascii="Times New Roman" w:hAnsi="Times New Roman" w:eastAsia="Times New Roman" w:cs="Times New Roman"/>
          <w:sz w:val="20"/>
        </w:rPr>
        <w:t>L. Breiman, "Random forests," Mach. Learn., vol. 45, no. 1, pp. 5-32, Oct. 2001.</w:t>
      </w:r>
    </w:p>
    <w:p>
      <w:pPr>
        <w:spacing w:after="40"/>
        <w:ind w:left="340" w:hanging="340"/>
        <w:jc w:val="left"/>
      </w:pPr>
      <w:r>
        <w:rPr>
          <w:rFonts w:ascii="Times New Roman" w:hAnsi="Times New Roman" w:eastAsia="Times New Roman" w:cs="Times New Roman"/>
          <w:sz w:val="20"/>
        </w:rPr>
        <w:t xml:space="preserve">[5] </w:t>
      </w:r>
      <w:r>
        <w:rPr>
          <w:rFonts w:ascii="Times New Roman" w:hAnsi="Times New Roman" w:eastAsia="Times New Roman" w:cs="Times New Roman"/>
          <w:sz w:val="20"/>
        </w:rPr>
        <w:t>S. O. Arik and T. Pfister, "TabNet: Attentive interpretable tabular learning," in Proc. AAAI Conf. Artif. Intell., vol. 35, no. 8, 2021, pp. 6679-6687.</w:t>
      </w:r>
    </w:p>
    <w:p>
      <w:pPr>
        <w:spacing w:after="40"/>
        <w:ind w:left="340" w:hanging="340"/>
        <w:jc w:val="left"/>
      </w:pPr>
      <w:r>
        <w:rPr>
          <w:rFonts w:ascii="Times New Roman" w:hAnsi="Times New Roman" w:eastAsia="Times New Roman" w:cs="Times New Roman"/>
          <w:sz w:val="20"/>
        </w:rPr>
        <w:t xml:space="preserve">[6] </w:t>
      </w:r>
      <w:r>
        <w:rPr>
          <w:rFonts w:ascii="Times New Roman" w:hAnsi="Times New Roman" w:eastAsia="Times New Roman" w:cs="Times New Roman"/>
          <w:sz w:val="20"/>
        </w:rPr>
        <w:t>S. Wachter, B. Mittelstadt, and C. Russell, "Counterfactual explanations without opening the black box: Automated decisions and the GDPR," Harvard J. Law Technol., vol. 31, no. 2, pp. 841-887, 2018.</w:t>
      </w:r>
    </w:p>
    <w:p>
      <w:pPr>
        <w:spacing w:after="40"/>
        <w:ind w:left="340" w:hanging="340"/>
        <w:jc w:val="left"/>
      </w:pPr>
      <w:r>
        <w:rPr>
          <w:rFonts w:ascii="Times New Roman" w:hAnsi="Times New Roman" w:eastAsia="Times New Roman" w:cs="Times New Roman"/>
          <w:sz w:val="20"/>
        </w:rPr>
        <w:t xml:space="preserve">[7] </w:t>
      </w:r>
      <w:r>
        <w:rPr>
          <w:rFonts w:ascii="Times New Roman" w:hAnsi="Times New Roman" w:eastAsia="Times New Roman" w:cs="Times New Roman"/>
          <w:sz w:val="20"/>
        </w:rPr>
        <w:t>OpenAI, "GPT-4 technical report," arXiv preprint arXiv:2303.08774, 2023.</w:t>
      </w:r>
    </w:p>
    <w:p>
      <w:pPr>
        <w:spacing w:after="40"/>
        <w:ind w:left="340" w:hanging="340"/>
        <w:jc w:val="left"/>
      </w:pPr>
      <w:r>
        <w:rPr>
          <w:rFonts w:ascii="Times New Roman" w:hAnsi="Times New Roman" w:eastAsia="Times New Roman" w:cs="Times New Roman"/>
          <w:sz w:val="20"/>
        </w:rPr>
        <w:t xml:space="preserve">[8] </w:t>
      </w:r>
      <w:r>
        <w:rPr>
          <w:rFonts w:ascii="Times New Roman" w:hAnsi="Times New Roman" w:eastAsia="Times New Roman" w:cs="Times New Roman"/>
          <w:sz w:val="20"/>
        </w:rPr>
        <w:t>T. Brown, B. Mann, N. Ryder, M. Subbiah, J. Kaplan, P. Dhariwal, et al., "Language models are few-shot learners," in Proc. Adv. Neural Inf. Process. Syst. (NeurIPS), 2020, pp. 1877-1901.</w:t>
      </w:r>
    </w:p>
    <w:p>
      <w:pPr>
        <w:spacing w:after="40"/>
        <w:ind w:left="340" w:hanging="340"/>
        <w:jc w:val="left"/>
      </w:pPr>
      <w:r>
        <w:rPr>
          <w:rFonts w:ascii="Times New Roman" w:hAnsi="Times New Roman" w:eastAsia="Times New Roman" w:cs="Times New Roman"/>
          <w:sz w:val="20"/>
        </w:rPr>
        <w:t xml:space="preserve">[9] </w:t>
      </w:r>
      <w:r>
        <w:rPr>
          <w:rFonts w:ascii="Times New Roman" w:hAnsi="Times New Roman" w:eastAsia="Times New Roman" w:cs="Times New Roman"/>
          <w:sz w:val="20"/>
        </w:rPr>
        <w:t>M. T. Ribeiro, S. Singh, and C. Guestrin, "Why should I trust you?: Explaining the predictions of any classifier," in Proc. ACM SIGKDD Int. Conf. Knowl. Discov. Data Mining, San Francisco, CA, USA, 2016, pp. 1135-1144.</w:t>
      </w:r>
    </w:p>
    <w:p>
      <w:pPr>
        <w:spacing w:after="40"/>
        <w:ind w:left="340" w:hanging="340"/>
        <w:jc w:val="left"/>
      </w:pPr>
      <w:r>
        <w:rPr>
          <w:rFonts w:ascii="Times New Roman" w:hAnsi="Times New Roman" w:eastAsia="Times New Roman" w:cs="Times New Roman"/>
          <w:sz w:val="20"/>
        </w:rPr>
        <w:t xml:space="preserve">[10] </w:t>
      </w:r>
      <w:r>
        <w:rPr>
          <w:rFonts w:ascii="Times New Roman" w:hAnsi="Times New Roman" w:eastAsia="Times New Roman" w:cs="Times New Roman"/>
          <w:sz w:val="20"/>
        </w:rPr>
        <w:t>A. Verma, V. Boonsanong, M. Hoang, K. E. Hines, J. P. Dickerson, and C. Shah, "Counterfactual explanations and algorithmic recourses for machine learning: A review," ACM Comput. Surv., vol. 56, no. 12, Art. no. 312, Dec. 2024.</w:t>
      </w:r>
    </w:p>
    <w:p>
      <w:pPr>
        <w:spacing w:after="40"/>
        <w:ind w:left="340" w:hanging="340"/>
        <w:jc w:val="left"/>
      </w:pPr>
      <w:r>
        <w:rPr>
          <w:rFonts w:ascii="Times New Roman" w:hAnsi="Times New Roman" w:eastAsia="Times New Roman" w:cs="Times New Roman"/>
          <w:sz w:val="20"/>
        </w:rPr>
        <w:t xml:space="preserve">[11] </w:t>
      </w:r>
      <w:r>
        <w:rPr>
          <w:rFonts w:ascii="Times New Roman" w:hAnsi="Times New Roman" w:eastAsia="Times New Roman" w:cs="Times New Roman"/>
          <w:sz w:val="20"/>
        </w:rPr>
        <w:t>T. Chen and C. Guestrin, "XGBoost: A scalable tree boosting system," in Proc. ACM SIGKDD Int. Conf. Knowl. Discov. Data Mining, San Francisco, CA, USA, 2016, pp. 785-794.</w:t>
      </w:r>
    </w:p>
    <w:p>
      <w:pPr>
        <w:spacing w:after="40"/>
        <w:ind w:left="340" w:hanging="340"/>
        <w:jc w:val="left"/>
      </w:pPr>
      <w:r>
        <w:rPr>
          <w:rFonts w:ascii="Times New Roman" w:hAnsi="Times New Roman" w:eastAsia="Times New Roman" w:cs="Times New Roman"/>
          <w:sz w:val="20"/>
        </w:rPr>
        <w:t xml:space="preserve">[12] </w:t>
      </w:r>
      <w:r>
        <w:rPr>
          <w:rFonts w:ascii="Times New Roman" w:hAnsi="Times New Roman" w:eastAsia="Times New Roman" w:cs="Times New Roman"/>
          <w:sz w:val="20"/>
        </w:rPr>
        <w:t>M. Kaur, M. M. Zenkri, S. Singh, and B. Suresh, "Sleep, stress, and cognitive performance: A review of recent empirical findings," Sleep Med. Rev., vol. 60, Art. no. 101552, Dec. 2021.</w:t>
      </w:r>
    </w:p>
    <w:p>
      <w:pPr>
        <w:spacing w:after="40"/>
        <w:ind w:left="340" w:hanging="340"/>
        <w:jc w:val="left"/>
      </w:pPr>
      <w:r>
        <w:rPr>
          <w:rFonts w:ascii="Times New Roman" w:hAnsi="Times New Roman" w:eastAsia="Times New Roman" w:cs="Times New Roman"/>
          <w:sz w:val="20"/>
        </w:rPr>
        <w:t xml:space="preserve">[13] </w:t>
      </w:r>
      <w:r>
        <w:rPr>
          <w:rFonts w:ascii="Times New Roman" w:hAnsi="Times New Roman" w:eastAsia="Times New Roman" w:cs="Times New Roman"/>
          <w:sz w:val="20"/>
        </w:rPr>
        <w:t>C. Molnar, Interpretable Machine Learning: A Guide for Making Black Box Models Explainable, 2nd ed. Munich, Germany: Independently Published, 2022.</w:t>
      </w:r>
    </w:p>
    <w:p>
      <w:pPr>
        <w:spacing w:after="40"/>
        <w:ind w:left="340" w:hanging="340"/>
        <w:jc w:val="left"/>
      </w:pPr>
      <w:r>
        <w:rPr>
          <w:rFonts w:ascii="Times New Roman" w:hAnsi="Times New Roman" w:eastAsia="Times New Roman" w:cs="Times New Roman"/>
          <w:sz w:val="20"/>
        </w:rPr>
        <w:t xml:space="preserve">[14] </w:t>
      </w:r>
      <w:r>
        <w:rPr>
          <w:rFonts w:ascii="Times New Roman" w:hAnsi="Times New Roman" w:eastAsia="Times New Roman" w:cs="Times New Roman"/>
          <w:sz w:val="20"/>
        </w:rPr>
        <w:t>S. T. Hawkins, "Sleep health and daily performance dataset," Kaggle, 2024. [Online]. Available: https://www.kaggle.com/datasets</w:t>
      </w:r>
    </w:p>
    <w:p>
      <w:pPr>
        <w:spacing w:after="40"/>
        <w:ind w:left="340" w:hanging="340"/>
        <w:jc w:val="left"/>
      </w:pPr>
      <w:r>
        <w:rPr>
          <w:rFonts w:ascii="Times New Roman" w:hAnsi="Times New Roman" w:eastAsia="Times New Roman" w:cs="Times New Roman"/>
          <w:sz w:val="20"/>
        </w:rPr>
        <w:t xml:space="preserve">[15] </w:t>
      </w:r>
      <w:r>
        <w:rPr>
          <w:rFonts w:ascii="Times New Roman" w:hAnsi="Times New Roman" w:eastAsia="Times New Roman" w:cs="Times New Roman"/>
          <w:sz w:val="20"/>
        </w:rPr>
        <w:t>P. Hall, N. Gill, and N. Schmidt, "Proposed guidelines for the responsible use of explainable machine learning," arXiv preprint arXiv:1906.03533, 2019.</w:t>
      </w:r>
    </w:p>
    <w:sectPr>
      <w:headerReference r:id="rId20" w:type="default"/>
      <w:headerReference r:id="rId21" w:type="first"/>
      <w:headerReference r:id="rId22" w:type="even"/>
      <w:footerReference r:id="rId23" w:type="default"/>
      <w:footerReference r:id="rId24" w:type="first"/>
      <w:footerReference r:id="rId25" w:type="even"/>
      <w:pgSz w:h="16839" w:w="11907" w:orient="portrait"/>
      <w:pgMar w:bottom="1440" w:top="1440" w:left="936" w:right="936" w:header="431" w:footer="43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Symbol"/>
  <w:font w:name="Times"/>
  <w:font w:name="Noto Sans Symbols">
    <w:embedRegular w:fontKey="{00000000-0000-0000-0000-000000000000}" r:id="rId3" w:subsetted="0"/>
    <w:embedBold w:fontKey="{00000000-0000-0000-0000-000000000000}" r:id="rId4" w:subsetted="0"/>
  </w:font>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rPr>
        <w:sz w:val="18"/>
        <w:szCs w:val="18"/>
      </w:rPr>
    </w:pPr>
    <w:r w:rsidDel="00000000" w:rsidR="00000000" w:rsidRPr="00000000">
      <w:rPr>
        <w:sz w:val="18"/>
        <w:szCs w:val="18"/>
        <w:rtl w:val="0"/>
      </w:rPr>
      <w:t xml:space="preserve">* Corresponding author. </w:t>
    </w:r>
  </w:p>
  <w:p w:rsidR="00000000" w:rsidDel="00000000" w:rsidP="00000000" w:rsidRDefault="00000000" w:rsidRPr="00000000" w14:paraId="000000D3">
    <w:pPr>
      <w:pBdr>
        <w:bottom w:color="000000" w:space="1" w:sz="6" w:val="single"/>
      </w:pBdr>
      <w:rPr>
        <w:sz w:val="18"/>
        <w:szCs w:val="18"/>
      </w:rPr>
    </w:pPr>
    <w:r w:rsidDel="00000000" w:rsidR="00000000" w:rsidRPr="00000000">
      <w:rPr>
        <w:sz w:val="18"/>
        <w:szCs w:val="18"/>
        <w:rtl w:val="0"/>
      </w:rPr>
      <w:t xml:space="preserve">Received: xxx, xxx. Revised: xxx, xxx. Accepted: xxx, xxx. </w:t>
    </w:r>
  </w:p>
  <w:p w:rsidR="00000000" w:rsidDel="00000000" w:rsidP="00000000" w:rsidRDefault="00000000" w:rsidRPr="00000000" w14:paraId="000000D4">
    <w:pPr>
      <w:rPr>
        <w:sz w:val="18"/>
        <w:szCs w:val="18"/>
      </w:rPr>
    </w:pPr>
    <w:r w:rsidDel="00000000" w:rsidR="00000000" w:rsidRPr="00000000">
      <w:rPr>
        <w:sz w:val="18"/>
        <w:szCs w:val="18"/>
        <w:rtl w:val="0"/>
      </w:rPr>
      <w:t xml:space="preserve">Available online: January 1st, 2999. </w:t>
      <w:br w:type="textWrapping"/>
      <w:t xml:space="preserve">© 2025 The Authors. This is an open access article under the CC BY-SA license (https://creative commons.org/licenses/by-sa/4.0/) </w:t>
      <w:tab/>
      <w:tab/>
      <w:tab/>
      <w:tab/>
      <w:tab/>
      <w:tab/>
      <w:tab/>
      <w:tab/>
      <w:tab/>
      <w:tab/>
      <w:tab/>
      <w:tab/>
      <w:tab/>
      <w:tab/>
      <w:tab/>
      <w:tab/>
      <w:tab/>
      <w:t xml:space="preserve">DOI: https://doi.org/10.12962/j24068535.v23i1.aXXXX</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02"/>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It is recommended that footnotes be avoided (except for the unnumbered footnote with the receipt date on the first page). Instead, try to integrate the footnote information into the text.</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ind w:right="18"/>
      <w:rPr>
        <w:sz w:val="18"/>
        <w:szCs w:val="18"/>
      </w:rPr>
    </w:pPr>
    <w:r w:rsidDel="00000000" w:rsidR="00000000" w:rsidRPr="00000000">
      <w:rPr>
        <w:sz w:val="18"/>
        <w:szCs w:val="18"/>
        <w:rtl w:val="0"/>
      </w:rPr>
      <w:t xml:space="preserve">First A. Author et al — </w:t>
    </w:r>
    <w:r w:rsidDel="00000000" w:rsidR="00000000" w:rsidRPr="00000000">
      <w:rPr>
        <w:i w:val="1"/>
        <w:sz w:val="18"/>
        <w:szCs w:val="18"/>
        <w:rtl w:val="0"/>
      </w:rPr>
      <w:t xml:space="preserve">Paper Title</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JUTI: Jurnal Ilmiah Teknologi Informasi –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Volume x, Number x, January 202x: x – x</w:t>
    </w:r>
  </w:p>
  <w:p w:rsidR="00000000" w:rsidDel="00000000" w:rsidP="00000000" w:rsidRDefault="00000000" w:rsidRPr="00000000" w14:paraId="000000CC">
    <w:pPr>
      <w:ind w:right="18"/>
      <w:jc w:val="right"/>
      <w:rPr>
        <w:rFonts w:ascii="Arial" w:cs="Arial" w:eastAsia="Arial" w:hAnsi="Arial"/>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JUTI: Jurnal Ilmiah Teknologi Informasi –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Volume x, Number x, January 202x: x – x</w:t>
    </w:r>
    <w:r w:rsidDel="00000000" w:rsidR="00000000" w:rsidRPr="00000000">
      <w:drawing>
        <wp:anchor allowOverlap="1" behindDoc="0" distB="0" distT="0" distL="114300" distR="114300" hidden="0" layoutInCell="1" locked="0" relativeHeight="0" simplePos="0">
          <wp:simplePos x="0" y="0"/>
          <wp:positionH relativeFrom="column">
            <wp:posOffset>-799</wp:posOffset>
          </wp:positionH>
          <wp:positionV relativeFrom="paragraph">
            <wp:posOffset>-53974</wp:posOffset>
          </wp:positionV>
          <wp:extent cx="546176" cy="211667"/>
          <wp:effectExtent b="0" l="0" r="0" t="0"/>
          <wp:wrapNone/>
          <wp:docPr descr="A grey and white logo&#10;&#10;AI-generated content may be incorrect." id="146720645" name="image4.jpg"/>
          <a:graphic>
            <a:graphicData uri="http://schemas.openxmlformats.org/drawingml/2006/picture">
              <pic:pic>
                <pic:nvPicPr>
                  <pic:cNvPr descr="A grey and white logo&#10;&#10;AI-generated content may be incorrect." id="0" name="image4.jpg"/>
                  <pic:cNvPicPr preferRelativeResize="0"/>
                </pic:nvPicPr>
                <pic:blipFill>
                  <a:blip r:embed="rId3"/>
                  <a:srcRect b="0" l="0" r="0" t="0"/>
                  <a:stretch>
                    <a:fillRect/>
                  </a:stretch>
                </pic:blipFill>
                <pic:spPr>
                  <a:xfrm>
                    <a:off x="0" y="0"/>
                    <a:ext cx="546176" cy="211667"/>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upperLetter"/>
      <w:lvlText w:val="%2."/>
      <w:lvlJc w:val="left"/>
      <w:pPr>
        <w:ind w:left="0" w:firstLine="0"/>
      </w:pPr>
      <w:rPr>
        <w:b w:val="0"/>
      </w:rPr>
    </w:lvl>
    <w:lvl w:ilvl="2">
      <w:start w:val="1"/>
      <w:numFmt w:val="decimal"/>
      <w:lvlText w:val="%3)"/>
      <w:lvlJc w:val="left"/>
      <w:pPr>
        <w:ind w:left="0" w:firstLine="0"/>
      </w:pPr>
      <w:rPr>
        <w:i w:val="1"/>
      </w:rPr>
    </w:lvl>
    <w:lvl w:ilvl="3">
      <w:start w:val="1"/>
      <w:numFmt w:val="lowerLetter"/>
      <w:lvlText w:val="%4)"/>
      <w:lvlJc w:val="left"/>
      <w:pPr>
        <w:ind w:left="1152" w:hanging="720"/>
      </w:pPr>
      <w:rPr/>
    </w:lvl>
    <w:lvl w:ilvl="4">
      <w:start w:val="1"/>
      <w:numFmt w:val="decimal"/>
      <w:lvlText w:val="(%5)"/>
      <w:lvlJc w:val="left"/>
      <w:pPr>
        <w:ind w:left="1872" w:hanging="720"/>
      </w:pPr>
      <w:rPr/>
    </w:lvl>
    <w:lvl w:ilvl="5">
      <w:start w:val="1"/>
      <w:numFmt w:val="lowerLetter"/>
      <w:lvlText w:val="(%6)"/>
      <w:lvlJc w:val="left"/>
      <w:pPr>
        <w:ind w:left="2592" w:hanging="720"/>
      </w:pPr>
      <w:rPr/>
    </w:lvl>
    <w:lvl w:ilvl="6">
      <w:start w:val="1"/>
      <w:numFmt w:val="lowerRoman"/>
      <w:lvlText w:val="(%7)"/>
      <w:lvlJc w:val="left"/>
      <w:pPr>
        <w:ind w:left="3312" w:hanging="720"/>
      </w:pPr>
      <w:rPr/>
    </w:lvl>
    <w:lvl w:ilvl="7">
      <w:start w:val="1"/>
      <w:numFmt w:val="lowerLetter"/>
      <w:lvlText w:val="(%8)"/>
      <w:lvlJc w:val="left"/>
      <w:pPr>
        <w:ind w:left="4032" w:hanging="720"/>
      </w:pPr>
      <w:rPr/>
    </w:lvl>
    <w:lvl w:ilvl="8">
      <w:start w:val="1"/>
      <w:numFmt w:val="lowerRoman"/>
      <w:lvlText w:val="(%9)"/>
      <w:lvlJc w:val="left"/>
      <w:pPr>
        <w:ind w:left="4752" w:hanging="720"/>
      </w:pPr>
      <w:rPr/>
    </w:lvl>
  </w:abstractNum>
  <w:abstractNum w:abstractNumId="2">
    <w:lvl w:ilvl="0">
      <w:start w:val="1"/>
      <w:numFmt w:val="decimal"/>
      <w:lvlText w:val="[%1]"/>
      <w:lvlJc w:val="left"/>
      <w:pPr>
        <w:ind w:left="360" w:hanging="360"/>
      </w:pPr>
      <w:rPr>
        <w:i w:val="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922" w:hanging="360"/>
      </w:pPr>
      <w:rPr>
        <w:rFonts w:ascii="Noto Sans Symbols" w:cs="Noto Sans Symbols" w:eastAsia="Noto Sans Symbols" w:hAnsi="Noto Sans Symbols"/>
      </w:rPr>
    </w:lvl>
    <w:lvl w:ilvl="1">
      <w:start w:val="1"/>
      <w:numFmt w:val="bullet"/>
      <w:lvlText w:val="o"/>
      <w:lvlJc w:val="left"/>
      <w:pPr>
        <w:ind w:left="1642" w:hanging="360"/>
      </w:pPr>
      <w:rPr>
        <w:rFonts w:ascii="Courier New" w:cs="Courier New" w:eastAsia="Courier New" w:hAnsi="Courier New"/>
      </w:rPr>
    </w:lvl>
    <w:lvl w:ilvl="2">
      <w:start w:val="1"/>
      <w:numFmt w:val="bullet"/>
      <w:lvlText w:val="▪"/>
      <w:lvlJc w:val="left"/>
      <w:pPr>
        <w:ind w:left="2362" w:hanging="360"/>
      </w:pPr>
      <w:rPr>
        <w:rFonts w:ascii="Noto Sans Symbols" w:cs="Noto Sans Symbols" w:eastAsia="Noto Sans Symbols" w:hAnsi="Noto Sans Symbols"/>
      </w:rPr>
    </w:lvl>
    <w:lvl w:ilvl="3">
      <w:start w:val="1"/>
      <w:numFmt w:val="bullet"/>
      <w:lvlText w:val="●"/>
      <w:lvlJc w:val="left"/>
      <w:pPr>
        <w:ind w:left="3082" w:hanging="360"/>
      </w:pPr>
      <w:rPr>
        <w:rFonts w:ascii="Noto Sans Symbols" w:cs="Noto Sans Symbols" w:eastAsia="Noto Sans Symbols" w:hAnsi="Noto Sans Symbols"/>
      </w:rPr>
    </w:lvl>
    <w:lvl w:ilvl="4">
      <w:start w:val="1"/>
      <w:numFmt w:val="bullet"/>
      <w:lvlText w:val="o"/>
      <w:lvlJc w:val="left"/>
      <w:pPr>
        <w:ind w:left="3802" w:hanging="360"/>
      </w:pPr>
      <w:rPr>
        <w:rFonts w:ascii="Courier New" w:cs="Courier New" w:eastAsia="Courier New" w:hAnsi="Courier New"/>
      </w:rPr>
    </w:lvl>
    <w:lvl w:ilvl="5">
      <w:start w:val="1"/>
      <w:numFmt w:val="bullet"/>
      <w:lvlText w:val="▪"/>
      <w:lvlJc w:val="left"/>
      <w:pPr>
        <w:ind w:left="4522" w:hanging="360"/>
      </w:pPr>
      <w:rPr>
        <w:rFonts w:ascii="Noto Sans Symbols" w:cs="Noto Sans Symbols" w:eastAsia="Noto Sans Symbols" w:hAnsi="Noto Sans Symbols"/>
      </w:rPr>
    </w:lvl>
    <w:lvl w:ilvl="6">
      <w:start w:val="1"/>
      <w:numFmt w:val="bullet"/>
      <w:lvlText w:val="●"/>
      <w:lvlJc w:val="left"/>
      <w:pPr>
        <w:ind w:left="5242" w:hanging="360"/>
      </w:pPr>
      <w:rPr>
        <w:rFonts w:ascii="Noto Sans Symbols" w:cs="Noto Sans Symbols" w:eastAsia="Noto Sans Symbols" w:hAnsi="Noto Sans Symbols"/>
      </w:rPr>
    </w:lvl>
    <w:lvl w:ilvl="7">
      <w:start w:val="1"/>
      <w:numFmt w:val="bullet"/>
      <w:lvlText w:val="o"/>
      <w:lvlJc w:val="left"/>
      <w:pPr>
        <w:ind w:left="5962" w:hanging="360"/>
      </w:pPr>
      <w:rPr>
        <w:rFonts w:ascii="Courier New" w:cs="Courier New" w:eastAsia="Courier New" w:hAnsi="Courier New"/>
      </w:rPr>
    </w:lvl>
    <w:lvl w:ilvl="8">
      <w:start w:val="1"/>
      <w:numFmt w:val="bullet"/>
      <w:lvlText w:val="▪"/>
      <w:lvlJc w:val="left"/>
      <w:pPr>
        <w:ind w:left="6682"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1"/>
      <w:numFmt w:val="decimal"/>
      <w:lvlText w:val="%1."/>
      <w:lvlJc w:val="left"/>
      <w:pPr>
        <w:ind w:left="0" w:firstLine="0"/>
      </w:pPr>
      <w:rPr/>
    </w:lvl>
    <w:lvl w:ilvl="1">
      <w:start w:val="1"/>
      <w:numFmt w:val="upperLetter"/>
      <w:lvlText w:val="%2."/>
      <w:lvlJc w:val="left"/>
      <w:pPr>
        <w:ind w:left="0" w:firstLine="0"/>
      </w:pPr>
      <w:rPr>
        <w:b w:val="0"/>
      </w:rPr>
    </w:lvl>
    <w:lvl w:ilvl="2">
      <w:start w:val="1"/>
      <w:numFmt w:val="decimal"/>
      <w:lvlText w:val="%3)"/>
      <w:lvlJc w:val="left"/>
      <w:pPr>
        <w:ind w:left="0" w:firstLine="0"/>
      </w:pPr>
      <w:rPr>
        <w:i w:val="1"/>
      </w:rPr>
    </w:lvl>
    <w:lvl w:ilvl="3">
      <w:start w:val="1"/>
      <w:numFmt w:val="lowerLetter"/>
      <w:lvlText w:val="%4)"/>
      <w:lvlJc w:val="left"/>
      <w:pPr>
        <w:ind w:left="1152" w:hanging="720"/>
      </w:pPr>
      <w:rPr/>
    </w:lvl>
    <w:lvl w:ilvl="4">
      <w:start w:val="1"/>
      <w:numFmt w:val="decimal"/>
      <w:lvlText w:val="(%5)"/>
      <w:lvlJc w:val="left"/>
      <w:pPr>
        <w:ind w:left="1872" w:hanging="720"/>
      </w:pPr>
      <w:rPr/>
    </w:lvl>
    <w:lvl w:ilvl="5">
      <w:start w:val="1"/>
      <w:numFmt w:val="lowerLetter"/>
      <w:lvlText w:val="(%6)"/>
      <w:lvlJc w:val="left"/>
      <w:pPr>
        <w:ind w:left="2592" w:hanging="720"/>
      </w:pPr>
      <w:rPr/>
    </w:lvl>
    <w:lvl w:ilvl="6">
      <w:start w:val="1"/>
      <w:numFmt w:val="lowerRoman"/>
      <w:lvlText w:val="(%7)"/>
      <w:lvlJc w:val="left"/>
      <w:pPr>
        <w:ind w:left="3312" w:hanging="720"/>
      </w:pPr>
      <w:rPr/>
    </w:lvl>
    <w:lvl w:ilvl="7">
      <w:start w:val="1"/>
      <w:numFmt w:val="lowerLetter"/>
      <w:lvlText w:val="(%8)"/>
      <w:lvlJc w:val="left"/>
      <w:pPr>
        <w:ind w:left="4032" w:hanging="720"/>
      </w:pPr>
      <w:rPr/>
    </w:lvl>
    <w:lvl w:ilvl="8">
      <w:start w:val="1"/>
      <w:numFmt w:val="lowerRoman"/>
      <w:lvlText w:val="(%9)"/>
      <w:lvlJc w:val="left"/>
      <w:pPr>
        <w:ind w:left="4752" w:hanging="720"/>
      </w:pPr>
      <w:rPr/>
    </w:lvl>
  </w:abstractNum>
  <w:abstractNum w:abstractNumId="6">
    <w:lvl w:ilvl="0">
      <w:start w:val="1"/>
      <w:numFmt w:val="decimal"/>
      <w:lvlText w:val="%1."/>
      <w:lvlJc w:val="left"/>
      <w:pPr>
        <w:ind w:left="0" w:firstLine="0"/>
      </w:pPr>
      <w:rPr/>
    </w:lvl>
    <w:lvl w:ilvl="1">
      <w:start w:val="1"/>
      <w:numFmt w:val="upperLetter"/>
      <w:lvlText w:val="%2."/>
      <w:lvlJc w:val="left"/>
      <w:pPr>
        <w:ind w:left="0" w:firstLine="0"/>
      </w:pPr>
      <w:rPr>
        <w:b w:val="0"/>
      </w:rPr>
    </w:lvl>
    <w:lvl w:ilvl="2">
      <w:start w:val="1"/>
      <w:numFmt w:val="decimal"/>
      <w:lvlText w:val="%3)"/>
      <w:lvlJc w:val="left"/>
      <w:pPr>
        <w:ind w:left="0" w:firstLine="0"/>
      </w:pPr>
      <w:rPr>
        <w:i w:val="1"/>
      </w:rPr>
    </w:lvl>
    <w:lvl w:ilvl="3">
      <w:start w:val="1"/>
      <w:numFmt w:val="lowerLetter"/>
      <w:lvlText w:val="%4)"/>
      <w:lvlJc w:val="left"/>
      <w:pPr>
        <w:ind w:left="1152" w:hanging="720"/>
      </w:pPr>
      <w:rPr/>
    </w:lvl>
    <w:lvl w:ilvl="4">
      <w:start w:val="1"/>
      <w:numFmt w:val="decimal"/>
      <w:lvlText w:val="(%5)"/>
      <w:lvlJc w:val="left"/>
      <w:pPr>
        <w:ind w:left="1872" w:hanging="720"/>
      </w:pPr>
      <w:rPr/>
    </w:lvl>
    <w:lvl w:ilvl="5">
      <w:start w:val="1"/>
      <w:numFmt w:val="lowerLetter"/>
      <w:lvlText w:val="(%6)"/>
      <w:lvlJc w:val="left"/>
      <w:pPr>
        <w:ind w:left="2592" w:hanging="720"/>
      </w:pPr>
      <w:rPr/>
    </w:lvl>
    <w:lvl w:ilvl="6">
      <w:start w:val="1"/>
      <w:numFmt w:val="lowerRoman"/>
      <w:lvlText w:val="(%7)"/>
      <w:lvlJc w:val="left"/>
      <w:pPr>
        <w:ind w:left="3312" w:hanging="720"/>
      </w:pPr>
      <w:rPr/>
    </w:lvl>
    <w:lvl w:ilvl="7">
      <w:start w:val="1"/>
      <w:numFmt w:val="lowerLetter"/>
      <w:lvlText w:val="(%8)"/>
      <w:lvlJc w:val="left"/>
      <w:pPr>
        <w:ind w:left="4032" w:hanging="720"/>
      </w:pPr>
      <w:rPr/>
    </w:lvl>
    <w:lvl w:ilvl="8">
      <w:start w:val="1"/>
      <w:numFmt w:val="lowerRoman"/>
      <w:lvlText w:val="(%9)"/>
      <w:lvlJc w:val="left"/>
      <w:pPr>
        <w:ind w:left="4752" w:hanging="72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spacing w:after="80" w:before="240" w:lineRule="auto"/>
      <w:ind w:left="0" w:firstLine="0"/>
      <w:jc w:val="center"/>
    </w:pPr>
    <w:rPr>
      <w:smallCaps w:val="1"/>
    </w:rPr>
  </w:style>
  <w:style w:type="paragraph" w:styleId="Heading2">
    <w:name w:val="heading 2"/>
    <w:basedOn w:val="Normal"/>
    <w:next w:val="Normal"/>
    <w:pPr>
      <w:keepNext w:val="1"/>
      <w:spacing w:after="60" w:before="120" w:lineRule="auto"/>
      <w:ind w:left="0" w:firstLine="0"/>
    </w:pPr>
    <w:rPr>
      <w:i w:val="1"/>
    </w:rPr>
  </w:style>
  <w:style w:type="paragraph" w:styleId="Heading3">
    <w:name w:val="heading 3"/>
    <w:basedOn w:val="Normal"/>
    <w:next w:val="Normal"/>
    <w:pPr>
      <w:keepNext w:val="1"/>
      <w:ind w:left="0" w:firstLine="0"/>
    </w:pPr>
    <w:rPr>
      <w:i w:val="1"/>
    </w:rPr>
  </w:style>
  <w:style w:type="paragraph" w:styleId="Heading4">
    <w:name w:val="heading 4"/>
    <w:basedOn w:val="Normal"/>
    <w:next w:val="Normal"/>
    <w:pPr>
      <w:keepNext w:val="1"/>
      <w:spacing w:after="60" w:before="240" w:lineRule="auto"/>
      <w:ind w:left="1152" w:hanging="720"/>
    </w:pPr>
    <w:rPr>
      <w:i w:val="1"/>
      <w:sz w:val="18"/>
      <w:szCs w:val="18"/>
    </w:rPr>
  </w:style>
  <w:style w:type="paragraph" w:styleId="Heading5">
    <w:name w:val="heading 5"/>
    <w:basedOn w:val="Normal"/>
    <w:next w:val="Normal"/>
    <w:pPr>
      <w:spacing w:after="60" w:before="240" w:lineRule="auto"/>
      <w:ind w:left="1872" w:hanging="720"/>
    </w:pPr>
    <w:rPr>
      <w:sz w:val="18"/>
      <w:szCs w:val="18"/>
    </w:rPr>
  </w:style>
  <w:style w:type="paragraph" w:styleId="Heading6">
    <w:name w:val="heading 6"/>
    <w:basedOn w:val="Normal"/>
    <w:next w:val="Normal"/>
    <w:pPr>
      <w:spacing w:after="60" w:before="240" w:lineRule="auto"/>
      <w:ind w:left="2592" w:hanging="720"/>
    </w:pPr>
    <w:rPr>
      <w:i w:val="1"/>
      <w:sz w:val="16"/>
      <w:szCs w:val="16"/>
    </w:rPr>
  </w:style>
  <w:style w:type="paragraph" w:styleId="Title">
    <w:name w:val="Title"/>
    <w:basedOn w:val="Normal"/>
    <w:next w:val="Normal"/>
    <w:pPr>
      <w:jc w:val="center"/>
    </w:pPr>
    <w:rPr>
      <w:b w:val="1"/>
      <w:smallCaps w:val="1"/>
      <w:sz w:val="32"/>
      <w:szCs w:val="32"/>
    </w:rPr>
  </w:style>
  <w:style w:type="paragraph" w:styleId="Heading7">
    <w:name w:val="heading 7"/>
    <w:basedOn w:val="Normal"/>
    <w:next w:val="Normal"/>
    <w:uiPriority w:val="9"/>
    <w:qFormat w:val="1"/>
    <w:pPr>
      <w:numPr>
        <w:ilvl w:val="6"/>
        <w:numId w:val="1"/>
      </w:numPr>
      <w:spacing w:after="60" w:before="240"/>
      <w:outlineLvl w:val="6"/>
    </w:pPr>
    <w:rPr>
      <w:sz w:val="16"/>
      <w:szCs w:val="16"/>
    </w:rPr>
  </w:style>
  <w:style w:type="paragraph" w:styleId="Heading8">
    <w:name w:val="heading 8"/>
    <w:basedOn w:val="Normal"/>
    <w:next w:val="Normal"/>
    <w:uiPriority w:val="9"/>
    <w:qFormat w:val="1"/>
    <w:pPr>
      <w:numPr>
        <w:ilvl w:val="7"/>
        <w:numId w:val="1"/>
      </w:numPr>
      <w:spacing w:after="60" w:before="240"/>
      <w:outlineLvl w:val="7"/>
    </w:pPr>
    <w:rPr>
      <w:i w:val="1"/>
      <w:iCs w:val="1"/>
      <w:sz w:val="16"/>
      <w:szCs w:val="16"/>
    </w:rPr>
  </w:style>
  <w:style w:type="paragraph" w:styleId="Heading9">
    <w:name w:val="heading 9"/>
    <w:basedOn w:val="Normal"/>
    <w:next w:val="Normal"/>
    <w:uiPriority w:val="9"/>
    <w:qFormat w:val="1"/>
    <w:pPr>
      <w:numPr>
        <w:ilvl w:val="8"/>
        <w:numId w:val="1"/>
      </w:numPr>
      <w:spacing w:after="60" w:before="240"/>
      <w:outlineLvl w:val="8"/>
    </w:pPr>
    <w:rPr>
      <w:sz w:val="16"/>
      <w:szCs w:val="1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Abstract" w:customStyle="1">
    <w:name w:val="Abstract"/>
    <w:basedOn w:val="Normal"/>
    <w:next w:val="Normal"/>
    <w:rsid w:val="00E71CED"/>
    <w:pPr>
      <w:spacing w:before="20"/>
      <w:ind w:firstLine="202"/>
      <w:jc w:val="both"/>
    </w:pPr>
    <w:rPr>
      <w:bCs w:val="1"/>
      <w:i w:val="1"/>
      <w:szCs w:val="18"/>
    </w:rPr>
  </w:style>
  <w:style w:type="character" w:styleId="MemberType" w:customStyle="1">
    <w:name w:val="MemberType"/>
    <w:basedOn w:val="DefaultParagraphFont"/>
    <w:rPr>
      <w:rFonts w:ascii="Times New Roman" w:cs="Times New Roman" w:hAnsi="Times New Roman"/>
      <w:i w:val="1"/>
      <w:iCs w:val="1"/>
      <w:sz w:val="22"/>
      <w:szCs w:val="22"/>
    </w:rPr>
  </w:style>
  <w:style w:type="paragraph" w:styleId="FootnoteText">
    <w:name w:val="footnote text"/>
    <w:basedOn w:val="Normal"/>
    <w:link w:val="FootnoteTextChar"/>
    <w:semiHidden w:val="1"/>
    <w:pPr>
      <w:ind w:firstLine="202"/>
      <w:jc w:val="both"/>
    </w:pPr>
    <w:rPr>
      <w:sz w:val="16"/>
      <w:szCs w:val="16"/>
    </w:rPr>
  </w:style>
  <w:style w:type="paragraph" w:styleId="References" w:customStyle="1">
    <w:name w:val="References"/>
    <w:basedOn w:val="Normal"/>
    <w:pPr>
      <w:numPr>
        <w:numId w:val="12"/>
      </w:numPr>
      <w:jc w:val="both"/>
    </w:pPr>
    <w:rPr>
      <w:sz w:val="16"/>
      <w:szCs w:val="16"/>
    </w:rPr>
  </w:style>
  <w:style w:type="paragraph" w:styleId="IndexTerms" w:customStyle="1">
    <w:name w:val="IndexTerms"/>
    <w:basedOn w:val="Normal"/>
    <w:next w:val="Normal"/>
    <w:rsid w:val="00A5142B"/>
    <w:pPr>
      <w:jc w:val="both"/>
    </w:pPr>
    <w:rPr>
      <w:bCs w:val="1"/>
      <w:i w:val="1"/>
      <w:szCs w:val="18"/>
    </w:rPr>
  </w:style>
  <w:style w:type="character" w:styleId="FootnoteReference">
    <w:name w:val="footnote reference"/>
    <w:basedOn w:val="DefaultParagraphFont"/>
    <w:semiHidden w:val="1"/>
    <w:rPr>
      <w:vertAlign w:val="superscript"/>
    </w:rPr>
  </w:style>
  <w:style w:type="paragraph" w:styleId="Footer">
    <w:name w:val="footer"/>
    <w:basedOn w:val="Normal"/>
    <w:link w:val="FooterChar"/>
    <w:uiPriority w:val="99"/>
    <w:pPr>
      <w:tabs>
        <w:tab w:val="center" w:pos="4320"/>
        <w:tab w:val="right" w:pos="8640"/>
      </w:tabs>
    </w:pPr>
  </w:style>
  <w:style w:type="paragraph" w:styleId="Text" w:customStyle="1">
    <w:name w:val="Text"/>
    <w:basedOn w:val="Normal"/>
    <w:rsid w:val="00E96912"/>
    <w:pPr>
      <w:widowControl w:val="0"/>
      <w:spacing w:line="252" w:lineRule="auto"/>
      <w:ind w:firstLine="202"/>
      <w:jc w:val="both"/>
    </w:pPr>
  </w:style>
  <w:style w:type="paragraph" w:styleId="FigureCaption" w:customStyle="1">
    <w:name w:val="Figure Caption"/>
    <w:basedOn w:val="Normal"/>
    <w:pPr>
      <w:jc w:val="both"/>
    </w:pPr>
    <w:rPr>
      <w:sz w:val="16"/>
      <w:szCs w:val="16"/>
    </w:rPr>
  </w:style>
  <w:style w:type="paragraph" w:styleId="TableTitle" w:customStyle="1">
    <w:name w:val="Table Title"/>
    <w:basedOn w:val="Normal"/>
    <w:pPr>
      <w:jc w:val="center"/>
    </w:pPr>
    <w:rPr>
      <w:smallCaps w:val="1"/>
      <w:sz w:val="16"/>
      <w:szCs w:val="16"/>
    </w:rPr>
  </w:style>
  <w:style w:type="paragraph" w:styleId="ReferenceHead" w:customStyle="1">
    <w:name w:val="Reference Head"/>
    <w:basedOn w:val="Heading1"/>
    <w:link w:val="ReferenceHeadChar"/>
    <w:pPr>
      <w:numPr>
        <w:numId w:val="0"/>
      </w:numPr>
    </w:pPr>
  </w:style>
  <w:style w:type="paragraph" w:styleId="Header">
    <w:name w:val="header"/>
    <w:basedOn w:val="Normal"/>
    <w:link w:val="HeaderChar"/>
    <w:uiPriority w:val="99"/>
    <w:rsid w:val="00F4515A"/>
    <w:pPr>
      <w:tabs>
        <w:tab w:val="center" w:pos="4320"/>
        <w:tab w:val="right" w:pos="8640"/>
      </w:tabs>
    </w:pPr>
  </w:style>
  <w:style w:type="paragraph" w:styleId="Equation" w:customStyle="1">
    <w:name w:val="Equation"/>
    <w:basedOn w:val="Normal"/>
    <w:next w:val="Normal"/>
    <w:pPr>
      <w:widowControl w:val="0"/>
      <w:tabs>
        <w:tab w:val="right" w:pos="5040"/>
      </w:tabs>
      <w:spacing w:line="252" w:lineRule="auto"/>
      <w:jc w:val="both"/>
    </w:p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val="1"/>
    <w:rsid w:val="00DC5FC7"/>
    <w:pPr>
      <w:shd w:color="auto" w:fill="000080" w:val="clear"/>
    </w:pPr>
    <w:rPr>
      <w:rFonts w:ascii="Tahoma" w:cs="Tahoma" w:hAnsi="Tahoma"/>
    </w:rPr>
  </w:style>
  <w:style w:type="paragraph" w:styleId="Pa0" w:customStyle="1">
    <w:name w:val="Pa0"/>
    <w:basedOn w:val="Normal"/>
    <w:next w:val="Normal"/>
    <w:rsid w:val="00426966"/>
    <w:pPr>
      <w:widowControl w:val="0"/>
      <w:adjustRightInd w:val="0"/>
      <w:spacing w:line="241" w:lineRule="atLeast"/>
    </w:pPr>
    <w:rPr>
      <w:rFonts w:ascii="Baskerville" w:hAnsi="Baskerville"/>
      <w:sz w:val="24"/>
      <w:szCs w:val="24"/>
    </w:rPr>
  </w:style>
  <w:style w:type="character" w:styleId="A5" w:customStyle="1">
    <w:name w:val="A5"/>
    <w:rsid w:val="00426966"/>
    <w:rPr>
      <w:color w:val="00529f"/>
      <w:sz w:val="20"/>
      <w:szCs w:val="20"/>
    </w:rPr>
  </w:style>
  <w:style w:type="paragraph" w:styleId="BalloonText">
    <w:name w:val="Balloon Text"/>
    <w:basedOn w:val="Normal"/>
    <w:link w:val="BalloonTextChar"/>
    <w:rsid w:val="00F33D49"/>
    <w:rPr>
      <w:rFonts w:ascii="Tahoma" w:cs="Tahoma" w:hAnsi="Tahoma"/>
      <w:sz w:val="16"/>
      <w:szCs w:val="16"/>
    </w:rPr>
  </w:style>
  <w:style w:type="character" w:styleId="BalloonTextChar" w:customStyle="1">
    <w:name w:val="Balloon Text Char"/>
    <w:basedOn w:val="DefaultParagraphFont"/>
    <w:link w:val="BalloonText"/>
    <w:rsid w:val="00F33D49"/>
    <w:rPr>
      <w:rFonts w:ascii="Tahoma" w:cs="Tahoma" w:hAnsi="Tahoma"/>
      <w:sz w:val="16"/>
      <w:szCs w:val="16"/>
    </w:rPr>
  </w:style>
  <w:style w:type="character" w:styleId="PlaceholderText">
    <w:name w:val="Placeholder Text"/>
    <w:basedOn w:val="DefaultParagraphFont"/>
    <w:uiPriority w:val="99"/>
    <w:semiHidden w:val="1"/>
    <w:rsid w:val="009A1F6E"/>
    <w:rPr>
      <w:color w:val="808080"/>
    </w:rPr>
  </w:style>
  <w:style w:type="paragraph" w:styleId="ParagraphStyle1" w:custom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cs="Formata-Regular" w:hAnsi="Formata-Regular"/>
      <w:color w:val="000000"/>
      <w:szCs w:val="22"/>
      <w:lang w:eastAsia="ja-JP"/>
    </w:rPr>
  </w:style>
  <w:style w:type="character" w:styleId="BodyText1" w:customStyle="1">
    <w:name w:val="Body Text1"/>
    <w:basedOn w:val="DefaultParagraphFont"/>
    <w:uiPriority w:val="99"/>
    <w:rsid w:val="00C82D86"/>
    <w:rPr>
      <w:rFonts w:ascii="Verdana" w:cs="Verdana" w:hAnsi="Verdana"/>
      <w:color w:val="000000"/>
      <w:sz w:val="22"/>
      <w:szCs w:val="22"/>
    </w:rPr>
  </w:style>
  <w:style w:type="character" w:styleId="bodytype" w:customStyle="1">
    <w:name w:val="body type"/>
    <w:basedOn w:val="DefaultParagraphFont"/>
    <w:uiPriority w:val="99"/>
    <w:rsid w:val="00C82D86"/>
    <w:rPr>
      <w:rFonts w:ascii="Formata-Regular" w:cs="Formata-Regular" w:hAnsi="Formata-Regular"/>
      <w:color w:val="000000"/>
      <w:sz w:val="22"/>
      <w:szCs w:val="22"/>
    </w:rPr>
  </w:style>
  <w:style w:type="paragraph" w:styleId="Style1" w:customStyle="1">
    <w:name w:val="Style1"/>
    <w:basedOn w:val="ReferenceHead"/>
    <w:link w:val="Style1Char"/>
    <w:qFormat w:val="1"/>
    <w:rsid w:val="003F52AD"/>
  </w:style>
  <w:style w:type="character" w:styleId="Heading1Char" w:customStyle="1">
    <w:name w:val="Heading 1 Char"/>
    <w:basedOn w:val="DefaultParagraphFont"/>
    <w:link w:val="Heading1"/>
    <w:uiPriority w:val="9"/>
    <w:rsid w:val="005244DE"/>
    <w:rPr>
      <w:smallCaps w:val="1"/>
      <w:sz w:val="22"/>
    </w:rPr>
  </w:style>
  <w:style w:type="character" w:styleId="ReferenceHeadChar" w:customStyle="1">
    <w:name w:val="Reference Head Char"/>
    <w:basedOn w:val="Heading1Char"/>
    <w:link w:val="ReferenceHead"/>
    <w:rsid w:val="003F52AD"/>
    <w:rPr>
      <w:caps w:val="0"/>
      <w:smallCaps w:val="1"/>
      <w:kern w:val="28"/>
      <w:sz w:val="22"/>
    </w:rPr>
  </w:style>
  <w:style w:type="character" w:styleId="Style1Char" w:customStyle="1">
    <w:name w:val="Style1 Char"/>
    <w:basedOn w:val="ReferenceHeadChar"/>
    <w:link w:val="Style1"/>
    <w:rsid w:val="003F52AD"/>
    <w:rPr>
      <w:caps w:val="0"/>
      <w:smallCaps w:val="1"/>
      <w:kern w:val="28"/>
      <w:sz w:val="22"/>
    </w:rPr>
  </w:style>
  <w:style w:type="paragraph" w:styleId="Revision">
    <w:name w:val="Revision"/>
    <w:hidden w:val="1"/>
    <w:uiPriority w:val="99"/>
    <w:semiHidden w:val="1"/>
    <w:rsid w:val="001B36B1"/>
  </w:style>
  <w:style w:type="character" w:styleId="BodyText2" w:customStyle="1">
    <w:name w:val="Body Text2"/>
    <w:basedOn w:val="DefaultParagraphFont"/>
    <w:uiPriority w:val="99"/>
    <w:rsid w:val="004102FE"/>
    <w:rPr>
      <w:rFonts w:ascii="Times New Roman" w:cs="Verdana" w:hAnsi="Times New Roman"/>
      <w:i w:val="0"/>
      <w:color w:val="000000"/>
      <w:sz w:val="22"/>
      <w:szCs w:val="22"/>
    </w:rPr>
  </w:style>
  <w:style w:type="character" w:styleId="Heading2Char" w:customStyle="1">
    <w:name w:val="Heading 2 Char"/>
    <w:basedOn w:val="DefaultParagraphFont"/>
    <w:link w:val="Heading2"/>
    <w:uiPriority w:val="9"/>
    <w:rsid w:val="000A0533"/>
    <w:rPr>
      <w:i w:val="1"/>
      <w:iCs w:val="1"/>
      <w:sz w:val="22"/>
    </w:rPr>
  </w:style>
  <w:style w:type="paragraph" w:styleId="TextL-MAG" w:customStyle="1">
    <w:name w:val="Text L-MAG"/>
    <w:basedOn w:val="Normal"/>
    <w:link w:val="TextL-MAGChar"/>
    <w:qFormat w:val="1"/>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styleId="TextL-MAGChar" w:customStyle="1">
    <w:name w:val="Text L-MAG Char"/>
    <w:basedOn w:val="DefaultParagraphFont"/>
    <w:link w:val="TextL-MAG"/>
    <w:rsid w:val="009C7D17"/>
    <w:rPr>
      <w:rFonts w:ascii="Arial" w:eastAsia="MS Mincho" w:hAnsi="Arial"/>
      <w:sz w:val="18"/>
      <w:szCs w:val="22"/>
      <w:lang w:eastAsia="ja-JP"/>
    </w:rPr>
  </w:style>
  <w:style w:type="character" w:styleId="FooterChar" w:customStyle="1">
    <w:name w:val="Footer Char"/>
    <w:basedOn w:val="DefaultParagraphFont"/>
    <w:link w:val="Footer"/>
    <w:uiPriority w:val="99"/>
    <w:rsid w:val="00D90C10"/>
  </w:style>
  <w:style w:type="character" w:styleId="FootnoteTextChar" w:customStyle="1">
    <w:name w:val="Footnote Text Char"/>
    <w:basedOn w:val="DefaultParagraphFont"/>
    <w:link w:val="FootnoteText"/>
    <w:semiHidden w:val="1"/>
    <w:rsid w:val="00C075EF"/>
    <w:rPr>
      <w:sz w:val="16"/>
      <w:szCs w:val="16"/>
    </w:rPr>
  </w:style>
  <w:style w:type="character" w:styleId="BodyTextIndentChar" w:customStyle="1">
    <w:name w:val="Body Text Indent Char"/>
    <w:basedOn w:val="DefaultParagraphFont"/>
    <w:link w:val="BodyTextIndent"/>
    <w:rsid w:val="003F26BD"/>
    <w:rPr>
      <w:szCs w:val="24"/>
    </w:rPr>
  </w:style>
  <w:style w:type="character" w:styleId="HeaderChar" w:customStyle="1">
    <w:name w:val="Header Char"/>
    <w:basedOn w:val="DefaultParagraphFont"/>
    <w:link w:val="Header"/>
    <w:uiPriority w:val="99"/>
    <w:rsid w:val="00F4515A"/>
  </w:style>
  <w:style w:type="paragraph" w:styleId="ListParagraph">
    <w:name w:val="List Paragraph"/>
    <w:basedOn w:val="Normal"/>
    <w:uiPriority w:val="34"/>
    <w:qFormat w:val="1"/>
    <w:rsid w:val="00A21072"/>
    <w:pPr>
      <w:ind w:left="720"/>
      <w:contextualSpacing w:val="1"/>
    </w:pPr>
  </w:style>
  <w:style w:type="paragraph" w:styleId="AuthorName" w:customStyle="1">
    <w:name w:val="Author Name"/>
    <w:basedOn w:val="Normal"/>
    <w:qFormat w:val="1"/>
    <w:rsid w:val="008B08EF"/>
    <w:pPr>
      <w:jc w:val="center"/>
    </w:pPr>
    <w:rPr>
      <w:b w:val="1"/>
      <w:sz w:val="24"/>
      <w:szCs w:val="24"/>
    </w:rPr>
  </w:style>
  <w:style w:type="table" w:styleId="TableGrid">
    <w:name w:val="Table Grid"/>
    <w:basedOn w:val="TableNormal"/>
    <w:rsid w:val="00D267B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itleChar" w:customStyle="1">
    <w:name w:val="Title Char"/>
    <w:basedOn w:val="DefaultParagraphFont"/>
    <w:link w:val="Title"/>
    <w:rsid w:val="00FF1DDE"/>
    <w:rPr>
      <w:b w:val="1"/>
      <w:caps w:val="1"/>
      <w:kern w:val="28"/>
      <w:sz w:val="32"/>
      <w:szCs w:val="48"/>
    </w:rPr>
  </w:style>
  <w:style w:type="character" w:styleId="UnresolvedMention">
    <w:name w:val="Unresolved Mention"/>
    <w:basedOn w:val="DefaultParagraphFont"/>
    <w:uiPriority w:val="99"/>
    <w:semiHidden w:val="1"/>
    <w:unhideWhenUsed w:val="1"/>
    <w:rsid w:val="009E70E4"/>
    <w:rPr>
      <w:color w:val="605e5c"/>
      <w:shd w:color="auto" w:fill="e1dfdd" w:val="clear"/>
    </w:rPr>
  </w:style>
  <w:style w:type="table" w:styleId="PlainTable2">
    <w:name w:val="Plain Table 2"/>
    <w:basedOn w:val="TableNormal"/>
    <w:rsid w:val="006A5EE2"/>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22" Type="http://schemas.openxmlformats.org/officeDocument/2006/relationships/header" Target="header1.xml"/><Relationship Id="rId21" Type="http://schemas.openxmlformats.org/officeDocument/2006/relationships/header" Target="header3.xml"/><Relationship Id="rId24" Type="http://schemas.openxmlformats.org/officeDocument/2006/relationships/footer" Target="footer3.xml"/><Relationship Id="rId23" Type="http://schemas.openxmlformats.org/officeDocument/2006/relationships/footer" Target="footer2.xml"/><Relationship Id="rId1" Type="http://schemas.openxmlformats.org/officeDocument/2006/relationships/image" Target="media/image1.wmf"/><Relationship Id="rId2" Type="http://schemas.openxmlformats.org/officeDocument/2006/relationships/oleObject" Target="embeddings/oleObject1.bin"/><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ustomXml" Target="../customXML/item1.xml"/><Relationship Id="rId25"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styles" Target="styles.xml"/><Relationship Id="rId11" Type="http://schemas.openxmlformats.org/officeDocument/2006/relationships/hyperlink" Target="mailto:second.author@email.com2" TargetMode="External"/><Relationship Id="rId10" Type="http://schemas.openxmlformats.org/officeDocument/2006/relationships/hyperlink" Target="mailto:first.author@email.com1" TargetMode="External"/><Relationship Id="rId13" Type="http://schemas.openxmlformats.org/officeDocument/2006/relationships/hyperlink" Target="mailto:third.author@email.com" TargetMode="External"/><Relationship Id="rId12" Type="http://schemas.openxmlformats.org/officeDocument/2006/relationships/hyperlink" Target="mailto:second.author@email.com2" TargetMode="External"/><Relationship Id="rId15" Type="http://schemas.openxmlformats.org/officeDocument/2006/relationships/hyperlink" Target="http://www.atm.com/" TargetMode="External"/><Relationship Id="rId14" Type="http://schemas.openxmlformats.org/officeDocument/2006/relationships/image" Target="media/image2.png"/><Relationship Id="rId17" Type="http://schemas.openxmlformats.org/officeDocument/2006/relationships/hyperlink" Target="http://home.process.com/Intranets/wp2.htp" TargetMode="External"/><Relationship Id="rId16" Type="http://schemas.openxmlformats.org/officeDocument/2006/relationships/hyperlink" Target="http://www.halcyon.com/pub/journals/21ps03-vidmar" TargetMode="External"/><Relationship Id="rId19" Type="http://schemas.openxmlformats.org/officeDocument/2006/relationships/hyperlink" Target="mailto:HUMANIST@NYVM.ORG" TargetMode="External"/><Relationship Id="rId18" Type="http://schemas.openxmlformats.org/officeDocument/2006/relationships/hyperlink" Target="http://www.amdahl.com/doc/products/bsg/intra/infra/html" TargetMode="External"/><Relationship Id="rId26" Type="http://schemas.openxmlformats.org/officeDocument/2006/relationships/image" Target="media/image3.png"/><Relationship Id="rId27" Type="http://schemas.openxmlformats.org/officeDocument/2006/relationships/image" Target="media/image5.png"/><Relationship Id="rId28"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_rels/header3.xml.rels><?xml version='1.0' encoding='UTF-8' standalone='yes'?>
<Relationships xmlns="http://schemas.openxmlformats.org/package/2006/relationships"><Relationship Id="rId3"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fPPYdjAu+1u/k8+pLdLCS/bkxQ==">CgMxLjA4AHIhMVVDWUZEdExGdWNVZlFHRjhnZFNldC16aWs5eEdyTHhT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2012-11-22T07:14:00Z</dcterms:created>
  <dc:creator>-</dc:creator>
</cp:coreProperties>
</file>