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C48" w:rsidRPr="00EF45A3" w:rsidRDefault="00EF45A3" w:rsidP="000A0C48">
      <w:pPr>
        <w:rPr>
          <w:sz w:val="28"/>
          <w:szCs w:val="28"/>
        </w:rPr>
      </w:pPr>
      <w:r w:rsidRPr="00EF45A3">
        <w:rPr>
          <w:sz w:val="28"/>
          <w:szCs w:val="28"/>
        </w:rPr>
        <w:t>3.</w:t>
      </w:r>
    </w:p>
    <w:p w:rsidR="000A0C48" w:rsidRPr="00906B07" w:rsidRDefault="000A0C48" w:rsidP="00906B07">
      <w:pPr>
        <w:jc w:val="both"/>
        <w:rPr>
          <w:sz w:val="28"/>
          <w:szCs w:val="28"/>
        </w:rPr>
      </w:pPr>
      <w:r w:rsidRPr="00906B07">
        <w:rPr>
          <w:sz w:val="28"/>
          <w:szCs w:val="28"/>
        </w:rPr>
        <w:t>We used Lagrangian method to determine the dynamic model of the system which is given in the previous section. Now it is time to linearize the system.</w:t>
      </w:r>
    </w:p>
    <w:p w:rsidR="000A0C48" w:rsidRDefault="000A0C48" w:rsidP="00906B07">
      <w:pPr>
        <w:jc w:val="both"/>
        <w:rPr>
          <w:sz w:val="28"/>
          <w:szCs w:val="28"/>
        </w:rPr>
      </w:pPr>
      <w:r w:rsidRPr="00906B07">
        <w:rPr>
          <w:sz w:val="28"/>
          <w:szCs w:val="28"/>
        </w:rPr>
        <w:t xml:space="preserve">The general state space model of the system is </w:t>
      </w:r>
      <w:r w:rsidR="00906B07" w:rsidRPr="00906B07">
        <w:rPr>
          <w:position w:val="-6"/>
          <w:sz w:val="28"/>
          <w:szCs w:val="28"/>
        </w:rPr>
        <w:object w:dxaOrig="198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9.4pt;height:16.2pt" o:ole="">
            <v:imagedata r:id="rId4" o:title=""/>
          </v:shape>
          <o:OLEObject Type="Embed" ProgID="Equation.DSMT4" ShapeID="_x0000_i1025" DrawAspect="Content" ObjectID="_1699375037" r:id="rId5"/>
        </w:object>
      </w:r>
      <w:r w:rsidR="00906B07" w:rsidRPr="00906B07">
        <w:rPr>
          <w:sz w:val="28"/>
          <w:szCs w:val="28"/>
        </w:rPr>
        <w:t>where</w:t>
      </w:r>
      <w:r w:rsidR="00906B07" w:rsidRPr="00906B07">
        <w:rPr>
          <w:position w:val="-4"/>
          <w:sz w:val="28"/>
          <w:szCs w:val="28"/>
        </w:rPr>
        <w:object w:dxaOrig="260" w:dyaOrig="220">
          <v:shape id="_x0000_i1026" type="#_x0000_t75" style="width:12.6pt;height:10.8pt" o:ole="">
            <v:imagedata r:id="rId6" o:title=""/>
          </v:shape>
          <o:OLEObject Type="Embed" ProgID="Equation.DSMT4" ShapeID="_x0000_i1026" DrawAspect="Content" ObjectID="_1699375038" r:id="rId7"/>
        </w:object>
      </w:r>
      <w:r w:rsidR="00906B07" w:rsidRPr="00906B07">
        <w:rPr>
          <w:sz w:val="28"/>
          <w:szCs w:val="28"/>
        </w:rPr>
        <w:t xml:space="preserve">, is the state variable, </w:t>
      </w:r>
      <w:r w:rsidR="00906B07" w:rsidRPr="00906B07">
        <w:rPr>
          <w:position w:val="-6"/>
          <w:sz w:val="28"/>
          <w:szCs w:val="28"/>
        </w:rPr>
        <w:object w:dxaOrig="240" w:dyaOrig="240">
          <v:shape id="_x0000_i1027" type="#_x0000_t75" style="width:12pt;height:12pt" o:ole="">
            <v:imagedata r:id="rId8" o:title=""/>
          </v:shape>
          <o:OLEObject Type="Embed" ProgID="Equation.DSMT4" ShapeID="_x0000_i1027" DrawAspect="Content" ObjectID="_1699375039" r:id="rId9"/>
        </w:object>
      </w:r>
      <w:r w:rsidR="00906B07" w:rsidRPr="00906B07">
        <w:rPr>
          <w:sz w:val="28"/>
          <w:szCs w:val="28"/>
        </w:rPr>
        <w:t xml:space="preserve">is the control vector and </w:t>
      </w:r>
      <w:r w:rsidR="00906B07" w:rsidRPr="00906B07">
        <w:rPr>
          <w:position w:val="-12"/>
          <w:sz w:val="28"/>
          <w:szCs w:val="28"/>
        </w:rPr>
        <w:object w:dxaOrig="800" w:dyaOrig="360">
          <v:shape id="_x0000_i1028" type="#_x0000_t75" style="width:40.2pt;height:18.6pt" o:ole="">
            <v:imagedata r:id="rId10" o:title=""/>
          </v:shape>
          <o:OLEObject Type="Embed" ProgID="Equation.DSMT4" ShapeID="_x0000_i1028" DrawAspect="Content" ObjectID="_1699375040" r:id="rId11"/>
        </w:object>
      </w:r>
      <w:r w:rsidR="00906B07" w:rsidRPr="00906B07">
        <w:rPr>
          <w:sz w:val="28"/>
          <w:szCs w:val="28"/>
        </w:rPr>
        <w:t>are controllable parameters.</w:t>
      </w:r>
    </w:p>
    <w:p w:rsidR="00906B07" w:rsidRDefault="00906B07" w:rsidP="00906B07">
      <w:pPr>
        <w:jc w:val="both"/>
        <w:rPr>
          <w:sz w:val="28"/>
          <w:szCs w:val="28"/>
        </w:rPr>
      </w:pPr>
      <w:r>
        <w:rPr>
          <w:sz w:val="28"/>
          <w:szCs w:val="28"/>
        </w:rPr>
        <w:t>By quadratic infinite-time cost function, the linear optimal feedback control solution is:</w:t>
      </w:r>
    </w:p>
    <w:p w:rsidR="00906B07" w:rsidRDefault="00906B07" w:rsidP="00906B07">
      <w:pPr>
        <w:jc w:val="center"/>
      </w:pPr>
      <w:r w:rsidRPr="006C78B5">
        <w:rPr>
          <w:position w:val="-6"/>
        </w:rPr>
        <w:object w:dxaOrig="1820" w:dyaOrig="360">
          <v:shape id="_x0000_i1029" type="#_x0000_t75" style="width:91.2pt;height:18.6pt" o:ole="">
            <v:imagedata r:id="rId12" o:title=""/>
          </v:shape>
          <o:OLEObject Type="Embed" ProgID="Equation.DSMT4" ShapeID="_x0000_i1029" DrawAspect="Content" ObjectID="_1699375041" r:id="rId13"/>
        </w:object>
      </w:r>
    </w:p>
    <w:p w:rsidR="001C7E1A" w:rsidRPr="001C7E1A" w:rsidRDefault="001C7E1A" w:rsidP="001C7E1A">
      <w:pPr>
        <w:rPr>
          <w:sz w:val="28"/>
          <w:szCs w:val="28"/>
        </w:rPr>
      </w:pPr>
      <w:r w:rsidRPr="001C7E1A">
        <w:rPr>
          <w:sz w:val="28"/>
          <w:szCs w:val="28"/>
        </w:rPr>
        <w:t>By implementing the above equation in the state space model we will have:</w:t>
      </w:r>
    </w:p>
    <w:p w:rsidR="001C7E1A" w:rsidRDefault="001C7E1A" w:rsidP="001C7E1A">
      <w:pPr>
        <w:jc w:val="center"/>
      </w:pPr>
      <w:r w:rsidRPr="006C78B5">
        <w:rPr>
          <w:position w:val="-10"/>
        </w:rPr>
        <w:object w:dxaOrig="4800" w:dyaOrig="400">
          <v:shape id="_x0000_i1030" type="#_x0000_t75" style="width:240pt;height:20.4pt" o:ole="">
            <v:imagedata r:id="rId14" o:title=""/>
          </v:shape>
          <o:OLEObject Type="Embed" ProgID="Equation.DSMT4" ShapeID="_x0000_i1030" DrawAspect="Content" ObjectID="_1699375042" r:id="rId15"/>
        </w:object>
      </w:r>
    </w:p>
    <w:p w:rsidR="001C7E1A" w:rsidRPr="001C7E1A" w:rsidRDefault="001C7E1A" w:rsidP="002F1D5C">
      <w:pPr>
        <w:jc w:val="both"/>
        <w:rPr>
          <w:sz w:val="28"/>
          <w:szCs w:val="28"/>
        </w:rPr>
      </w:pPr>
      <w:r>
        <w:rPr>
          <w:sz w:val="28"/>
          <w:szCs w:val="28"/>
        </w:rPr>
        <w:t>This equation is stable controlled system.</w:t>
      </w:r>
    </w:p>
    <w:p w:rsidR="00906B07" w:rsidRPr="00906B07" w:rsidRDefault="00906B07" w:rsidP="002F1D5C">
      <w:pPr>
        <w:jc w:val="both"/>
        <w:rPr>
          <w:rFonts w:cstheme="minorHAnsi"/>
          <w:sz w:val="28"/>
          <w:szCs w:val="28"/>
        </w:rPr>
      </w:pPr>
      <w:r w:rsidRPr="00906B07">
        <w:rPr>
          <w:rFonts w:ascii="Cambria Math" w:hAnsi="Cambria Math" w:cs="Cambria Math"/>
          <w:sz w:val="28"/>
          <w:szCs w:val="28"/>
        </w:rPr>
        <w:t>𝑹</w:t>
      </w:r>
      <w:r w:rsidRPr="00906B07">
        <w:rPr>
          <w:rFonts w:cstheme="minorHAnsi"/>
          <w:sz w:val="28"/>
          <w:szCs w:val="28"/>
        </w:rPr>
        <w:t xml:space="preserve"> is a weighting matrix and </w:t>
      </w:r>
      <w:r w:rsidRPr="00906B07">
        <w:rPr>
          <w:rFonts w:ascii="Cambria Math" w:hAnsi="Cambria Math" w:cs="Cambria Math"/>
          <w:sz w:val="28"/>
          <w:szCs w:val="28"/>
        </w:rPr>
        <w:t>𝑷</w:t>
      </w:r>
      <w:r w:rsidRPr="00906B07">
        <w:rPr>
          <w:rFonts w:cstheme="minorHAnsi"/>
          <w:sz w:val="28"/>
          <w:szCs w:val="28"/>
        </w:rPr>
        <w:t xml:space="preserve"> is a positive-definite Hermitian or real symmetric matrix</w:t>
      </w:r>
      <w:r>
        <w:rPr>
          <w:rFonts w:cstheme="minorHAnsi"/>
          <w:sz w:val="28"/>
          <w:szCs w:val="28"/>
        </w:rPr>
        <w:t>.</w:t>
      </w:r>
      <w:r w:rsidRPr="00906B07">
        <w:rPr>
          <w:rFonts w:cstheme="minorHAnsi"/>
          <w:sz w:val="28"/>
          <w:szCs w:val="28"/>
        </w:rPr>
        <w:t xml:space="preserve"> </w:t>
      </w:r>
      <w:r w:rsidRPr="00906B07">
        <w:rPr>
          <w:rFonts w:ascii="Cambria Math" w:hAnsi="Cambria Math" w:cs="Cambria Math"/>
          <w:sz w:val="28"/>
          <w:szCs w:val="28"/>
        </w:rPr>
        <w:t>𝑷</w:t>
      </w:r>
      <w:r w:rsidRPr="00906B07">
        <w:rPr>
          <w:rFonts w:cstheme="minorHAnsi"/>
          <w:sz w:val="28"/>
          <w:szCs w:val="28"/>
        </w:rPr>
        <w:t xml:space="preserve"> satisfies the</w:t>
      </w:r>
      <w:r>
        <w:rPr>
          <w:rFonts w:cstheme="minorHAnsi"/>
          <w:sz w:val="28"/>
          <w:szCs w:val="28"/>
        </w:rPr>
        <w:t xml:space="preserve"> </w:t>
      </w:r>
      <w:r w:rsidRPr="00906B07">
        <w:rPr>
          <w:rFonts w:cstheme="minorHAnsi"/>
          <w:sz w:val="28"/>
          <w:szCs w:val="28"/>
        </w:rPr>
        <w:t>algebraic Riccati equation:</w:t>
      </w:r>
    </w:p>
    <w:p w:rsidR="00906B07" w:rsidRDefault="00906B07" w:rsidP="00906B07">
      <w:pPr>
        <w:jc w:val="center"/>
      </w:pPr>
      <w:r w:rsidRPr="006C78B5">
        <w:rPr>
          <w:position w:val="-26"/>
        </w:rPr>
        <w:object w:dxaOrig="4740" w:dyaOrig="700">
          <v:shape id="_x0000_i1031" type="#_x0000_t75" style="width:237pt;height:34.8pt" o:ole="">
            <v:imagedata r:id="rId16" o:title=""/>
          </v:shape>
          <o:OLEObject Type="Embed" ProgID="Equation.DSMT4" ShapeID="_x0000_i1031" DrawAspect="Content" ObjectID="_1699375043" r:id="rId17"/>
        </w:object>
      </w:r>
    </w:p>
    <w:p w:rsidR="002F1D5C" w:rsidRPr="00705B83" w:rsidRDefault="001C7E1A" w:rsidP="00705B83">
      <w:pPr>
        <w:jc w:val="both"/>
        <w:rPr>
          <w:sz w:val="28"/>
          <w:szCs w:val="28"/>
          <w:lang w:bidi="fa-IR"/>
        </w:rPr>
      </w:pPr>
      <w:r>
        <w:rPr>
          <w:sz w:val="28"/>
          <w:szCs w:val="28"/>
        </w:rPr>
        <w:t>To linearize</w:t>
      </w:r>
      <w:r w:rsidR="002F1D5C">
        <w:rPr>
          <w:sz w:val="28"/>
          <w:szCs w:val="28"/>
        </w:rPr>
        <w:t xml:space="preserve"> the system we have to define a </w:t>
      </w:r>
      <w:r w:rsidR="002F1D5C" w:rsidRPr="002F1D5C">
        <w:rPr>
          <w:sz w:val="28"/>
          <w:szCs w:val="28"/>
          <w:lang w:bidi="fa-IR"/>
        </w:rPr>
        <w:t>quiescent point</w:t>
      </w:r>
      <w:r w:rsidR="002F1D5C">
        <w:rPr>
          <w:sz w:val="28"/>
          <w:szCs w:val="28"/>
          <w:lang w:bidi="fa-IR"/>
        </w:rPr>
        <w:t xml:space="preserve">. In the case of two inverted pendulum and cart system the quiescent point is </w:t>
      </w:r>
      <w:r w:rsidR="002F1D5C" w:rsidRPr="002F1D5C">
        <w:rPr>
          <w:sz w:val="28"/>
          <w:szCs w:val="28"/>
          <w:lang w:bidi="fa-IR"/>
        </w:rPr>
        <w:t>when the inverted pendulums are kept in a</w:t>
      </w:r>
      <w:r w:rsidR="002F1D5C">
        <w:rPr>
          <w:sz w:val="28"/>
          <w:szCs w:val="28"/>
          <w:lang w:bidi="fa-IR"/>
        </w:rPr>
        <w:t xml:space="preserve"> </w:t>
      </w:r>
      <w:r w:rsidR="002F1D5C" w:rsidRPr="002F1D5C">
        <w:rPr>
          <w:sz w:val="28"/>
          <w:szCs w:val="28"/>
          <w:lang w:bidi="fa-IR"/>
        </w:rPr>
        <w:t>small neighborhood of the vertical upright position.</w:t>
      </w:r>
      <w:r w:rsidR="002F1D5C">
        <w:rPr>
          <w:sz w:val="28"/>
          <w:szCs w:val="28"/>
          <w:lang w:bidi="fa-IR"/>
        </w:rPr>
        <w:t xml:space="preserve"> Therefore</w:t>
      </w:r>
      <w:r w:rsidR="00705B83">
        <w:rPr>
          <w:sz w:val="28"/>
          <w:szCs w:val="28"/>
          <w:lang w:bidi="fa-IR"/>
        </w:rPr>
        <w:t xml:space="preserve">, </w:t>
      </w:r>
      <w:r w:rsidR="00705B83" w:rsidRPr="006C78B5">
        <w:rPr>
          <w:position w:val="-12"/>
        </w:rPr>
        <w:object w:dxaOrig="1060" w:dyaOrig="380">
          <v:shape id="_x0000_i1032" type="#_x0000_t75" style="width:53.4pt;height:19.2pt" o:ole="">
            <v:imagedata r:id="rId18" o:title=""/>
          </v:shape>
          <o:OLEObject Type="Embed" ProgID="Equation.DSMT4" ShapeID="_x0000_i1032" DrawAspect="Content" ObjectID="_1699375044" r:id="rId19"/>
        </w:object>
      </w:r>
      <w:r w:rsidR="00705B83">
        <w:rPr>
          <w:sz w:val="28"/>
          <w:szCs w:val="28"/>
        </w:rPr>
        <w:t xml:space="preserve">and </w:t>
      </w:r>
      <w:r w:rsidR="00705B83" w:rsidRPr="006C78B5">
        <w:rPr>
          <w:position w:val="-12"/>
        </w:rPr>
        <w:object w:dxaOrig="320" w:dyaOrig="380">
          <v:shape id="_x0000_i1033" type="#_x0000_t75" style="width:15.6pt;height:19.2pt" o:ole="">
            <v:imagedata r:id="rId20" o:title=""/>
          </v:shape>
          <o:OLEObject Type="Embed" ProgID="Equation.DSMT4" ShapeID="_x0000_i1033" DrawAspect="Content" ObjectID="_1699375045" r:id="rId21"/>
        </w:object>
      </w:r>
      <w:r w:rsidR="00705B83">
        <w:t xml:space="preserve"> </w:t>
      </w:r>
      <w:r w:rsidR="00705B83">
        <w:rPr>
          <w:sz w:val="28"/>
          <w:szCs w:val="28"/>
        </w:rPr>
        <w:t>are small. Thus:</w:t>
      </w:r>
    </w:p>
    <w:p w:rsidR="00705B83" w:rsidRDefault="00705B83" w:rsidP="002F1D5C">
      <w:r w:rsidRPr="006C78B5">
        <w:rPr>
          <w:position w:val="-12"/>
        </w:rPr>
        <w:object w:dxaOrig="9279" w:dyaOrig="420">
          <v:shape id="_x0000_i1034" type="#_x0000_t75" style="width:463.8pt;height:21pt" o:ole="">
            <v:imagedata r:id="rId22" o:title=""/>
          </v:shape>
          <o:OLEObject Type="Embed" ProgID="Equation.DSMT4" ShapeID="_x0000_i1034" DrawAspect="Content" ObjectID="_1699375046" r:id="rId23"/>
        </w:object>
      </w:r>
    </w:p>
    <w:p w:rsidR="00705B83" w:rsidRDefault="00705B83" w:rsidP="00705B83">
      <w:pPr>
        <w:jc w:val="center"/>
        <w:rPr>
          <w:sz w:val="28"/>
          <w:szCs w:val="28"/>
        </w:rPr>
      </w:pPr>
      <w:r w:rsidRPr="006C78B5">
        <w:rPr>
          <w:position w:val="-12"/>
        </w:rPr>
        <w:object w:dxaOrig="1939" w:dyaOrig="420">
          <v:shape id="_x0000_i1035" type="#_x0000_t75" style="width:97.2pt;height:21pt" o:ole="">
            <v:imagedata r:id="rId24" o:title=""/>
          </v:shape>
          <o:OLEObject Type="Embed" ProgID="Equation.DSMT4" ShapeID="_x0000_i1035" DrawAspect="Content" ObjectID="_1699375047" r:id="rId25"/>
        </w:object>
      </w:r>
      <w: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Pr="006C78B5">
        <w:rPr>
          <w:position w:val="-12"/>
        </w:rPr>
        <w:object w:dxaOrig="5160" w:dyaOrig="420">
          <v:shape id="_x0000_i1036" type="#_x0000_t75" style="width:258pt;height:21pt" o:ole="">
            <v:imagedata r:id="rId26" o:title=""/>
          </v:shape>
          <o:OLEObject Type="Embed" ProgID="Equation.DSMT4" ShapeID="_x0000_i1036" DrawAspect="Content" ObjectID="_1699375048" r:id="rId27"/>
        </w:object>
      </w:r>
    </w:p>
    <w:p w:rsidR="002F1D5C" w:rsidRDefault="002F1D5C" w:rsidP="00705B8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Then the linearized state-space model can be simplified</w:t>
      </w:r>
      <w:r w:rsidR="00705B83">
        <w:rPr>
          <w:sz w:val="28"/>
          <w:szCs w:val="28"/>
          <w:lang w:bidi="fa-IR"/>
        </w:rPr>
        <w:t xml:space="preserve"> as:</w:t>
      </w:r>
    </w:p>
    <w:p w:rsidR="00705B83" w:rsidRDefault="00705B83" w:rsidP="00705B83">
      <w:pPr>
        <w:rPr>
          <w:sz w:val="28"/>
          <w:szCs w:val="28"/>
          <w:lang w:bidi="fa-IR"/>
        </w:rPr>
      </w:pPr>
    </w:p>
    <w:p w:rsidR="00705B83" w:rsidRDefault="00705B83" w:rsidP="00705B83">
      <w:r w:rsidRPr="006C78B5">
        <w:rPr>
          <w:position w:val="-180"/>
        </w:rPr>
        <w:object w:dxaOrig="5800" w:dyaOrig="3739">
          <v:shape id="_x0000_i1037" type="#_x0000_t75" style="width:289.8pt;height:186.6pt" o:ole="">
            <v:imagedata r:id="rId28" o:title=""/>
          </v:shape>
          <o:OLEObject Type="Embed" ProgID="Equation.DSMT4" ShapeID="_x0000_i1037" DrawAspect="Content" ObjectID="_1699375049" r:id="rId29"/>
        </w:object>
      </w:r>
      <w:r>
        <w:t xml:space="preserve"> </w:t>
      </w:r>
      <w:proofErr w:type="gramStart"/>
      <w:r>
        <w:rPr>
          <w:sz w:val="28"/>
          <w:szCs w:val="28"/>
        </w:rPr>
        <w:t>and</w:t>
      </w:r>
      <w:proofErr w:type="gramEnd"/>
      <w:r>
        <w:rPr>
          <w:sz w:val="28"/>
          <w:szCs w:val="28"/>
        </w:rPr>
        <w:t xml:space="preserve"> </w:t>
      </w:r>
      <w:r w:rsidRPr="006C78B5">
        <w:rPr>
          <w:position w:val="-160"/>
        </w:rPr>
        <w:object w:dxaOrig="1640" w:dyaOrig="3340">
          <v:shape id="_x0000_i1038" type="#_x0000_t75" style="width:81.6pt;height:167.4pt" o:ole="">
            <v:imagedata r:id="rId30" o:title=""/>
          </v:shape>
          <o:OLEObject Type="Embed" ProgID="Equation.DSMT4" ShapeID="_x0000_i1038" DrawAspect="Content" ObjectID="_1699375050" r:id="rId31"/>
        </w:object>
      </w:r>
    </w:p>
    <w:p w:rsidR="00705B83" w:rsidRDefault="00705B83" w:rsidP="00705B83">
      <w:proofErr w:type="gramStart"/>
      <w:r>
        <w:rPr>
          <w:sz w:val="28"/>
          <w:szCs w:val="28"/>
        </w:rPr>
        <w:t xml:space="preserve">And </w:t>
      </w:r>
      <w:proofErr w:type="gramEnd"/>
      <w:r w:rsidRPr="006C78B5">
        <w:rPr>
          <w:position w:val="-12"/>
        </w:rPr>
        <w:object w:dxaOrig="5220" w:dyaOrig="420">
          <v:shape id="_x0000_i1039" type="#_x0000_t75" style="width:261pt;height:21pt" o:ole="">
            <v:imagedata r:id="rId32" o:title=""/>
          </v:shape>
          <o:OLEObject Type="Embed" ProgID="Equation.DSMT4" ShapeID="_x0000_i1039" DrawAspect="Content" ObjectID="_1699375051" r:id="rId33"/>
        </w:object>
      </w:r>
      <w:r>
        <w:t>.</w:t>
      </w:r>
    </w:p>
    <w:p w:rsidR="00705B83" w:rsidRDefault="00705B83" w:rsidP="00535C24">
      <w:pPr>
        <w:jc w:val="both"/>
        <w:rPr>
          <w:sz w:val="28"/>
          <w:szCs w:val="28"/>
        </w:rPr>
      </w:pPr>
      <w:r w:rsidRPr="00705B83">
        <w:rPr>
          <w:sz w:val="28"/>
          <w:szCs w:val="28"/>
        </w:rPr>
        <w:t>The linear models represent the systems adequately when the starting positions of the inverted pendulums</w:t>
      </w:r>
      <w:r w:rsidR="00535C24">
        <w:rPr>
          <w:sz w:val="28"/>
          <w:szCs w:val="28"/>
        </w:rPr>
        <w:t xml:space="preserve"> </w:t>
      </w:r>
      <w:r w:rsidRPr="00705B83">
        <w:rPr>
          <w:sz w:val="28"/>
          <w:szCs w:val="28"/>
        </w:rPr>
        <w:t>are near the vertical upright positions. Because the linear optimal feedback controlled systems are stable at</w:t>
      </w:r>
      <w:r w:rsidR="00535C24">
        <w:rPr>
          <w:sz w:val="28"/>
          <w:szCs w:val="28"/>
        </w:rPr>
        <w:t xml:space="preserve"> </w:t>
      </w:r>
      <w:r w:rsidRPr="00705B83">
        <w:rPr>
          <w:sz w:val="28"/>
          <w:szCs w:val="28"/>
        </w:rPr>
        <w:t xml:space="preserve">the equilibriums where </w:t>
      </w:r>
      <w:r w:rsidRPr="00705B83">
        <w:rPr>
          <w:rFonts w:ascii="Cambria Math" w:hAnsi="Cambria Math" w:cs="Cambria Math"/>
          <w:sz w:val="28"/>
          <w:szCs w:val="28"/>
        </w:rPr>
        <w:t>𝒙</w:t>
      </w:r>
      <w:r w:rsidRPr="00705B83">
        <w:rPr>
          <w:sz w:val="28"/>
          <w:szCs w:val="28"/>
        </w:rPr>
        <w:t xml:space="preserve"> = 0, the linear representations of the systems will always be valid as long as the</w:t>
      </w:r>
      <w:r w:rsidR="00535C24">
        <w:rPr>
          <w:sz w:val="28"/>
          <w:szCs w:val="28"/>
        </w:rPr>
        <w:t xml:space="preserve"> </w:t>
      </w:r>
      <w:r w:rsidRPr="00705B83">
        <w:rPr>
          <w:sz w:val="28"/>
          <w:szCs w:val="28"/>
        </w:rPr>
        <w:t xml:space="preserve">initial positions are within a small </w:t>
      </w:r>
      <w:r w:rsidR="00535C24" w:rsidRPr="00705B83">
        <w:rPr>
          <w:sz w:val="28"/>
          <w:szCs w:val="28"/>
        </w:rPr>
        <w:t>neighborhood</w:t>
      </w:r>
      <w:r w:rsidRPr="00705B83">
        <w:rPr>
          <w:sz w:val="28"/>
          <w:szCs w:val="28"/>
        </w:rPr>
        <w:t xml:space="preserve"> of the vertical upright position.</w:t>
      </w:r>
    </w:p>
    <w:p w:rsidR="00EF45A3" w:rsidRDefault="00EF45A3" w:rsidP="00535C24">
      <w:pPr>
        <w:jc w:val="both"/>
        <w:rPr>
          <w:sz w:val="28"/>
          <w:szCs w:val="28"/>
        </w:rPr>
      </w:pPr>
      <w:r>
        <w:rPr>
          <w:sz w:val="28"/>
          <w:szCs w:val="28"/>
        </w:rPr>
        <w:t>4.</w:t>
      </w:r>
    </w:p>
    <w:p w:rsidR="00535C24" w:rsidRDefault="00535C24" w:rsidP="00535C24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>:</w:t>
      </w:r>
    </w:p>
    <w:p w:rsidR="00535C24" w:rsidRDefault="00DB1C3C" w:rsidP="00DB1C3C">
      <w:pPr>
        <w:rPr>
          <w:sz w:val="28"/>
          <w:szCs w:val="28"/>
        </w:rPr>
      </w:pPr>
      <w:r>
        <w:rPr>
          <w:sz w:val="28"/>
          <w:szCs w:val="28"/>
        </w:rPr>
        <w:t xml:space="preserve">First we obtained the state space form of the system by the use of </w:t>
      </w:r>
      <w:proofErr w:type="spellStart"/>
      <w:r>
        <w:rPr>
          <w:sz w:val="28"/>
          <w:szCs w:val="28"/>
        </w:rPr>
        <w:t>ss</w:t>
      </w:r>
      <w:proofErr w:type="spellEnd"/>
      <w:r>
        <w:rPr>
          <w:sz w:val="28"/>
          <w:szCs w:val="28"/>
        </w:rPr>
        <w:t xml:space="preserve"> function in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. With state space variable the transfer function matrix can be derived. For the Jordan normal form we used Jordan function in </w:t>
      </w:r>
      <w:proofErr w:type="spellStart"/>
      <w:r>
        <w:rPr>
          <w:sz w:val="28"/>
          <w:szCs w:val="28"/>
        </w:rPr>
        <w:t>matlab</w:t>
      </w:r>
      <w:proofErr w:type="spellEnd"/>
      <w:r>
        <w:rPr>
          <w:sz w:val="28"/>
          <w:szCs w:val="28"/>
        </w:rPr>
        <w:t xml:space="preserve"> and the result are shown below. With the Jordan normal form, new state space variables are obtained.</w:t>
      </w:r>
    </w:p>
    <w:p w:rsidR="00DB1C3C" w:rsidRDefault="00DB1C3C" w:rsidP="00DB1C3C">
      <w:pPr>
        <w:rPr>
          <w:sz w:val="28"/>
          <w:szCs w:val="28"/>
          <w:rtl/>
          <w:lang w:bidi="fa-IR"/>
        </w:rPr>
      </w:pPr>
      <w:r>
        <w:rPr>
          <w:sz w:val="28"/>
          <w:szCs w:val="28"/>
        </w:rPr>
        <w:t>In the figure below we can see eigenvalues of A in the form of 6</w:t>
      </w:r>
      <w:r>
        <w:rPr>
          <w:rFonts w:cstheme="minorHAnsi"/>
          <w:sz w:val="28"/>
          <w:szCs w:val="28"/>
        </w:rPr>
        <w:t>×</w:t>
      </w:r>
      <w:r>
        <w:rPr>
          <w:sz w:val="28"/>
          <w:szCs w:val="28"/>
        </w:rPr>
        <w:t xml:space="preserve">1 matrix. </w:t>
      </w:r>
    </w:p>
    <w:p w:rsidR="00DB1C3C" w:rsidRDefault="00DB1C3C" w:rsidP="00DB1C3C">
      <w:pPr>
        <w:rPr>
          <w:sz w:val="28"/>
          <w:szCs w:val="28"/>
        </w:rPr>
      </w:pPr>
      <w:r>
        <w:rPr>
          <w:sz w:val="28"/>
          <w:szCs w:val="28"/>
          <w:lang w:bidi="fa-IR"/>
        </w:rPr>
        <w:t>The system is not stable. (</w:t>
      </w:r>
      <w:proofErr w:type="spellStart"/>
      <w:proofErr w:type="gramStart"/>
      <w:r>
        <w:rPr>
          <w:sz w:val="28"/>
          <w:szCs w:val="28"/>
          <w:lang w:bidi="fa-IR"/>
        </w:rPr>
        <w:t>isstable</w:t>
      </w:r>
      <w:proofErr w:type="spellEnd"/>
      <w:proofErr w:type="gramEnd"/>
      <w:r>
        <w:rPr>
          <w:sz w:val="28"/>
          <w:szCs w:val="28"/>
          <w:lang w:bidi="fa-IR"/>
        </w:rPr>
        <w:t xml:space="preserve"> function in </w:t>
      </w:r>
      <w:proofErr w:type="spellStart"/>
      <w:r>
        <w:rPr>
          <w:sz w:val="28"/>
          <w:szCs w:val="28"/>
          <w:lang w:bidi="fa-IR"/>
        </w:rPr>
        <w:t>Matlab</w:t>
      </w:r>
      <w:proofErr w:type="spellEnd"/>
      <w:r>
        <w:rPr>
          <w:sz w:val="28"/>
          <w:szCs w:val="28"/>
          <w:lang w:bidi="fa-IR"/>
        </w:rPr>
        <w:t>)</w:t>
      </w:r>
      <w:r>
        <w:rPr>
          <w:sz w:val="28"/>
          <w:szCs w:val="28"/>
        </w:rPr>
        <w:t xml:space="preserve"> </w:t>
      </w:r>
    </w:p>
    <w:p w:rsidR="00535C24" w:rsidRDefault="00535C24" w:rsidP="00DB1C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3107410" cy="490125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8925" cy="4919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193F" w:rsidRDefault="00D1193F" w:rsidP="00535C24">
      <w:pPr>
        <w:rPr>
          <w:sz w:val="28"/>
          <w:szCs w:val="28"/>
        </w:rPr>
      </w:pPr>
      <w:r w:rsidRPr="00D1193F">
        <w:rPr>
          <w:sz w:val="28"/>
          <w:szCs w:val="28"/>
        </w:rPr>
        <w:t>The transfer function matrix is:</w:t>
      </w:r>
    </w:p>
    <w:p w:rsidR="00D1193F" w:rsidRDefault="00161E43" w:rsidP="00161E4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4221480" cy="16383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JP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48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E43" w:rsidRDefault="00161E43" w:rsidP="00161E43">
      <w:pPr>
        <w:rPr>
          <w:sz w:val="28"/>
          <w:szCs w:val="28"/>
        </w:rPr>
      </w:pPr>
      <w:bookmarkStart w:id="0" w:name="_GoBack"/>
      <w:bookmarkEnd w:id="0"/>
    </w:p>
    <w:p w:rsidR="00535C24" w:rsidRDefault="00535C24" w:rsidP="00535C24">
      <w:pPr>
        <w:rPr>
          <w:sz w:val="28"/>
          <w:szCs w:val="28"/>
        </w:rPr>
      </w:pPr>
      <w:r>
        <w:rPr>
          <w:sz w:val="28"/>
          <w:szCs w:val="28"/>
        </w:rPr>
        <w:t>To obtain the Jordan normal form:</w:t>
      </w:r>
    </w:p>
    <w:p w:rsidR="00535C24" w:rsidRDefault="00535C24" w:rsidP="00DB1C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577840" cy="4786135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683"/>
                    <a:stretch/>
                  </pic:blipFill>
                  <pic:spPr bwMode="auto">
                    <a:xfrm>
                      <a:off x="0" y="0"/>
                      <a:ext cx="5577840" cy="4786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5C24" w:rsidRDefault="00D1193F" w:rsidP="00535C24">
      <w:pPr>
        <w:rPr>
          <w:sz w:val="28"/>
          <w:szCs w:val="28"/>
        </w:rPr>
      </w:pPr>
      <w:r>
        <w:rPr>
          <w:sz w:val="28"/>
          <w:szCs w:val="28"/>
        </w:rPr>
        <w:t>The new form of state space variables will be:</w:t>
      </w:r>
    </w:p>
    <w:p w:rsidR="00EF45A3" w:rsidRDefault="00EF45A3" w:rsidP="00D1193F">
      <w:pPr>
        <w:jc w:val="center"/>
        <w:rPr>
          <w:sz w:val="28"/>
          <w:szCs w:val="28"/>
        </w:rPr>
      </w:pPr>
    </w:p>
    <w:p w:rsidR="00EF45A3" w:rsidRDefault="00EF45A3" w:rsidP="00D1193F">
      <w:pPr>
        <w:jc w:val="center"/>
        <w:rPr>
          <w:sz w:val="28"/>
          <w:szCs w:val="28"/>
        </w:rPr>
      </w:pPr>
    </w:p>
    <w:p w:rsidR="00D1193F" w:rsidRDefault="00D1193F" w:rsidP="00DB1C3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820642" cy="49052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5147" cy="4919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A3" w:rsidRDefault="00EF45A3" w:rsidP="00EF45A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5.</w:t>
      </w:r>
    </w:p>
    <w:p w:rsidR="00EF45A3" w:rsidRDefault="00EF45A3" w:rsidP="00EF45A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The transfer function is:</w:t>
      </w:r>
    </w:p>
    <w:p w:rsidR="00EF45A3" w:rsidRDefault="00EF45A3" w:rsidP="00EF45A3">
      <w:pPr>
        <w:jc w:val="center"/>
        <w:rPr>
          <w:sz w:val="28"/>
          <w:szCs w:val="28"/>
          <w:lang w:bidi="fa-IR"/>
        </w:rPr>
      </w:pPr>
    </w:p>
    <w:p w:rsidR="00EF45A3" w:rsidRDefault="00EF45A3" w:rsidP="00EF45A3">
      <w:pPr>
        <w:jc w:val="center"/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130040" cy="22326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.JP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5A3" w:rsidRDefault="00EF45A3" w:rsidP="00EF45A3">
      <w:pPr>
        <w:rPr>
          <w:sz w:val="28"/>
          <w:szCs w:val="28"/>
          <w:lang w:bidi="fa-IR"/>
        </w:rPr>
      </w:pPr>
      <w:r>
        <w:rPr>
          <w:sz w:val="28"/>
          <w:szCs w:val="28"/>
          <w:lang w:bidi="fa-IR"/>
        </w:rPr>
        <w:t>The pole zero map:</w:t>
      </w:r>
    </w:p>
    <w:p w:rsidR="00EF45A3" w:rsidRDefault="00EF45A3" w:rsidP="00EF45A3">
      <w:pPr>
        <w:rPr>
          <w:sz w:val="28"/>
          <w:szCs w:val="28"/>
          <w:lang w:bidi="fa-IR"/>
        </w:rPr>
      </w:pPr>
      <w:r>
        <w:rPr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24" w:rsidRPr="00705B83" w:rsidRDefault="00535C24" w:rsidP="00535C24">
      <w:pPr>
        <w:rPr>
          <w:sz w:val="28"/>
          <w:szCs w:val="28"/>
        </w:rPr>
      </w:pPr>
    </w:p>
    <w:sectPr w:rsidR="00535C24" w:rsidRPr="00705B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C48"/>
    <w:rsid w:val="000A0C48"/>
    <w:rsid w:val="00161E43"/>
    <w:rsid w:val="001C7E1A"/>
    <w:rsid w:val="0025099D"/>
    <w:rsid w:val="002F1D5C"/>
    <w:rsid w:val="00535C24"/>
    <w:rsid w:val="00705B83"/>
    <w:rsid w:val="00906B07"/>
    <w:rsid w:val="00B16FEB"/>
    <w:rsid w:val="00D1193F"/>
    <w:rsid w:val="00DB1C3C"/>
    <w:rsid w:val="00EF4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A771A"/>
  <w15:chartTrackingRefBased/>
  <w15:docId w15:val="{1FA84D93-1266-423C-AD65-9C9AEA356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87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26" Type="http://schemas.openxmlformats.org/officeDocument/2006/relationships/image" Target="media/image12.wmf"/><Relationship Id="rId39" Type="http://schemas.openxmlformats.org/officeDocument/2006/relationships/image" Target="media/image21.png"/><Relationship Id="rId21" Type="http://schemas.openxmlformats.org/officeDocument/2006/relationships/oleObject" Target="embeddings/oleObject9.bin"/><Relationship Id="rId34" Type="http://schemas.openxmlformats.org/officeDocument/2006/relationships/image" Target="media/image16.JPG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image" Target="media/image9.wmf"/><Relationship Id="rId29" Type="http://schemas.openxmlformats.org/officeDocument/2006/relationships/oleObject" Target="embeddings/oleObject13.bin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image" Target="media/image19.JPG"/><Relationship Id="rId40" Type="http://schemas.openxmlformats.org/officeDocument/2006/relationships/fontTable" Target="fontTable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image" Target="media/image18.JPG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JPG"/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2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6</Pages>
  <Words>361</Words>
  <Characters>2061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Mahban Jafari</dc:creator>
  <cp:keywords/>
  <dc:description/>
  <cp:lastModifiedBy>Mahban Jafari</cp:lastModifiedBy>
  <cp:revision>2</cp:revision>
  <dcterms:created xsi:type="dcterms:W3CDTF">2021-11-25T12:08:00Z</dcterms:created>
  <dcterms:modified xsi:type="dcterms:W3CDTF">2021-11-25T16:21:00Z</dcterms:modified>
</cp:coreProperties>
</file>