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S4 Inter reviewer coding agreement</w:t>
      </w:r>
    </w:p>
    <w:p>
      <w:pPr>
        <w:pStyle w:val="Subtitle"/>
      </w:pPr>
      <w:r>
        <w:t>Federated learning in intelligent transportation systems</w:t>
      </w:r>
    </w:p>
    <w:p>
      <w:r>
        <w:t>Two reviewers independently coded the studies, and disagreements were resolved by consensus. This supplement reports the binary agreement comparison for 60 dual-coded records.</w:t>
      </w:r>
    </w:p>
    <w:p>
      <w:pPr>
        <w:pStyle w:val="Heading1"/>
      </w:pPr>
      <w:r>
        <w:t>Reviewer classifications</w:t>
      </w:r>
    </w:p>
    <w:p>
      <w:r>
        <w:t>Table S4.1 cross-tabulates the reviewers’ classifications before consensus. Reviewer A assigned 30 records to each category; Reviewer B assigned 28 records to the positive category and 32 to the negative category. The reviewers agreed on 50 records and disagreed on 10.</w:t>
      </w:r>
    </w:p>
    <w:p>
      <w:pPr>
        <w:keepNext/>
        <w:spacing w:before="100"/>
      </w:pPr>
      <w:r>
        <w:rPr>
          <w:b/>
        </w:rPr>
        <w:t>Table S4.1 Cross classification of independent reviewer ratings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Reviewer A</w:t>
            </w:r>
          </w:p>
        </w:tc>
        <w:tc>
          <w:tcPr>
            <w:tcW w:type="dxa" w:w="2304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Reviewer B yes</w:t>
            </w:r>
          </w:p>
        </w:tc>
        <w:tc>
          <w:tcPr>
            <w:tcW w:type="dxa" w:w="2304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Reviewer B no</w:t>
            </w:r>
          </w:p>
        </w:tc>
        <w:tc>
          <w:tcPr>
            <w:tcW w:type="dxa" w:w="2304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A=yes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A=no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Column total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30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</w:t>
            </w:r>
          </w:p>
        </w:tc>
      </w:tr>
    </w:tbl>
    <w:p>
      <w:pPr>
        <w:spacing w:after="0"/>
      </w:pPr>
    </w:p>
    <w:p>
      <w:pPr>
        <w:pStyle w:val="Heading1"/>
      </w:pPr>
      <w:r>
        <w:t>Agreement estimates</w:t>
      </w:r>
    </w:p>
    <w:p>
      <w:r>
        <w:t>Observed agreement was 50/60 = 0.833, equivalent to 83.3%. Expected agreement under independence was [(30 × 28) + (30 × 32)]/60² = 0.500. Cohen’s kappa was therefore (0.8333 − 0.500)/(1 − 0.500) = 0.667.</w:t>
      </w:r>
    </w:p>
    <w:p>
      <w:r>
        <w:t>This estimate pertains to the binary comparison in Table S4.1. It does not provide separate reliability estimates for each taxonomy dimension or application label.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sz w:val="18"/>
      </w:rPr>
      <w:t>Supplementary material S4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Times New Roman" w:hAnsi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 Inter reviewer coding agreement</dc:title>
  <dc:subject>Federated learning in intelligent transportation systems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