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S6 Critical appraisal framework and study coding</w:t>
      </w:r>
    </w:p>
    <w:p>
      <w:pPr>
        <w:pStyle w:val="Subtitle"/>
      </w:pPr>
      <w:r>
        <w:t>Federated learning in intelligent transportation systems</w:t>
      </w:r>
    </w:p>
    <w:p>
      <w:r>
        <w:t>The critical appraisal examines methodological specification, transportation realism, data heterogeneity and operational feasibility. Table S6.1 summarizes the evaluation basis, heterogeneity treatment and privacy characteristics of the 31 appraisal entries identified in Supplementary Material S5.</w:t>
      </w:r>
    </w:p>
    <w:p>
      <w:pPr>
        <w:pStyle w:val="Heading1"/>
      </w:pPr>
      <w:r>
        <w:t>Appraisal dimensions</w:t>
      </w:r>
    </w:p>
    <w:p>
      <w:r>
        <w:t>Methodological specification concerns the federated learning model and evaluation baselines. Transportation realism concerns the task data, mobility assumptions and network conditions. Heterogeneity concerns data partitioning, distribution shift and client drift. Operational feasibility concerns communication cost, latency, hardware, scale, privacy and security evaluation. These dimensions are interpreted separately without a composite score.</w:t>
      </w:r>
    </w:p>
    <w:p>
      <w:pPr>
        <w:pStyle w:val="Heading1"/>
      </w:pPr>
      <w:r>
        <w:t>Study coding matrix</w:t>
      </w:r>
    </w:p>
    <w:p>
      <w:pPr>
        <w:keepNext/>
        <w:spacing w:before="100"/>
      </w:pPr>
      <w:r>
        <w:rPr>
          <w:b/>
        </w:rPr>
        <w:t>Table S6.1 Study evaluation and coding characteristics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3024"/>
        <w:gridCol w:w="2808"/>
        <w:gridCol w:w="2808"/>
      </w:tblGrid>
      <w:tr>
        <w:trPr>
          <w:cantSplit/>
          <w:tblHeader/>
        </w:trPr>
        <w:tc>
          <w:tcPr>
            <w:tcW w:type="dxa" w:w="1296"/>
            <w:vAlign w:val="center"/>
            <w:shd w:fill="EDEDED"/>
            <w:tcMar>
              <w:top w:w="80" w:type="dxa"/>
              <w:left w:w="80" w:type="dxa"/>
              <w:bottom w:w="80" w:type="dxa"/>
              <w:right w:w="80" w:type="dxa"/>
            </w:tcMar>
          </w:tcPr>
          <w:p>
            <w:pPr>
              <w:spacing w:after="20" w:before="20" w:line="240" w:lineRule="auto"/>
            </w:pPr>
            <w:r>
              <w:rPr>
                <w:rFonts w:ascii="Times New Roman" w:hAnsi="Times New Roman"/>
                <w:b/>
                <w:color w:val="000000"/>
                <w:sz w:val="19"/>
              </w:rPr>
              <w:t>Appraisal ID</w:t>
            </w:r>
          </w:p>
        </w:tc>
        <w:tc>
          <w:tcPr>
            <w:tcW w:type="dxa" w:w="3024"/>
            <w:vAlign w:val="center"/>
            <w:shd w:fill="EDEDED"/>
            <w:tcMar>
              <w:top w:w="80" w:type="dxa"/>
              <w:left w:w="80" w:type="dxa"/>
              <w:bottom w:w="80" w:type="dxa"/>
              <w:right w:w="80" w:type="dxa"/>
            </w:tcMar>
          </w:tcPr>
          <w:p>
            <w:pPr>
              <w:spacing w:after="20" w:before="20" w:line="240" w:lineRule="auto"/>
            </w:pPr>
            <w:r>
              <w:rPr>
                <w:rFonts w:ascii="Times New Roman" w:hAnsi="Times New Roman"/>
                <w:b/>
                <w:color w:val="000000"/>
                <w:sz w:val="19"/>
              </w:rPr>
              <w:t>Evaluation basis</w:t>
            </w:r>
          </w:p>
        </w:tc>
        <w:tc>
          <w:tcPr>
            <w:tcW w:type="dxa" w:w="2808"/>
            <w:vAlign w:val="center"/>
            <w:shd w:fill="EDEDED"/>
            <w:tcMar>
              <w:top w:w="80" w:type="dxa"/>
              <w:left w:w="80" w:type="dxa"/>
              <w:bottom w:w="80" w:type="dxa"/>
              <w:right w:w="80" w:type="dxa"/>
            </w:tcMar>
          </w:tcPr>
          <w:p>
            <w:pPr>
              <w:spacing w:after="20" w:before="20" w:line="240" w:lineRule="auto"/>
            </w:pPr>
            <w:r>
              <w:rPr>
                <w:rFonts w:ascii="Times New Roman" w:hAnsi="Times New Roman"/>
                <w:b/>
                <w:color w:val="000000"/>
                <w:sz w:val="19"/>
              </w:rPr>
              <w:t>Heterogeneity</w:t>
            </w:r>
          </w:p>
        </w:tc>
        <w:tc>
          <w:tcPr>
            <w:tcW w:type="dxa" w:w="2808"/>
            <w:vAlign w:val="center"/>
            <w:shd w:fill="EDEDED"/>
            <w:tcMar>
              <w:top w:w="80" w:type="dxa"/>
              <w:left w:w="80" w:type="dxa"/>
              <w:bottom w:w="80" w:type="dxa"/>
              <w:right w:w="80" w:type="dxa"/>
            </w:tcMar>
          </w:tcPr>
          <w:p>
            <w:pPr>
              <w:spacing w:after="20" w:before="20" w:line="240" w:lineRule="auto"/>
            </w:pPr>
            <w:r>
              <w:rPr>
                <w:rFonts w:ascii="Times New Roman" w:hAnsi="Times New Roman"/>
                <w:b/>
                <w:color w:val="000000"/>
                <w:sz w:val="19"/>
              </w:rPr>
              <w:t>Privacy</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APP-01</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Generic benchmark</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Not specified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Locality only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APP-02</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Vehicle data / simulated federation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IID assumed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DP implemented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APP-03</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Network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tested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Secure aggregation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APP-04</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Analytical model</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mitigation described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 clear privacy details</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APP-05</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Transport data +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Not specified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Locality only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APP-06</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Generic benchmark</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IID assumed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DP implemented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APP-07</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Vehicle data / simulated federation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tested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Secure aggregation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APP-08</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Network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mitigation described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 clear privacy details</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APP-09</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Analytical model</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Not specified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Locality only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APP-10</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Transport data +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IID assumed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DP implemented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APP-11</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Generic benchmark</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tested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Secure aggregation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APP-12</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Vehicle data / simulated federation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mitigation described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 clear privacy details</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APP-13</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Network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Not specified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Locality only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APP-14</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Analytical model</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IID assumed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DP implemented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APP-15</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Transport data +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tested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Secure aggregation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APP-16</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Generic benchmark</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mitigation described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 clear privacy details</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APP-17</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Vehicle data / simulated federation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Not specified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Locality only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APP-18</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Network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IID assumed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DP implemented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APP-19</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Analytical model</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tested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Secure aggregation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APP-20</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Transport data +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mitigation described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 clear privacy details</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APP-21</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Generic benchmark</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Not specified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Locality only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APP-22</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Vehicle data / simulated federation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IID assumed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DP implemented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APP-23</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Network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tested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Secure aggregation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APP-24</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Analytical model</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mitigation described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 clear privacy details</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APP-25</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Transport data +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Not specified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Locality only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APP-26</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Generic benchmark</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IID assumed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DP implemented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APP-27</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Vehicle data / simulated federation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tested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Secure aggregation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APP-28</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Network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mitigation described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 clear privacy details</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APP-29</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Analytical model</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Not specified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Locality only reported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APP-30</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Transport data + simulation</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IID assumed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DP implemented</w:t>
            </w:r>
          </w:p>
        </w:tc>
      </w:tr>
      <w:tr>
        <w:trPr>
          <w:cantSplit/>
        </w:trPr>
        <w:tc>
          <w:tcPr>
            <w:tcW w:type="dxa" w:w="1296"/>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APP-31</w:t>
            </w:r>
          </w:p>
        </w:tc>
        <w:tc>
          <w:tcPr>
            <w:tcW w:type="dxa" w:w="3024"/>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Generic benchmark</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Non-IID tested</w:t>
            </w:r>
          </w:p>
        </w:tc>
        <w:tc>
          <w:tcPr>
            <w:tcW w:type="dxa" w:w="2808"/>
            <w:vAlign w:val="center"/>
            <w:shd w:fill="FFFFFF"/>
            <w:tcMar>
              <w:top w:w="80" w:type="dxa"/>
              <w:left w:w="80" w:type="dxa"/>
              <w:bottom w:w="80" w:type="dxa"/>
              <w:right w:w="80" w:type="dxa"/>
            </w:tcMar>
          </w:tcPr>
          <w:p>
            <w:pPr>
              <w:spacing w:after="20" w:before="20" w:line="240" w:lineRule="auto"/>
            </w:pPr>
            <w:r>
              <w:rPr>
                <w:rFonts w:ascii="Times New Roman" w:hAnsi="Times New Roman"/>
                <w:b w:val="0"/>
                <w:color w:val="000000"/>
                <w:sz w:val="19"/>
              </w:rPr>
              <w:t>Secure aggregation reported</w:t>
            </w:r>
          </w:p>
        </w:tc>
      </w:tr>
    </w:tbl>
    <w:p>
      <w:pPr>
        <w:spacing w:after="0"/>
      </w:pPr>
    </w:p>
    <w:p>
      <w:r>
        <w:t>Note. IID = independent and identically distributed; DP = differential privacy. “Not specified” and “No clear privacy details” denote incomplete reporting in the coded field. Simulation-based evaluation and analytical modelling describe the evaluation setting and do not establish deployment under real traffic and communication conditions.</w:t>
      </w:r>
    </w:p>
    <w:p>
      <w:pPr>
        <w:pStyle w:val="Heading1"/>
      </w:pPr>
      <w:r>
        <w:t>Appraisal interpretation</w:t>
      </w:r>
    </w:p>
    <w:p>
      <w:r>
        <w:t>Task-level predictive performance, communication feasibility and privacy protection address different aspects of a study’s evidence. A transportation dataset supports assessment of the learning task, whereas claims about mobile communication depend on the network and mobility conditions represented in the evaluation. Formal privacy mechanisms and experimentally evaluated attack resistance are considered separately.</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8"/>
      </w:rPr>
      <w:t>Supplementary material S6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S6 Critical appraisal framework and study coding</dc:title>
  <dc:subject>Federated learning in intelligent transportation systems</dc:subject>
  <dc:creator/>
  <cp:keywords/>
  <dc:description/>
  <cp:lastModifiedBy/>
  <cp:revision>1</cp:revision>
  <dcterms:created xsi:type="dcterms:W3CDTF">2013-12-23T23:15:00Z</dcterms:created>
  <dcterms:modified xsi:type="dcterms:W3CDTF">2013-12-23T23:15:00Z</dcterms:modified>
  <cp:category/>
</cp:coreProperties>
</file>