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S7 Sensitivity to search boundaries</w:t>
      </w:r>
    </w:p>
    <w:p>
      <w:pPr>
        <w:pStyle w:val="Subtitle"/>
      </w:pPr>
      <w:r>
        <w:t>Federated learning in intelligent transportation systems</w:t>
      </w:r>
    </w:p>
    <w:p>
      <w:r>
        <w:t>The reference corpus contains 691 eligible journal articles and reviews. This supplement examines sensitivity to two search boundaries: the exclusion of energy-related terms and the restriction to journal publications.</w:t>
      </w:r>
    </w:p>
    <w:p>
      <w:pPr>
        <w:pStyle w:val="Heading1"/>
      </w:pPr>
      <w:r>
        <w:t>Sensitivity comparisons</w:t>
      </w:r>
    </w:p>
    <w:p>
      <w:r>
        <w:t>The energy-related comparisons remove the smart-grid exclusion, the power-system exclusion, or both exclusions. The conference comparison expands the document-type boundary to include peer-reviewed conference proceedings. Additional records are reported after deduplication, with eligibility determined by relevance to federated learning in intelligent transportation systems.</w:t>
      </w:r>
    </w:p>
    <w:p>
      <w:pPr>
        <w:keepNext/>
        <w:spacing w:before="100"/>
      </w:pPr>
      <w:r>
        <w:rPr>
          <w:b/>
        </w:rPr>
        <w:t>Table S7.1 Sensitivity of retrieval and eligibility to search boundaries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1944"/>
        <w:gridCol w:w="1944"/>
        <w:gridCol w:w="2736"/>
      </w:tblGrid>
      <w:tr>
        <w:trPr>
          <w:cantSplit/>
          <w:tblHeader/>
        </w:trPr>
        <w:tc>
          <w:tcPr>
            <w:tcW w:type="dxa" w:w="3312"/>
            <w:vAlign w:val="center"/>
            <w:shd w:fill="EDEDE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Search modification</w:t>
            </w:r>
          </w:p>
        </w:tc>
        <w:tc>
          <w:tcPr>
            <w:tcW w:type="dxa" w:w="1944"/>
            <w:vAlign w:val="center"/>
            <w:shd w:fill="EDEDE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Additional unique records</w:t>
            </w:r>
          </w:p>
        </w:tc>
        <w:tc>
          <w:tcPr>
            <w:tcW w:type="dxa" w:w="1944"/>
            <w:vAlign w:val="center"/>
            <w:shd w:fill="EDEDE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Newly eligible studies</w:t>
            </w:r>
          </w:p>
        </w:tc>
        <w:tc>
          <w:tcPr>
            <w:tcW w:type="dxa" w:w="2736"/>
            <w:vAlign w:val="center"/>
            <w:shd w:fill="EDEDED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Coverage implication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Remove smart-grid exclusion</w:t>
            </w:r>
          </w:p>
        </w:tc>
        <w:tc>
          <w:tcPr>
            <w:tcW w:type="dxa" w:w="1944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84</w:t>
            </w:r>
          </w:p>
        </w:tc>
        <w:tc>
          <w:tcPr>
            <w:tcW w:type="dxa" w:w="1944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2736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Potential EV energy omission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Remove power-system exclusion</w:t>
            </w:r>
          </w:p>
        </w:tc>
        <w:tc>
          <w:tcPr>
            <w:tcW w:type="dxa" w:w="1944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61</w:t>
            </w:r>
          </w:p>
        </w:tc>
        <w:tc>
          <w:tcPr>
            <w:tcW w:type="dxa" w:w="1944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736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Potential EV energy omission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Remove both (combined, non-additive)</w:t>
            </w:r>
          </w:p>
        </w:tc>
        <w:tc>
          <w:tcPr>
            <w:tcW w:type="dxa" w:w="1944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118</w:t>
            </w:r>
          </w:p>
        </w:tc>
        <w:tc>
          <w:tcPr>
            <w:tcW w:type="dxa" w:w="1944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2736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Overlap prevents summing rows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Include peer-reviewed conference proceedings</w:t>
            </w:r>
          </w:p>
        </w:tc>
        <w:tc>
          <w:tcPr>
            <w:tcW w:type="dxa" w:w="1944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415</w:t>
            </w:r>
          </w:p>
        </w:tc>
        <w:tc>
          <w:tcPr>
            <w:tcW w:type="dxa" w:w="1944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146</w:t>
            </w:r>
          </w:p>
        </w:tc>
        <w:tc>
          <w:tcPr>
            <w:tcW w:type="dxa" w:w="2736"/>
            <w:vAlign w:val="center"/>
            <w:shd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Journal-only coverage boundary</w:t>
            </w:r>
          </w:p>
        </w:tc>
      </w:tr>
    </w:tbl>
    <w:p>
      <w:pPr>
        <w:spacing w:after="0"/>
      </w:pPr>
    </w:p>
    <w:p>
      <w:pPr>
        <w:pStyle w:val="Heading1"/>
      </w:pPr>
      <w:r>
        <w:t>Effect of energy related exclusions</w:t>
      </w:r>
    </w:p>
    <w:p>
      <w:r>
        <w:t>Removing the smart-grid exclusion yielded 84 additional unique records, of which 19 were eligible. Removing the power-system exclusion yielded 61 additional unique records, including 12 eligible studies. Removing both exclusions yielded 118 additional unique records and 25 eligible studies. The combined result is non-additive because the two searches overlap.</w:t>
      </w:r>
    </w:p>
    <w:p>
      <w:r>
        <w:t>The 25 additional eligible studies correspond to a 3.6% increase relative to the reference corpus and a combined total of 716 publications. EV charging and energy studies account for approximately 3% of the reference corpus. A revised EV proportion is not estimated from this rounded baseline percentage because the exact baseline category count is required.</w:t>
      </w:r>
    </w:p>
    <w:p>
      <w:pPr>
        <w:pStyle w:val="Heading1"/>
      </w:pPr>
      <w:r>
        <w:t>Effect of the publication type boundary</w:t>
      </w:r>
    </w:p>
    <w:p>
      <w:r>
        <w:t>Including peer-reviewed conference proceedings yielded 415 additional unique records, of which 146 were eligible. These 146 studies correspond to 21.1% of the reference corpus size. The conference comparison is interpreted separately because it extends the journal-only document-type scope of the primary analysis.</w:t>
      </w:r>
    </w:p>
    <w:p>
      <w:pPr>
        <w:pStyle w:val="Heading1"/>
      </w:pPr>
      <w:r>
        <w:t>Implications for coverage</w:t>
      </w:r>
    </w:p>
    <w:p>
      <w:r>
        <w:t>The energy-related comparisons indicate that exclusion terms can affect retrieval of transportation studies involving energy applications. The conference comparison identifies a larger body of eligible literature outside the journal-only scope. Conclusions about the relative coverage of application areas therefore depend on the stated topic and publication-type boundaries.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sz w:val="18"/>
      </w:rPr>
      <w:t>Supplementary material S7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cstheme="majorBidi" w:ascii="Times New Roman" w:hAnsi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S7 Sensitivity to search boundaries</dc:title>
  <dc:subject>Federated learning in intelligent transportation systems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