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Unsafe overtaking among professional intercity bus drivers</w:t>
      </w:r>
    </w:p>
    <w:p>
      <w:r>
        <w:rPr>
          <w:color w:val="0C7D77"/>
        </w:rPr>
        <w:t>PROPOSAL DEFENSE  |  EXPERT AND COGNITIVE REVIEW COPY</w:t>
      </w:r>
    </w:p>
    <w:p>
      <w:r>
        <w:rPr>
          <w:color w:val="5B6977"/>
        </w:rPr>
        <w:t>Item-by-item analytical justification for exactly 45 retained questions; no extra exploratory items without a prespecified RQ/RO role.</w:t>
      </w:r>
    </w:p>
    <w:tbl>
      <w:tblPr>
        <w:tblW w:type="auto" w:w="0"/>
        <w:jc w:val="center"/>
        <w:tblLayout w:type="fixed"/>
        <w:tblLook w:firstColumn="1" w:firstRow="1" w:lastColumn="0" w:lastRow="0" w:noHBand="0" w:noVBand="1" w:val="04A0"/>
      </w:tblPr>
      <w:tblGrid>
        <w:gridCol w:w="4917"/>
        <w:gridCol w:w="4917"/>
      </w:tblGrid>
      <w:tr>
        <w:tc>
          <w:tcPr>
            <w:tcW w:type="dxa" w:w="4917"/>
            <w:shd w:fill="12334C"/>
            <w:vAlign w:val="center"/>
          </w:tcPr>
          <w:p>
            <w:r>
              <w:rPr>
                <w:b/>
                <w:color w:val="FFFFFF"/>
                <w:sz w:val="17"/>
              </w:rPr>
              <w:t>Study element</w:t>
            </w:r>
          </w:p>
        </w:tc>
        <w:tc>
          <w:tcPr>
            <w:tcW w:type="dxa" w:w="4917"/>
            <w:shd w:fill="12334C"/>
            <w:vAlign w:val="center"/>
          </w:tcPr>
          <w:p>
            <w:r>
              <w:rPr>
                <w:b/>
                <w:color w:val="FFFFFF"/>
                <w:sz w:val="17"/>
              </w:rPr>
              <w:t>Confirmed specification</w:t>
            </w:r>
          </w:p>
        </w:tc>
      </w:tr>
      <w:tr>
        <w:tc>
          <w:tcPr>
            <w:tcW w:type="dxa" w:w="4917"/>
            <w:shd w:fill="F1F6F7"/>
            <w:tcBorders>
              <w:bottom w:val="single" w:sz="4" w:color="D7E1E9"/>
            </w:tcBorders>
            <w:vAlign w:val="center"/>
          </w:tcPr>
          <w:p>
            <w:pPr>
              <w:spacing w:after="20"/>
            </w:pPr>
            <w:r>
              <w:rPr>
                <w:rFonts w:ascii="Times New Roman" w:hAnsi="Times New Roman"/>
                <w:sz w:val="17"/>
              </w:rPr>
              <w:t>Population</w:t>
            </w:r>
          </w:p>
        </w:tc>
        <w:tc>
          <w:tcPr>
            <w:tcW w:type="dxa" w:w="4917"/>
            <w:shd w:fill="F1F6F7"/>
            <w:tcBorders>
              <w:bottom w:val="single" w:sz="4" w:color="D7E1E9"/>
            </w:tcBorders>
            <w:vAlign w:val="center"/>
          </w:tcPr>
          <w:p>
            <w:pPr>
              <w:spacing w:after="20"/>
            </w:pPr>
            <w:r>
              <w:rPr>
                <w:rFonts w:ascii="Times New Roman" w:hAnsi="Times New Roman"/>
                <w:sz w:val="17"/>
              </w:rPr>
              <w:t>Professional intercity bus drivers, Bangladesh</w:t>
            </w:r>
          </w:p>
        </w:tc>
      </w:tr>
      <w:tr>
        <w:tc>
          <w:tcPr>
            <w:tcW w:type="dxa" w:w="4917"/>
            <w:tcBorders>
              <w:bottom w:val="single" w:sz="4" w:color="D7E1E9"/>
            </w:tcBorders>
            <w:vAlign w:val="center"/>
          </w:tcPr>
          <w:p>
            <w:pPr>
              <w:spacing w:after="20"/>
            </w:pPr>
            <w:r>
              <w:rPr>
                <w:rFonts w:ascii="Times New Roman" w:hAnsi="Times New Roman"/>
                <w:sz w:val="17"/>
              </w:rPr>
              <w:t>Recruitment coverage</w:t>
            </w:r>
          </w:p>
        </w:tc>
        <w:tc>
          <w:tcPr>
            <w:tcW w:type="dxa" w:w="4917"/>
            <w:tcBorders>
              <w:bottom w:val="single" w:sz="4" w:color="D7E1E9"/>
            </w:tcBorders>
            <w:vAlign w:val="center"/>
          </w:tcPr>
          <w:p>
            <w:pPr>
              <w:spacing w:after="20"/>
            </w:pPr>
            <w:r>
              <w:rPr>
                <w:rFonts w:ascii="Times New Roman" w:hAnsi="Times New Roman"/>
                <w:sz w:val="17"/>
              </w:rPr>
              <w:t>Selected sites in Dhaka, Rajshahi, Khulna, Chattogram and Rangpur</w:t>
            </w:r>
          </w:p>
        </w:tc>
      </w:tr>
      <w:tr>
        <w:tc>
          <w:tcPr>
            <w:tcW w:type="dxa" w:w="4917"/>
            <w:shd w:fill="F1F6F7"/>
            <w:tcBorders>
              <w:bottom w:val="single" w:sz="4" w:color="D7E1E9"/>
            </w:tcBorders>
            <w:vAlign w:val="center"/>
          </w:tcPr>
          <w:p>
            <w:pPr>
              <w:spacing w:after="20"/>
            </w:pPr>
            <w:r>
              <w:rPr>
                <w:rFonts w:ascii="Times New Roman" w:hAnsi="Times New Roman"/>
                <w:sz w:val="17"/>
              </w:rPr>
              <w:t>Primary outcome</w:t>
            </w:r>
          </w:p>
        </w:tc>
        <w:tc>
          <w:tcPr>
            <w:tcW w:type="dxa" w:w="4917"/>
            <w:shd w:fill="F1F6F7"/>
            <w:tcBorders>
              <w:bottom w:val="single" w:sz="4" w:color="D7E1E9"/>
            </w:tcBorders>
            <w:vAlign w:val="center"/>
          </w:tcPr>
          <w:p>
            <w:pPr>
              <w:spacing w:after="20"/>
            </w:pPr>
            <w:r>
              <w:rPr>
                <w:rFonts w:ascii="Times New Roman" w:hAnsi="Times New Roman"/>
                <w:sz w:val="17"/>
              </w:rPr>
              <w:t>Self-reported unsafe overtaking during the previous three months</w:t>
            </w:r>
          </w:p>
        </w:tc>
      </w:tr>
      <w:tr>
        <w:tc>
          <w:tcPr>
            <w:tcW w:type="dxa" w:w="4917"/>
            <w:tcBorders>
              <w:bottom w:val="single" w:sz="4" w:color="D7E1E9"/>
            </w:tcBorders>
            <w:vAlign w:val="center"/>
          </w:tcPr>
          <w:p>
            <w:pPr>
              <w:spacing w:after="20"/>
            </w:pPr>
            <w:r>
              <w:rPr>
                <w:rFonts w:ascii="Times New Roman" w:hAnsi="Times New Roman"/>
                <w:sz w:val="17"/>
              </w:rPr>
              <w:t>Research plan</w:t>
            </w:r>
          </w:p>
        </w:tc>
        <w:tc>
          <w:tcPr>
            <w:tcW w:type="dxa" w:w="4917"/>
            <w:tcBorders>
              <w:bottom w:val="single" w:sz="4" w:color="D7E1E9"/>
            </w:tcBorders>
            <w:vAlign w:val="center"/>
          </w:tcPr>
          <w:p>
            <w:pPr>
              <w:spacing w:after="20"/>
            </w:pPr>
            <w:r>
              <w:rPr>
                <w:rFonts w:ascii="Times New Roman" w:hAnsi="Times New Roman"/>
                <w:sz w:val="17"/>
              </w:rPr>
              <w:t>Exactly three RQ/RO; crash and near-crash exploratory within RO1</w:t>
            </w:r>
          </w:p>
        </w:tc>
      </w:tr>
    </w:tbl>
    <w:p>
      <w:pPr>
        <w:spacing w:after="20"/>
      </w:pPr>
    </w:p>
    <w:p>
      <w:pPr>
        <w:pStyle w:val="Heading1"/>
      </w:pPr>
      <w:r>
        <w:t>Three RQs and three ROs</w:t>
      </w:r>
    </w:p>
    <w:p>
      <w:r>
        <w:t>RQ1. How is self-reported unsafe-overtaking occurrence associated with selected driving-exposure, sleepiness, and work-system conditions, and how does it relate separately to reported collision and overtaking-related near-crash involvement?</w:t>
      </w:r>
    </w:p>
    <w:p>
      <w:r>
        <w:t>RO1. To estimate adjusted associations between selected driving-exposure, sleepiness, and work-system conditions and self-reported unsafe-overtaking occurrence using Bayesian logistic regression, and to examine its separate exploratory associations with reported collision and overtaking-related near-crash involvement.</w:t>
      </w:r>
    </w:p>
    <w:p>
      <w:r>
        <w:t>RQ2. How well can prespecified driver-reported information predict self-reported unsafe-overtaking occurrence under nested internal cross-validation, considering discrimination and calibration?</w:t>
      </w:r>
    </w:p>
    <w:p>
      <w:r>
        <w:t>RO2. To develop, compare, and internally validate supervised machine-learning models for predicting self-reported unsafe-overtaking occurrence using prespecified driver-reported information, with assessment of discrimination and calibration.</w:t>
      </w:r>
    </w:p>
    <w:p>
      <w:r>
        <w:t>RQ3. What predictor contributions, modeled nonlinear patterns, and selected interactions are represented in the fitted unsafe-overtaking prediction models, and how stable are their explanations across model refits?</w:t>
      </w:r>
    </w:p>
    <w:p>
      <w:r>
        <w:t>RO3. To interpret the fitted predictive models developed under RO2 using SHAP, ALE, selected predictor interactions, and explanation-stability assessment across model refits.</w:t>
      </w:r>
    </w:p>
    <w:p>
      <w:pPr>
        <w:pStyle w:val="Heading1"/>
      </w:pPr>
      <w:r>
        <w:t>Analytical integration and scope</w:t>
      </w:r>
    </w:p>
    <w:p>
      <w:r>
        <w:t>RQ1 / RO1 uses a parsimonious Bayesian association model with unsafe-overtaking occurrence as primary Y, plus separate exploratory associations with S1 and S2. RQ2 / RO2 compares supervised classifiers on the SAME Y with leakage-aware validation. RQ3 / RO3 explains fitted predictions using SHAP, ALE, prespecified interactions and attribution stability. Individual UO items construct the target and must NOT enter feature matrices; S1/S2 are secondary outcomes and must NOT be included as model inputs for Y. Eligibility items describe population and screening, and therefore are not erroneously counted as candidate predictors.</w:t>
      </w:r>
    </w:p>
    <w:p>
      <w:r>
        <w:rPr>
          <w:color w:val="0C7D77"/>
        </w:rPr>
        <w:t>The candidate set is larger than the eventual statistical model. Final parameter count and number of predictors must follow event prevalence, missingness, collinearity and sample-size assessment. A variable can be essential for eligibility, coding, safety-history analysis or sample description without appearing in every model.</w:t>
      </w:r>
    </w:p>
    <w:p>
      <w:pPr>
        <w:pStyle w:val="Heading1"/>
      </w:pPr>
      <w:r>
        <w:t>Section A | Eligibility and consent screening</w:t>
      </w:r>
    </w:p>
    <w:p>
      <w:pPr>
        <w:pStyle w:val="Heading2"/>
      </w:pPr>
      <w:r>
        <w:t>A1. Are you 18 years of age or older?</w:t>
      </w:r>
    </w:p>
    <w:p>
      <w:r>
        <w:t>Bangla equivalent: আপনার বয়স কি ১৮ বছর বা তার বেশি?</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Age threshold screens adult participants; B1 later supplies actual age.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RQ1–RQ3 population definition and audit.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Eligible adult filter. Never model A1 alongside B1; no variation among retained cases.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Do not record exact age until B1; stop if No/declined.</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Screening flow and participant characteristics; no feature importance.</w:t>
            </w:r>
          </w:p>
        </w:tc>
      </w:tr>
    </w:tbl>
    <w:p>
      <w:pPr>
        <w:spacing w:after="20"/>
      </w:pPr>
    </w:p>
    <w:p>
      <w:pPr>
        <w:pStyle w:val="Heading2"/>
      </w:pPr>
      <w:r>
        <w:t>A2. Do you currently work as a driver of a passenger bus operating between cities or districts in Bangladesh?</w:t>
      </w:r>
    </w:p>
    <w:p>
      <w:r>
        <w:t>Bangla equivalent: আপনি কি বর্তমানে বাংলাদেশে এক শহর বা জেলা থেকে অন্য শহর বা জেলায় যাতায়াতকারী যাত্রীবাহী আন্তঃনগর বাসের চালক হিসেবে কাজ করেন?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Defines the passenger intercity-bus target, excluding urban-only, truck and other vehicles.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RQ1–RQ3 population definition and audit.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Participant flow; not an ML feature.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Intercity passenger service, not urban-only or freight.</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Screening flow and participant characteristics; no feature importance.</w:t>
            </w:r>
          </w:p>
        </w:tc>
      </w:tr>
    </w:tbl>
    <w:p>
      <w:pPr>
        <w:spacing w:after="20"/>
      </w:pPr>
    </w:p>
    <w:p>
      <w:pPr>
        <w:pStyle w:val="Heading2"/>
      </w:pPr>
      <w:r>
        <w:t>A3. What is your usual role on an intercity bus?</w:t>
      </w:r>
    </w:p>
    <w:p>
      <w:r>
        <w:t>Bangla equivalent: আন্তঃনগর বাসে আপনার সাধারণ দায়িত্ব কোনটি?</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Distinguishes main and relief driving assignments, potentially related to control over hours or maneuvers.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RQ1–RQ3 population definition and audit; also reported in sample-description tables (not a core-model or RQ2/RO2 feature-set candidate).</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Screening (main/relief eligible, other ineligible); also reported in sample-description tables. Not part of the restricted core model or the RQ2/RO2 feature set.</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nominal.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Other role is ineligible.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Screening flow and participant characteristics; no feature importance.</w:t>
            </w:r>
          </w:p>
        </w:tc>
      </w:tr>
    </w:tbl>
    <w:p>
      <w:pPr>
        <w:spacing w:after="20"/>
      </w:pPr>
    </w:p>
    <w:p>
      <w:pPr>
        <w:pStyle w:val="Heading2"/>
      </w:pPr>
      <w:r>
        <w:t>A4. Do you hold a currently valid driving license authorizing you to drive the bus you operate professionally?</w:t>
      </w:r>
    </w:p>
    <w:p>
      <w:r>
        <w:t>Bangla equivalent: আপনি পেশাগতভাবে যে বাস চালান, সেটি চালানোর জন্য প্রযোজ্য বৈধ ড্রাইভিং লাইসেন্স কি বর্তমানে আপনার আছে?</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Ensures respondents self-report current appropriate license; no license number captured.</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RQ1–RQ3 population definition and audit.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Exclusion on No/expired; descriptive screening only.</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Self-reported current appropriate license; no license number or photograph.</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Screening flow and participant characteristics; no feature importance.</w:t>
            </w:r>
          </w:p>
        </w:tc>
      </w:tr>
    </w:tbl>
    <w:p>
      <w:pPr>
        <w:spacing w:after="20"/>
      </w:pPr>
    </w:p>
    <w:p>
      <w:pPr>
        <w:pStyle w:val="Heading2"/>
      </w:pPr>
      <w:r>
        <w:t>A5. For how many years and months have you worked as an intercity bus driver?</w:t>
      </w:r>
    </w:p>
    <w:p>
      <w:r>
        <w:t>Bangla equivalent: কত বছর ও কত মাস ধরে আপনি পেশাগতভাবে আন্তঃনগর বাস চালাচ্ছেন?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Six-month threshold limits unfamiliarity with professional intercity driving; length measures occupation-specific exposure.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RQ1–RQ3 population definition and audit; also reported in sample-description tables (not a core-model or RQ2/RO2 feature-set candidate).</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Screening (&gt;= six months); also reported as a sample-description covariate (tenure). Not part of the restricted core Bayesian model or the primary RQ2/RO2 feature set.</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Must be at least six months to be eligible. If 98 (cannot estimate) and clarification does not resolve this, stop screening; do not classify the respondent as having less than six months' experience.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A6. Have you professionally driven an intercity bus during the past three months?</w:t>
      </w:r>
    </w:p>
    <w:p>
      <w:r>
        <w:t>Bangla equivalent: গত তিন মাসের মধ্যে আপনি কি পেশাগতভাবে আন্তঃনগর বাস চালিয়েছেন?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Ensures recent intercity operations within the three-month outcome recall.</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RQ1–RQ3 population definition and audit.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Exclusion on No; not an ML feature.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No intercity professional driving within 3 months: stop.</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Screening flow and participant characteristics; no feature importance.</w:t>
            </w:r>
          </w:p>
        </w:tc>
      </w:tr>
    </w:tbl>
    <w:p>
      <w:pPr>
        <w:spacing w:after="20"/>
      </w:pPr>
    </w:p>
    <w:p>
      <w:pPr>
        <w:pStyle w:val="Heading1"/>
      </w:pPr>
      <w:r>
        <w:t>Section B | Driver and employment profile</w:t>
      </w:r>
    </w:p>
    <w:p>
      <w:pPr>
        <w:pStyle w:val="Heading2"/>
      </w:pPr>
      <w:r>
        <w:t>B1. What is your age in completed years?</w:t>
      </w:r>
    </w:p>
    <w:p>
      <w:r>
        <w:t>Bangla equivalent: আপনার বর্তমান বয়স কত পূর্ণ বছর?</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Age may reflect differing driving opportunities, experience and fatigue exposure.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candidate only (not core model); consider shrinkage/nonlinearity and avoid arbitrary bins if included in an extended analysis.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Do not infer age from appearance.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B2. How would you like to describe your gender?</w:t>
      </w:r>
    </w:p>
    <w:p>
      <w:r>
        <w:t>Bangla equivalent: আপনি আপনার লিঙ্গ কীভাবে উল্লেখ করতে চান?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Documents sample composition and recruitment reach without presuming gender effects.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 distribution; only consider model use (extended analysis only, not core model) if adequate variation and ethically justified; suppress disclosive sparse cells.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nominal.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Voluntary; do not force gender disclosure or request identification.</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B3. What is the highest level of education you completed?</w:t>
      </w:r>
    </w:p>
    <w:p>
      <w:r>
        <w:t>Bangla equivalent: আপনি সর্বোচ্চ কোন শিক্ষাগত স্তর সম্পন্ন করেছেন?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Education may reflect variation in occupational background and formal safety information.</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Nominal/ordinal coding as justified; no assumed equal distances; descriptive/extended-analysis candidate term only (not core model).</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Highest COMPLETED level, distinguish class 6–10 without SSC from SSC.</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B4. What type of intercity bus do you usually drive?</w:t>
      </w:r>
    </w:p>
    <w:p>
      <w:r>
        <w:t>Bangla equivalent: আপনি সাধারণত কোন ধরনের আন্তঃনগর বাস চালান?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AC versus non-AC service can proxy differing routes and work practices, not a driver risk label.</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nominal candidate only (not core model); Both is own category; evaluate separation and route confounding.</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nominal.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Both regularly if genuinely both; not a hierarchy.</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B5. How are you mainly paid for your driving work?</w:t>
      </w:r>
    </w:p>
    <w:p>
      <w:r>
        <w:t>Bangla equivalent: বাস চালানোর জন্য আপনি প্রধানত কীভাবে পারিশ্রমিক পান?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Payment mechanism may create incentives linked to trip timing or workload.</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dummy/categorical candidate only (not core model); not numerical 1-to-6; compare to perceived earnings pressure F2.</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nominal.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Main payment arrangement; ask for greatest share if mixed.</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B6. What is your approximate average monthly income from professional driving?</w:t>
      </w:r>
    </w:p>
    <w:p>
      <w:r>
        <w:t>Bangla equivalent: পেশাগত বাস চালিয়ে আপনার আনুমানিক গড় মাসিক আয় কত?</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Income bracket supplies structural earnings information distinct from perceptions of rest-related loss.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 or extended-analysis ordered categorical candidate only (not core model); avoid simultaneous poorly identified correlated economic terms.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Do not ask for proof of income.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B7. In the past three years, did you receive formal driver-safety training that covered safe overtaking?</w:t>
      </w:r>
    </w:p>
    <w:p>
      <w:r>
        <w:t>Bangla equivalent: গত তিন বছরে নিরাপদ ওভারটেকিং বিষয় অন্তর্ভুক্ত ছিল, এমন আনুষ্ঠানিক চালক-নিরাপত্তা প্রশিক্ষণ কি আপনি পেয়েছেন?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Overtaking-specific safety education is relevant to maneuver decisions.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binary candidate only (not core model); unknown is missing, not No; no implied training effectiveness.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Only if overtaking covered in formal training, not general informal advice.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1"/>
      </w:pPr>
      <w:r>
        <w:t>Section C | Driving and duty exposure</w:t>
      </w:r>
    </w:p>
    <w:p>
      <w:pPr>
        <w:pStyle w:val="Heading2"/>
      </w:pPr>
      <w:r>
        <w:t>C1. During the past four weeks, on how many days per week did you usually drive an intercity bus?</w:t>
      </w:r>
    </w:p>
    <w:p>
      <w:r>
        <w:t>Bangla equivalent: গত চার সপ্তাহে সাধারণত সপ্তাহে কয় দিন আন্তঃনগর বাস চালিয়েছেন?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Driving days describe the frequency of occupational driving.</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numeric candidate only (not core model); C1×C2 estimates weekly driving hours as an alternative exposure metric.</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A usual week across the past four weeks, integer 0–7.</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C2. On a typical driving day in the past four weeks, for how many hours and minutes did you actually drive the bus?</w:t>
      </w:r>
    </w:p>
    <w:p>
      <w:r>
        <w:t>Bangla equivalent: গত চার সপ্তাহে সাধারণ একটি বাস চালানোর দিনে প্রকৃতপক্ষে মোট কত ঘণ্টা ও মিনিট বাস চালিয়েছেন?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Actual driving time measures time exposed to moving-road situations.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RQ1/RO1 core Bayesian slope parameter (finalized restricted six-slope model); RQ2/RO2 core ML candidate; RQ3/RO3 explanation target for this core term.</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Core Bayesian six-slope term: one centered, scaled term (see Chapter 3 parameter-budget table). Distinguish duty time C3; also usable as a broader RQ2/RO2 ML candidate.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Driving excludes waiting; record hours and minutes.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C3. On such a workday, for how many hours and minutes were you on duty in total, including driving and waiting?</w:t>
      </w:r>
    </w:p>
    <w:p>
      <w:r>
        <w:t>Bangla equivalent: এমন কর্মদিবসে বাস চালানো ও অপেক্ষাসহ মোট কত ঘণ্টা ও মিনিট ডিউটিতে ছিলেন?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Time on duty includes waiting and non-driving occupational burden.</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workload candidate only (not core model), and a consistency check (C3 &gt;= C2).</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Duty includes waiting; should not be below C2; clarify once, never change response without asking.</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C4. What was your usual longest continuous driving period without a break of at least 15 minutes?</w:t>
      </w:r>
    </w:p>
    <w:p>
      <w:r>
        <w:t>Bangla equivalent: অন্তত ১৫ মিনিটের বিরতি ছাড়া সাধারণত একটানা সর্বোচ্চ কতক্ষণ বাস চালিয়েছেন?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Longest uninterrupted driving approximates opportunity for prolonged attention demands.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numeric candidate only (not core model); inspect collinearity with C2; not a causal fatigue metric.</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Longest uninterrupted driving before a &gt;=15-minute break; &lt;=C2 as QC.</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C5. In a usual week, on how many workdays did you drive at any time between 10:00 PM and 6:00 AM?</w:t>
      </w:r>
    </w:p>
    <w:p>
      <w:r>
        <w:t>Bangla equivalent: সাধারণ একটি সপ্তাহে কয়টি কর্মদিবসে রাত ১০টা থেকে সকাল ৬টার মধ্যে কোনো সময়ে বাস চালিয়েছেন?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Night driving relates to visibility and work timing.</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candidate only (not core model); days/week numeric, check &lt;= C1.</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Count a workday if ANY driving between 22:00–06:00; &lt;=C1.</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1"/>
      </w:pPr>
      <w:r>
        <w:t>Section D | Road and overtaking exposure</w:t>
      </w:r>
    </w:p>
    <w:p>
      <w:pPr>
        <w:pStyle w:val="Heading2"/>
      </w:pPr>
      <w:r>
        <w:t>D1. During the past three months, did you pass at least one moving vehicle or other moving road user traveling in the same direction while driving an intercity bus?</w:t>
      </w:r>
    </w:p>
    <w:p>
      <w:r>
        <w:t>Bangla equivalent: গত তিন মাসে আন্তঃনগর বাস চালানোর সময় একই দিকে চলতে থাকা কোনো গাড়ি বা অন্য সড়ক ব্যবহারকারীকে পাশ কাটিয়ে সামনে এগিয়েছেন কি?</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Overtaking opportunity must exist to interpret Never as no unsafe overtaking.</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Screening and RQ1–RQ3 sample definition (overtaking-opportunity gate); not a model predictor — no variation among eligible respondents.</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Eligibility gate for outcome: No/unknown/refusal are NOT Y=0.</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Ask immediately after A6 as an overtaking gate; write D1 and do NOT ask again later. D1 No/unknown/refusal ends survey; not classified Y=0.</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D2. On a usual intercity-bus driving day in the past three months, about how many moving road users did you overtake?</w:t>
      </w:r>
    </w:p>
    <w:p>
      <w:r>
        <w:t>Bangla equivalent: গত তিন মাসে আন্তঃনগর বাস চালানোর সাধারণ একটি কর্মদিবসে একই দিকে চলমান অন্য গাড়ি বা সড়ক ব্যবহারকারীকে আনুমানিক কতবার পাশ কাটিয়ে সামনে গেছেন?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Passing opportunities differ between drivers; a greater event count may reflect more maneuvers.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RQ1/RO1 core Bayesian slope parameter (finalized restricted six-slope model); RQ2/RO2 core ML candidate; RQ3/RO3 explanation target for this core term.</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Core Bayesian six-slope term: one prespecified ordered trend. Avoid numerical event-rate claims from categories; also usable as a broader RQ2/RO2 ML candidate.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If passing happens on some days but not every workday choose first option; not zero overtaking over the entire 3 months.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D3. About what share of the distance you usually drove in the past three months was on two-way roads without a physical median or barrier between opposite directions?</w:t>
      </w:r>
    </w:p>
    <w:p>
      <w:r>
        <w:t>Bangla equivalent: গত তিন মাসে আপনার সাধারণ আন্তঃনগর চালনার মোট দূরত্বের আনুমানিক কত অংশ এমন দুই-মুখী সড়কে ছিল, যেখানে বিপরীতমুখী গাড়ির মাঝখানে কোনো ভৌত বিভাজক বা বাধা নেই?</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Undivided road distance relates to opposing traffic; road visual distinguishes physical divider from painted line.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RQ1/RO1 core Bayesian slope parameter (finalized restricted six-slope model); RQ2/RO2 core ML candidate; RQ3/RO3 explanation target for this core term.</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Core Bayesian six-slope term: one prespecified ordered trend. Not a precise percent measurement; also usable as a broader RQ2/RO2 ML candidate.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SHOW neutral illustrated card, physical median only; center paint is not divider; use distance not travel time.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D4. Before the past three months, approximately how many one-way trips had you personally driven on the intercity route you used most often?</w:t>
      </w:r>
    </w:p>
    <w:p>
      <w:r>
        <w:t>Bangla equivalent: গত তিন মাসের আগে, বর্তমানে সবচেয়ে বেশি ব্যবহার করা আন্তঃনগর পথে আপনি নিজে আনুমানিক কতবার একমুখী ট্রিপ চালিয়েছেন?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Number of previous trips on main route operationalizes familiarity with route beyond years of driving.</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ordered candidate only (not core model); no arbitrary equal distances for trip categories.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ONE-WAY prior trips on currently most-used route, BEFORE previous 3 months; do not equate with all routes.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D5. During the past three months, on the days you drove an intercity bus, how often did weather or darkness reduce how far ahead you could see?</w:t>
      </w:r>
    </w:p>
    <w:p>
      <w:r>
        <w:t>Bangla equivalent: গত তিন মাসে যেসব দিনে আন্তঃনগর বাস চালিয়েছেন, সেসব দিনে আবহাওয়া বা অন্ধকারের কারণে সামনের রাস্তা কম দূর পর্যন্ত কত ঘন ঘন দেখা গেছে?</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Frequency of reduced visibility provides overtaking-specific environmental exposure.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frequency candidate only (not core model); use consistent driving-day denominator.</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frequency.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Denominator: days driven during past 3 months; not proportion of all calendar days.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D6. During the past three months, on the days you drove an intercity bus, how often did you encounter heavy or slow-moving traffic?</w:t>
      </w:r>
    </w:p>
    <w:p>
      <w:r>
        <w:t>Bangla equivalent: গত তিন মাসে যেসব দিনে আন্তঃনগর বাস চালিয়েছেন, সেসব দিনে ঘন বা ধীরগতির ট্রাফিকের মুখোমুখি কত ঘন ঘন হয়েছেন?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Heavy traffic shapes overtaking opportunities and operating pressure.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frequency candidate only (not core model); do not conflate road congestion with unsafe behavior.</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frequency.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Denominator: days driven during past 3 months.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1"/>
      </w:pPr>
      <w:r>
        <w:t>Section E | Sleep, recovery and alertness</w:t>
      </w:r>
    </w:p>
    <w:p>
      <w:pPr>
        <w:pStyle w:val="Heading2"/>
      </w:pPr>
      <w:r>
        <w:t>E1. On days you drove during the past four weeks, approximately how much total sleep did you usually get in a 24-hour period, including daytime sleep?</w:t>
      </w:r>
    </w:p>
    <w:p>
      <w:r>
        <w:t>Bangla equivalent: গত চার সপ্তাহে যেদিন বাস চালিয়েছেন, সেদিন ২৪ ঘণ্টায় দিনের ও রাতের ঘুম মিলিয়ে সাধারণত মোট কতক্ষণ ঘুমিয়েছেন?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Total sleep time is an occupational recovery indicator, not a diagnosis.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continuous candidate only (not core model); no arbitrary low-sleep diagnosis.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Usual total sleep per 24 hours including daytime sleep; not time in bed.</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E2. During the past four weeks, on approximately how many days did you wake after your main sleep feeling that you were still not rested?</w:t>
      </w:r>
    </w:p>
    <w:p>
      <w:r>
        <w:t>Bangla equivalent: গত চার সপ্তাহে প্রধান ঘুম শেষ করে ওঠার পরও আনুমানিক কত দিন আপনার মনে হয়েছে যে যথেষ্ট বিশ্রাম হয়নি?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Days waking unrefreshed avoid ambiguous Very poor/poor labels.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ordered candidate only (not core model); categories not evenly spaced.</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Days waking unrefreshed during past four weeks; subjective non-restoration.</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E3. During the past four weeks, when driving an intercity bus, how often did you feel physically or mentally tired?</w:t>
      </w:r>
    </w:p>
    <w:p>
      <w:r>
        <w:t>Bangla equivalent: গত চার সপ্তাহে আন্তঃনগর বাস চালানোর সময় কত ঘন ঘন শারীরিক বা মানসিক ক্লান্তি অনুভব করেছেন?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Subjective tiredness may correlate with driving decisions under workload.</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frequency candidate only (not core model); not a validated fatigue scale.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frequency.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Denominator: workdays when driving; tiredness, not sleepy episodes.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E4. During the past four weeks, when driving an intercity bus, how often did you feel sleepy or struggle to stay awake?</w:t>
      </w:r>
    </w:p>
    <w:p>
      <w:r>
        <w:t>Bangla equivalent: গত চার সপ্তাহে আন্তঃনগর বাস চালানোর সময় কত ঘন ঘন তন্দ্রা এসেছে বা জেগে থাকতে কষ্ট হয়েছে?</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Sleepiness is more specific than broad tiredness and may provide different predictive information.</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RQ1/RO1 core Bayesian slope parameter (finalized restricted six-slope model); RQ2/RO2 core ML candidate; RQ3/RO3 explanation target for this core term.</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Core Bayesian six-slope term: one prespecified ordered trend. Inspect correlation with E3; also usable as a broader RQ2/RO2 ML candidate.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frequency.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Denominator: workdays when driving; sleepy/difficulty awake distinct from tiredness.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E5. During the past four weeks, when you felt you needed a rest break while on duty, how often could you actually take one?</w:t>
      </w:r>
    </w:p>
    <w:p>
      <w:r>
        <w:t>Bangla equivalent: গত চার সপ্তাহে ডিউটির সময় আপনার যখন বিশ্রাম-বিরতির প্রয়োজন হয়েছে, তখন কতবার বাস্তবে বিরতি নিতে পেরেছেন?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Whether needed breaks were possible describes recovery opportunity within employment conditions.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candidate only (not core model), frequency conditional on having needed a break; 95 is not Never.</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frequency.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Denominator: occasions when break needed; no need=95 not Never.</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E6. Between ending one driving duty and starting the next, how much time were you usually free from work duties?</w:t>
      </w:r>
    </w:p>
    <w:p>
      <w:r>
        <w:t>Bangla equivalent: একটি ডিউটি শেষ করে পরের ডিউটি শুরু করার আগে সাধারণত কতক্ষণ কাজের দায়িত্ব থেকে মুক্ত ছিলেন?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Hours off duty indicate available rest opportunity and are not hours actually asleep.</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candidate only (not core model); inspect correlation with E1, C3.</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numeric. Record numeric unit accurately, including hours/minutes where applicable.</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Off-duty interval is not time asleep.</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1"/>
      </w:pPr>
      <w:r>
        <w:t>Section G | Primary outcome: unsafe overtaking</w:t>
      </w:r>
    </w:p>
    <w:p>
      <w:pPr>
        <w:pStyle w:val="Heading2"/>
      </w:pPr>
      <w:r>
        <w:t>UO1. During the past three months, how many times did you BEGIN passing a moving road user when you could not see far enough ahead to judge whether the road was clear?</w:t>
      </w:r>
    </w:p>
    <w:p>
      <w:r>
        <w:t>Bangla equivalent: গত তিন মাসে সামনের রাস্তা ফাঁকা কি না বোঝার মতো যথেষ্ট দূর দেখা না গেলেও কোনো চলমান সড়ক ব্যবহারকারীকে পাশ কাটানো কতবার শুরু করেছেন?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Captures initiated passes with insufficient forward sight distance.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outcome, RQ2 supervised target, RQ3 explanation target.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Positive 1–4 contributes to Y=1; zero only if applicable; exclude all UO indicators from ML inputs.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outcome.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Ask count, not identity or blame; show optional UO1 card only if clarification needed using standardized protocol.</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Outcome frequencies and outcome definition table; not a SHAP feature.</w:t>
            </w:r>
          </w:p>
        </w:tc>
      </w:tr>
    </w:tbl>
    <w:p>
      <w:pPr>
        <w:spacing w:after="20"/>
      </w:pPr>
    </w:p>
    <w:p>
      <w:pPr>
        <w:pStyle w:val="Heading2"/>
      </w:pPr>
      <w:r>
        <w:t>UO2. During the past three months, how many times did you begin or continue passing on a two-way undivided road when the gap to approaching traffic was too small to pass safely?</w:t>
      </w:r>
    </w:p>
    <w:p>
      <w:r>
        <w:t>Bangla equivalent: গত তিন মাসে বিভাজকবিহীন দুই-মুখী সড়কে বিপরীত দিকের গাড়ির সঙ্গে নিরাপদে পাশ কাটানোর মতো যথেষ্ট ফাঁক না থাকলেও কতবার ওভারটেক শুরু করেছেন বা চালিয়ে গেছেন?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Captures oncoming-traffic gap on two-way undivided roads, distinct from sight distance.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outcome, RQ2 supervised target, RQ3 explanation target.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Positive 1–4 contributes to Y=1; no undivided passing opportunity=95 with recorded reason.</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outcome.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Restricted to undivided two-way road; 95 only if no relevant opportunity, not because answer is zero.</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Outcome frequencies and outcome definition table; not a SHAP feature.</w:t>
            </w:r>
          </w:p>
        </w:tc>
      </w:tr>
    </w:tbl>
    <w:p>
      <w:pPr>
        <w:spacing w:after="20"/>
      </w:pPr>
    </w:p>
    <w:p>
      <w:pPr>
        <w:pStyle w:val="Heading2"/>
      </w:pPr>
      <w:r>
        <w:t>UO3. During the past three months, how many times did you return in front of a moving vehicle you had passed without leaving enough space between the bus and that vehicle?</w:t>
      </w:r>
    </w:p>
    <w:p>
      <w:r>
        <w:t>Bangla equivalent: গত তিন মাসে কোনো চলমান গাড়িকে পাশ কাটিয়ে তার সামনে ফেরার সময় বাস ও গাড়িটির মাঝখানে যথেষ্ট ফাঁক না রেখেই কতবার ফিরেছেন?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Captures premature return gap to overtaken road user, distinct from approaching traffic.</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outcome, RQ2 supervised target, RQ3 explanation target.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Positive 1–4 contributes to Y=1; not a model predictor.</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outcome.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Passing a MOVING vehicle and return gap; not general following distance.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Outcome frequencies and outcome definition table; not a SHAP feature.</w:t>
            </w:r>
          </w:p>
        </w:tc>
      </w:tr>
    </w:tbl>
    <w:p>
      <w:pPr>
        <w:spacing w:after="20"/>
      </w:pPr>
    </w:p>
    <w:p>
      <w:pPr>
        <w:pStyle w:val="Heading2"/>
      </w:pPr>
      <w:r>
        <w:t>UO4. During the past three months, how many times did you pass a moving road user at a location where an applicable sign or road marking prohibited overtaking?</w:t>
      </w:r>
    </w:p>
    <w:p>
      <w:r>
        <w:t>Bangla equivalent: গত তিন মাসে প্রযোজ্য সাইন বা সড়কের দাগ দিয়ে ওভারটেক নিষিদ্ধ, এমন স্থানে কোনো চলমান সড়ক ব্যবহারকারীকে কতবার পাশ কাটিয়েছেন?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Captures overtaking at applicable prohibited locations.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outcome, RQ2 supervised target, RQ3 explanation target.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Positive 1–4 contributes to Y=1; no relevant opportunity vs not knowing signs recorded separately; verify local signage prior to final field use.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outcome.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Applicable overtaking-prohibition sign/marking; no unverified foreign sign examples; 95 if no such location, 98 if cannot reliably judge.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Outcome frequencies and outcome definition table; not a SHAP feature.</w:t>
            </w:r>
          </w:p>
        </w:tc>
      </w:tr>
    </w:tbl>
    <w:p>
      <w:pPr>
        <w:spacing w:after="20"/>
      </w:pPr>
    </w:p>
    <w:p>
      <w:pPr>
        <w:pStyle w:val="Heading2"/>
      </w:pPr>
      <w:r>
        <w:t>UO5. During the past three months, how many times did you pass a moving motorcycle, bicycle, or similar road user without leaving enough sideways space?</w:t>
      </w:r>
    </w:p>
    <w:p>
      <w:r>
        <w:t>Bangla equivalent: গত তিন মাসে চলমান মোটরসাইকেল, সাইকেল বা একই ধরনের সড়ক ব্যবহারকারীকে পর্যাপ্ত পাশের ফাঁক না রেখে কতবার পাশ কাটিয়েছেন?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Captures limited sideways clearance when passing motorcycles/bicycles, relevant to mixed traffic.</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outcome, RQ2 supervised target, RQ3 explanation target.</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Positive 1–4 contributes to Y=1; passing stationary objects excluded.</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outcome.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Moving motorcycles/cycles, sideways gap, not stationary objects.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Outcome frequencies and outcome definition table; not a SHAP feature.</w:t>
            </w:r>
          </w:p>
        </w:tc>
      </w:tr>
    </w:tbl>
    <w:p>
      <w:pPr>
        <w:spacing w:after="20"/>
      </w:pPr>
    </w:p>
    <w:p>
      <w:pPr>
        <w:pStyle w:val="Heading1"/>
      </w:pPr>
      <w:r>
        <w:t>Section F | Occupational, organizational and psychological conditions</w:t>
      </w:r>
    </w:p>
    <w:p>
      <w:pPr>
        <w:pStyle w:val="Heading2"/>
      </w:pPr>
      <w:r>
        <w:t>F1. During the past four weeks, when an intercity trip was delayed, I felt pressure to make up the lost time.</w:t>
      </w:r>
    </w:p>
    <w:p>
      <w:r>
        <w:t>Bangla equivalent: গত চার সপ্তাহে কোনো আন্তঃনগর ট্রিপে দেরি হলে সেই সময় পুষিয়ে নেওয়ার চাপ অনুভব করেছি।</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Time-recovery pressure is an occupational mechanism relevant to overtaking decision-making.</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RQ1/RO1 core Bayesian slope parameter (finalized restricted six-slope model); RQ2/RO2 core ML candidate; RQ3/RO3 explanation target for this core term.</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Core Bayesian six-slope term (two parameters): delay-exposure indicator and within-exposed pressure score centered at neutral (see codebook f1_delay_exposure / f1_pressure_centered). Delayed-trip none=95, not Disagree; avoid equating category spacing to measured increments without sensitivity; also usable as a broader RQ2/RO2 ML candidate.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agreement.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Respond only if there was delayed trip in last four weeks; otherwise 95.</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F2. Taking a rest break when I need one may reduce my earnings.</w:t>
      </w:r>
    </w:p>
    <w:p>
      <w:r>
        <w:t>Bangla equivalent: প্রয়োজনের সময় বিশ্রামের বিরতি নিলে আমার আয় কমে যেতে পারে।</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Potential earnings loss when resting describes driver-perceived financial constraint.</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agreement candidate only (not core model); distinct from categorical payment B5 and income B6.</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agreement.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Perceived possibility of losing earnings, not an actual income-loss count.</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F3. During the past four weeks, when the bus was delayed, passengers asked me to reach the destination faster.</w:t>
      </w:r>
    </w:p>
    <w:p>
      <w:r>
        <w:t>Bangla equivalent: গত চার সপ্তাহে বাসের দেরি হলে যাত্রীরা আমাকে দ্রুত গন্তব্যে পৌঁছাতে বলেছেন।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External time pressure may differ from self-experienced schedule pressure.</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agreement candidate only (not core model), conditional on delayed trip; assess collinearity with core term F1.</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agreement.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Delayed trip required; otherwise 95.</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F4. The person or organization assigning my bus-driving work supports safe driving, even when it takes longer.</w:t>
      </w:r>
    </w:p>
    <w:p>
      <w:r>
        <w:t>Bangla equivalent: আমাকে বাস চালানোর দায়িত্ব দেওয়া ব্যক্তি বা প্রতিষ্ঠান নিরাপদে চালাতে বেশি সময় লাগলেও তা সমর্থন করে।</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Support for choosing safer speed/timing may vary by operator arrangements.</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agreement candidate only (not core model), reverse direction relative to risk-framed items; treat as separate item, no composite claimed.</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agreement.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Person/organization assigning driving work; 98 only if genuinely unable to judge.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F5. On my usual intercity routes, a driver who breaks overtaking restrictions is likely to be detected by traffic enforcement.</w:t>
      </w:r>
    </w:p>
    <w:p>
      <w:r>
        <w:t>Bangla equivalent: আমার নিয়মিত আন্তঃনগর পথে ওভারটেকিং নিষেধাজ্ঞা ভাঙলে ট্রাফিক কর্তৃপক্ষের নজরে পড়ার সম্ভাবনা আছে।</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Belief in detection of overtaking violations may relate to self-reported behavior.</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agreement candidate only (not core model); knowledge uncertainty 98, not neutral.</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agreement.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Belief about detection on usual routes, not actual enforcement statistics.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F6. During the past four weeks, when another road user delayed you while driving, how often did you feel angry or irritated?</w:t>
      </w:r>
    </w:p>
    <w:p>
      <w:r>
        <w:t>Bangla equivalent: গত চার সপ্তাহে বাস চালানোর সময় অন্য সড়ক ব্যবহারকারীর কারণে আপনার দেরি হলে কতবার রাগ বা বিরক্তি অনুভব করেছেন?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Irritation following delays describes emotion without asking whether anger caused overtaking.</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candidate only (not core model), frequency conditional on road-user delay; no such situation=95; avoid diagnosing aggression.</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frequency.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Denominator: occasions another road user delayed respondent, 95 if none.</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F7. How dangerous do you consider overtaking when your view of the road ahead is restricted?</w:t>
      </w:r>
    </w:p>
    <w:p>
      <w:r>
        <w:t>Bangla equivalent: সামনের রাস্তা ভালোভাবে দেখা না গেলে ওভারটেক করাকে আপনি কতটা বিপজ্জনক মনে করেন?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Perceived hazard of limited-visibility overtaking may covary with reporting/behavior.</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subjective-risk candidate only (not core model); asked after outcome to reduce priming.</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risk.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Ask AFTER outcome G; subjective rating, no implied actual crash probability.</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2"/>
      </w:pPr>
      <w:r>
        <w:t>F8. During the past four weeks, were there any occasions when a bus you drove had a safety-related fault you knew about (such as brakes, tires, lights or mirrors)?</w:t>
      </w:r>
    </w:p>
    <w:p>
      <w:r>
        <w:t>Bangla equivalent: গত চার সপ্তাহে এমন কোনো বাস চালিয়েছেন কি, যার ব্রেক, টায়ার, বাতি বা আয়নার মতো নিরাপত্তাসংক্রান্ত ত্রুটি ছিল বলে আপনি জানতেন?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Known vehicle safety faults may affect operational confidence and safety context.</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Descriptive sample/context characterization; candidate only for an explicitly extended, non-core RQ2/RO2 ML analysis outside the finalized restricted six-slope Bayesian model; RQ3/RO3 attribution only if included in such an extended model.</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Descriptive/extended-analysis binary candidate only (not core model), only if observed variability and appropriate events; Not sure is not No.</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binary.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Known safety fault; No is not Not sure; no health/license details.</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Sample description, Bayesian coefficient if selected, ML predictive importance/SHAP and ALE where supported.</w:t>
            </w:r>
          </w:p>
        </w:tc>
      </w:tr>
    </w:tbl>
    <w:p>
      <w:pPr>
        <w:spacing w:after="20"/>
      </w:pPr>
    </w:p>
    <w:p>
      <w:pPr>
        <w:pStyle w:val="Heading1"/>
      </w:pPr>
      <w:r>
        <w:t>Section H | Crash and overtaking-related near-crash history</w:t>
      </w:r>
    </w:p>
    <w:p>
      <w:pPr>
        <w:pStyle w:val="Heading2"/>
      </w:pPr>
      <w:r>
        <w:t>S1. During the past 12 months, how many road crashes involving an actual collision were you involved in while professionally driving an intercity bus, regardless of who was at fault?</w:t>
      </w:r>
    </w:p>
    <w:p>
      <w:r>
        <w:t>Bangla equivalent: গত ১২ মাসে পেশাগতভাবে আন্তঃনগর বাস চালানোর সময় প্রকৃত সংঘর্ষ হয়েছে, এমন কতটি সড়ক দুর্ঘটনায় আপনি জড়িত ছিলেন, কার দোষ ছিল তা নির্বিশেষে?</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Measures any actual collision in prior year while driving intercity bus, regardless of responsibility.</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safety-relevance supplementary outcome; RQ2/RQ3 exclusion from feature matrices.</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RQ1/RO1 descriptive and exploratory association with Y; not a predictor of primary Y; period differs, no temporal/causal inference.</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Actual collision in 12 months, ANY fault, not necessarily during overtaking.</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Descriptive prevalence and secondary 2×2 / adjusted association with careful temporality caveats.</w:t>
            </w:r>
          </w:p>
        </w:tc>
      </w:tr>
    </w:tbl>
    <w:p>
      <w:pPr>
        <w:spacing w:after="20"/>
      </w:pPr>
    </w:p>
    <w:p>
      <w:pPr>
        <w:pStyle w:val="Heading2"/>
      </w:pPr>
      <w:r>
        <w:t>S2. During the past three months, how many times did a collision nearly happen while you were passing a moving road user in an intercity bus, but no contact occurred?</w:t>
      </w:r>
    </w:p>
    <w:p>
      <w:r>
        <w:t>Bangla equivalent: গত তিন মাসে আন্তঃনগর বাসে কোনো চলমান সড়ক ব্যবহারকারীকে পাশ কাটানোর সময় কতবার অল্পের জন্য সংঘর্ষ এড়ানো গেছে, কিন্তু কোনো ধাক্কা লাগেনি?</w:t>
      </w:r>
    </w:p>
    <w:tbl>
      <w:tblPr>
        <w:tblW w:type="auto" w:w="0"/>
        <w:jc w:val="center"/>
        <w:tblLayout w:type="fixed"/>
        <w:tblLook w:firstColumn="1" w:firstRow="1" w:lastColumn="0" w:lastRow="0" w:noHBand="0" w:noVBand="1" w:val="04A0"/>
      </w:tblPr>
      <w:tblGrid>
        <w:gridCol w:w="4917"/>
        <w:gridCol w:w="4917"/>
      </w:tblGrid>
      <w:tr>
        <w:tc>
          <w:tcPr>
            <w:tcW w:type="dxa" w:w="2304"/>
            <w:shd w:fill="12334C"/>
            <w:vAlign w:val="center"/>
          </w:tcPr>
          <w:p>
            <w:r>
              <w:rPr>
                <w:b/>
                <w:color w:val="FFFFFF"/>
                <w:sz w:val="16"/>
              </w:rPr>
              <w:t>Audit dimension</w:t>
            </w:r>
          </w:p>
        </w:tc>
        <w:tc>
          <w:tcPr>
            <w:tcW w:type="dxa" w:w="7056"/>
            <w:shd w:fill="12334C"/>
            <w:vAlign w:val="center"/>
          </w:tcPr>
          <w:p>
            <w:r>
              <w:rPr>
                <w:b/>
                <w:color w:val="FFFFFF"/>
                <w:sz w:val="16"/>
              </w:rPr>
              <w:t>Justification and planned handling</w:t>
            </w:r>
          </w:p>
        </w:tc>
      </w:tr>
      <w:tr>
        <w:tc>
          <w:tcPr>
            <w:tcW w:type="dxa" w:w="2304"/>
            <w:shd w:fill="F1F6F7"/>
            <w:tcBorders>
              <w:bottom w:val="single" w:sz="4" w:color="D7E1E9"/>
            </w:tcBorders>
            <w:vAlign w:val="center"/>
          </w:tcPr>
          <w:p>
            <w:pPr>
              <w:spacing w:after="20"/>
            </w:pPr>
            <w:r>
              <w:rPr>
                <w:rFonts w:ascii="Times New Roman" w:hAnsi="Times New Roman"/>
                <w:sz w:val="16"/>
              </w:rPr>
              <w:t>Why this question was retained</w:t>
            </w:r>
          </w:p>
        </w:tc>
        <w:tc>
          <w:tcPr>
            <w:tcW w:type="dxa" w:w="7056"/>
            <w:shd w:fill="F1F6F7"/>
            <w:tcBorders>
              <w:bottom w:val="single" w:sz="4" w:color="D7E1E9"/>
            </w:tcBorders>
            <w:vAlign w:val="center"/>
          </w:tcPr>
          <w:p>
            <w:pPr>
              <w:spacing w:after="20"/>
            </w:pPr>
            <w:r>
              <w:rPr>
                <w:rFonts w:ascii="Times New Roman" w:hAnsi="Times New Roman"/>
                <w:sz w:val="16"/>
              </w:rPr>
              <w:t>Measures overtaking-related near-crash without contact in the same three-month period.</w:t>
            </w:r>
          </w:p>
        </w:tc>
      </w:tr>
      <w:tr>
        <w:tc>
          <w:tcPr>
            <w:tcW w:type="dxa" w:w="2304"/>
            <w:tcBorders>
              <w:bottom w:val="single" w:sz="4" w:color="D7E1E9"/>
            </w:tcBorders>
            <w:vAlign w:val="center"/>
          </w:tcPr>
          <w:p>
            <w:pPr>
              <w:spacing w:after="20"/>
            </w:pPr>
            <w:r>
              <w:rPr>
                <w:rFonts w:ascii="Times New Roman" w:hAnsi="Times New Roman"/>
                <w:sz w:val="16"/>
              </w:rPr>
              <w:t>Relation to RQ/RO</w:t>
            </w:r>
          </w:p>
        </w:tc>
        <w:tc>
          <w:tcPr>
            <w:tcW w:type="dxa" w:w="7056"/>
            <w:tcBorders>
              <w:bottom w:val="single" w:sz="4" w:color="D7E1E9"/>
            </w:tcBorders>
            <w:vAlign w:val="center"/>
          </w:tcPr>
          <w:p>
            <w:pPr>
              <w:spacing w:after="20"/>
            </w:pPr>
            <w:r>
              <w:rPr>
                <w:rFonts w:ascii="Times New Roman" w:hAnsi="Times New Roman"/>
                <w:sz w:val="16"/>
              </w:rPr>
              <w:t>RQ1 safety-relevance supplementary outcome; RQ2/RQ3 exclusion from feature matrices.</w:t>
            </w:r>
          </w:p>
        </w:tc>
      </w:tr>
      <w:tr>
        <w:tc>
          <w:tcPr>
            <w:tcW w:type="dxa" w:w="2304"/>
            <w:shd w:fill="F1F6F7"/>
            <w:tcBorders>
              <w:bottom w:val="single" w:sz="4" w:color="D7E1E9"/>
            </w:tcBorders>
            <w:vAlign w:val="center"/>
          </w:tcPr>
          <w:p>
            <w:pPr>
              <w:spacing w:after="20"/>
            </w:pPr>
            <w:r>
              <w:rPr>
                <w:rFonts w:ascii="Times New Roman" w:hAnsi="Times New Roman"/>
                <w:sz w:val="16"/>
              </w:rPr>
              <w:t>How the answer enters analysis</w:t>
            </w:r>
          </w:p>
        </w:tc>
        <w:tc>
          <w:tcPr>
            <w:tcW w:type="dxa" w:w="7056"/>
            <w:shd w:fill="F1F6F7"/>
            <w:tcBorders>
              <w:bottom w:val="single" w:sz="4" w:color="D7E1E9"/>
            </w:tcBorders>
            <w:vAlign w:val="center"/>
          </w:tcPr>
          <w:p>
            <w:pPr>
              <w:spacing w:after="20"/>
            </w:pPr>
            <w:r>
              <w:rPr>
                <w:rFonts w:ascii="Times New Roman" w:hAnsi="Times New Roman"/>
                <w:sz w:val="16"/>
              </w:rPr>
              <w:t>RQ1/RO1 descriptive and exploratory association with Y; not an ML predictor; shared self-report/reverse direction limitations.</w:t>
            </w:r>
          </w:p>
        </w:tc>
      </w:tr>
      <w:tr>
        <w:tc>
          <w:tcPr>
            <w:tcW w:type="dxa" w:w="2304"/>
            <w:tcBorders>
              <w:bottom w:val="single" w:sz="4" w:color="D7E1E9"/>
            </w:tcBorders>
            <w:vAlign w:val="center"/>
          </w:tcPr>
          <w:p>
            <w:pPr>
              <w:spacing w:after="20"/>
            </w:pPr>
            <w:r>
              <w:rPr>
                <w:rFonts w:ascii="Times New Roman" w:hAnsi="Times New Roman"/>
                <w:sz w:val="16"/>
              </w:rPr>
              <w:t>Storage and response interpretation</w:t>
            </w:r>
          </w:p>
        </w:tc>
        <w:tc>
          <w:tcPr>
            <w:tcW w:type="dxa" w:w="7056"/>
            <w:tcBorders>
              <w:bottom w:val="single" w:sz="4" w:color="D7E1E9"/>
            </w:tcBorders>
            <w:vAlign w:val="center"/>
          </w:tcPr>
          <w:p>
            <w:pPr>
              <w:spacing w:after="20"/>
            </w:pPr>
            <w:r>
              <w:rPr>
                <w:rFonts w:ascii="Times New Roman" w:hAnsi="Times New Roman"/>
                <w:sz w:val="16"/>
              </w:rPr>
              <w:t>ordered. Preserve response option codes, 95/96/97/98/99 as distinct non-substantive codes.</w:t>
            </w:r>
          </w:p>
        </w:tc>
      </w:tr>
      <w:tr>
        <w:tc>
          <w:tcPr>
            <w:tcW w:type="dxa" w:w="2304"/>
            <w:shd w:fill="F1F6F7"/>
            <w:tcBorders>
              <w:bottom w:val="single" w:sz="4" w:color="D7E1E9"/>
            </w:tcBorders>
            <w:vAlign w:val="center"/>
          </w:tcPr>
          <w:p>
            <w:pPr>
              <w:spacing w:after="20"/>
            </w:pPr>
            <w:r>
              <w:rPr>
                <w:rFonts w:ascii="Times New Roman" w:hAnsi="Times New Roman"/>
                <w:sz w:val="16"/>
              </w:rPr>
              <w:t>Interviewer safeguard</w:t>
            </w:r>
          </w:p>
        </w:tc>
        <w:tc>
          <w:tcPr>
            <w:tcW w:type="dxa" w:w="7056"/>
            <w:shd w:fill="F1F6F7"/>
            <w:tcBorders>
              <w:bottom w:val="single" w:sz="4" w:color="D7E1E9"/>
            </w:tcBorders>
            <w:vAlign w:val="center"/>
          </w:tcPr>
          <w:p>
            <w:pPr>
              <w:spacing w:after="20"/>
            </w:pPr>
            <w:r>
              <w:rPr>
                <w:rFonts w:ascii="Times New Roman" w:hAnsi="Times New Roman"/>
                <w:sz w:val="16"/>
              </w:rPr>
              <w:t>Nearly collided DURING passing in 3 months, no contact; not a crash or a general close call.</w:t>
            </w:r>
          </w:p>
        </w:tc>
      </w:tr>
      <w:tr>
        <w:tc>
          <w:tcPr>
            <w:tcW w:type="dxa" w:w="2304"/>
            <w:tcBorders>
              <w:bottom w:val="single" w:sz="4" w:color="D7E1E9"/>
            </w:tcBorders>
            <w:vAlign w:val="center"/>
          </w:tcPr>
          <w:p>
            <w:pPr>
              <w:spacing w:after="20"/>
            </w:pPr>
            <w:r>
              <w:rPr>
                <w:rFonts w:ascii="Times New Roman" w:hAnsi="Times New Roman"/>
                <w:sz w:val="16"/>
              </w:rPr>
              <w:t>Expected figures / reporting</w:t>
            </w:r>
          </w:p>
        </w:tc>
        <w:tc>
          <w:tcPr>
            <w:tcW w:type="dxa" w:w="7056"/>
            <w:tcBorders>
              <w:bottom w:val="single" w:sz="4" w:color="D7E1E9"/>
            </w:tcBorders>
            <w:vAlign w:val="center"/>
          </w:tcPr>
          <w:p>
            <w:pPr>
              <w:spacing w:after="20"/>
            </w:pPr>
            <w:r>
              <w:rPr>
                <w:rFonts w:ascii="Times New Roman" w:hAnsi="Times New Roman"/>
                <w:sz w:val="16"/>
              </w:rPr>
              <w:t>Descriptive prevalence and secondary 2×2 / adjusted association with careful temporality caveats.</w:t>
            </w:r>
          </w:p>
        </w:tc>
      </w:tr>
    </w:tbl>
    <w:p>
      <w:pPr>
        <w:spacing w:after="20"/>
      </w:pPr>
    </w:p>
    <w:p>
      <w:pPr>
        <w:pStyle w:val="Heading1"/>
      </w:pPr>
      <w:r>
        <w:t>Prespecified primary outcome: decision table</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12334C"/>
            <w:vAlign w:val="center"/>
          </w:tcPr>
          <w:p>
            <w:r>
              <w:rPr>
                <w:b/>
                <w:color w:val="FFFFFF"/>
                <w:sz w:val="16"/>
              </w:rPr>
              <w:t>D1</w:t>
            </w:r>
          </w:p>
        </w:tc>
        <w:tc>
          <w:tcPr>
            <w:tcW w:type="dxa" w:w="2459"/>
            <w:shd w:fill="12334C"/>
            <w:vAlign w:val="center"/>
          </w:tcPr>
          <w:p>
            <w:r>
              <w:rPr>
                <w:b/>
                <w:color w:val="FFFFFF"/>
                <w:sz w:val="16"/>
              </w:rPr>
              <w:t>UO responses</w:t>
            </w:r>
          </w:p>
        </w:tc>
        <w:tc>
          <w:tcPr>
            <w:tcW w:type="dxa" w:w="2459"/>
            <w:shd w:fill="12334C"/>
            <w:vAlign w:val="center"/>
          </w:tcPr>
          <w:p>
            <w:r>
              <w:rPr>
                <w:b/>
                <w:color w:val="FFFFFF"/>
                <w:sz w:val="16"/>
              </w:rPr>
              <w:t>Y</w:t>
            </w:r>
          </w:p>
        </w:tc>
        <w:tc>
          <w:tcPr>
            <w:tcW w:type="dxa" w:w="2459"/>
            <w:shd w:fill="12334C"/>
            <w:vAlign w:val="center"/>
          </w:tcPr>
          <w:p>
            <w:r>
              <w:rPr>
                <w:b/>
                <w:color w:val="FFFFFF"/>
                <w:sz w:val="16"/>
              </w:rPr>
              <w:t>Action</w:t>
            </w:r>
          </w:p>
        </w:tc>
      </w:tr>
      <w:tr>
        <w:tc>
          <w:tcPr>
            <w:tcW w:type="dxa" w:w="2459"/>
            <w:shd w:fill="F1F6F7"/>
            <w:tcBorders>
              <w:bottom w:val="single" w:sz="4" w:color="D7E1E9"/>
            </w:tcBorders>
            <w:vAlign w:val="center"/>
          </w:tcPr>
          <w:p>
            <w:pPr>
              <w:spacing w:after="20"/>
            </w:pPr>
            <w:r>
              <w:rPr>
                <w:rFonts w:ascii="Times New Roman" w:hAnsi="Times New Roman"/>
                <w:sz w:val="16"/>
              </w:rPr>
              <w:t>No</w:t>
            </w:r>
          </w:p>
        </w:tc>
        <w:tc>
          <w:tcPr>
            <w:tcW w:type="dxa" w:w="2459"/>
            <w:shd w:fill="F1F6F7"/>
            <w:tcBorders>
              <w:bottom w:val="single" w:sz="4" w:color="D7E1E9"/>
            </w:tcBorders>
            <w:vAlign w:val="center"/>
          </w:tcPr>
          <w:p>
            <w:pPr>
              <w:spacing w:after="20"/>
            </w:pPr>
            <w:r>
              <w:rPr>
                <w:rFonts w:ascii="Times New Roman" w:hAnsi="Times New Roman"/>
                <w:sz w:val="16"/>
              </w:rPr>
              <w:t>Not asked</w:t>
            </w:r>
          </w:p>
        </w:tc>
        <w:tc>
          <w:tcPr>
            <w:tcW w:type="dxa" w:w="2459"/>
            <w:shd w:fill="F1F6F7"/>
            <w:tcBorders>
              <w:bottom w:val="single" w:sz="4" w:color="D7E1E9"/>
            </w:tcBorders>
            <w:vAlign w:val="center"/>
          </w:tcPr>
          <w:p>
            <w:pPr>
              <w:spacing w:after="20"/>
            </w:pPr>
            <w:r>
              <w:rPr>
                <w:rFonts w:ascii="Times New Roman" w:hAnsi="Times New Roman"/>
                <w:sz w:val="16"/>
              </w:rPr>
              <w:t>Missing/Not eligible</w:t>
            </w:r>
          </w:p>
        </w:tc>
        <w:tc>
          <w:tcPr>
            <w:tcW w:type="dxa" w:w="2459"/>
            <w:shd w:fill="F1F6F7"/>
            <w:tcBorders>
              <w:bottom w:val="single" w:sz="4" w:color="D7E1E9"/>
            </w:tcBorders>
            <w:vAlign w:val="center"/>
          </w:tcPr>
          <w:p>
            <w:pPr>
              <w:spacing w:after="20"/>
            </w:pPr>
            <w:r>
              <w:rPr>
                <w:rFonts w:ascii="Times New Roman" w:hAnsi="Times New Roman"/>
                <w:sz w:val="16"/>
              </w:rPr>
              <w:t>Do not call safe</w:t>
            </w:r>
          </w:p>
        </w:tc>
      </w:tr>
      <w:tr>
        <w:tc>
          <w:tcPr>
            <w:tcW w:type="dxa" w:w="2459"/>
            <w:tcBorders>
              <w:bottom w:val="single" w:sz="4" w:color="D7E1E9"/>
            </w:tcBorders>
            <w:vAlign w:val="center"/>
          </w:tcPr>
          <w:p>
            <w:pPr>
              <w:spacing w:after="20"/>
            </w:pPr>
            <w:r>
              <w:rPr>
                <w:rFonts w:ascii="Times New Roman" w:hAnsi="Times New Roman"/>
                <w:sz w:val="16"/>
              </w:rPr>
              <w:t>Yes</w:t>
            </w:r>
          </w:p>
        </w:tc>
        <w:tc>
          <w:tcPr>
            <w:tcW w:type="dxa" w:w="2459"/>
            <w:tcBorders>
              <w:bottom w:val="single" w:sz="4" w:color="D7E1E9"/>
            </w:tcBorders>
            <w:vAlign w:val="center"/>
          </w:tcPr>
          <w:p>
            <w:pPr>
              <w:spacing w:after="20"/>
            </w:pPr>
            <w:r>
              <w:rPr>
                <w:rFonts w:ascii="Times New Roman" w:hAnsi="Times New Roman"/>
                <w:sz w:val="16"/>
              </w:rPr>
              <w:t>Any UO 1–4</w:t>
            </w:r>
          </w:p>
        </w:tc>
        <w:tc>
          <w:tcPr>
            <w:tcW w:type="dxa" w:w="2459"/>
            <w:tcBorders>
              <w:bottom w:val="single" w:sz="4" w:color="D7E1E9"/>
            </w:tcBorders>
            <w:vAlign w:val="center"/>
          </w:tcPr>
          <w:p>
            <w:pPr>
              <w:spacing w:after="20"/>
            </w:pPr>
            <w:r>
              <w:rPr>
                <w:rFonts w:ascii="Times New Roman" w:hAnsi="Times New Roman"/>
                <w:sz w:val="16"/>
              </w:rPr>
              <w:t>1</w:t>
            </w:r>
          </w:p>
        </w:tc>
        <w:tc>
          <w:tcPr>
            <w:tcW w:type="dxa" w:w="2459"/>
            <w:tcBorders>
              <w:bottom w:val="single" w:sz="4" w:color="D7E1E9"/>
            </w:tcBorders>
            <w:vAlign w:val="center"/>
          </w:tcPr>
          <w:p>
            <w:pPr>
              <w:spacing w:after="20"/>
            </w:pPr>
            <w:r>
              <w:rPr>
                <w:rFonts w:ascii="Times New Roman" w:hAnsi="Times New Roman"/>
                <w:sz w:val="16"/>
              </w:rPr>
              <w:t>Positive regardless of other unknown UOs</w:t>
            </w:r>
          </w:p>
        </w:tc>
      </w:tr>
      <w:tr>
        <w:tc>
          <w:tcPr>
            <w:tcW w:type="dxa" w:w="2459"/>
            <w:shd w:fill="F1F6F7"/>
            <w:tcBorders>
              <w:bottom w:val="single" w:sz="4" w:color="D7E1E9"/>
            </w:tcBorders>
            <w:vAlign w:val="center"/>
          </w:tcPr>
          <w:p>
            <w:pPr>
              <w:spacing w:after="20"/>
            </w:pPr>
            <w:r>
              <w:rPr>
                <w:rFonts w:ascii="Times New Roman" w:hAnsi="Times New Roman"/>
                <w:sz w:val="16"/>
              </w:rPr>
              <w:t>Yes</w:t>
            </w:r>
          </w:p>
        </w:tc>
        <w:tc>
          <w:tcPr>
            <w:tcW w:type="dxa" w:w="2459"/>
            <w:shd w:fill="F1F6F7"/>
            <w:tcBorders>
              <w:bottom w:val="single" w:sz="4" w:color="D7E1E9"/>
            </w:tcBorders>
            <w:vAlign w:val="center"/>
          </w:tcPr>
          <w:p>
            <w:pPr>
              <w:spacing w:after="20"/>
            </w:pPr>
            <w:r>
              <w:rPr>
                <w:rFonts w:ascii="Times New Roman" w:hAnsi="Times New Roman"/>
                <w:sz w:val="16"/>
              </w:rPr>
              <w:t>All applicable 0; any 95 justified; at least one 0</w:t>
            </w:r>
          </w:p>
        </w:tc>
        <w:tc>
          <w:tcPr>
            <w:tcW w:type="dxa" w:w="2459"/>
            <w:shd w:fill="F1F6F7"/>
            <w:tcBorders>
              <w:bottom w:val="single" w:sz="4" w:color="D7E1E9"/>
            </w:tcBorders>
            <w:vAlign w:val="center"/>
          </w:tcPr>
          <w:p>
            <w:pPr>
              <w:spacing w:after="20"/>
            </w:pPr>
            <w:r>
              <w:rPr>
                <w:rFonts w:ascii="Times New Roman" w:hAnsi="Times New Roman"/>
                <w:sz w:val="16"/>
              </w:rPr>
              <w:t>0</w:t>
            </w:r>
          </w:p>
        </w:tc>
        <w:tc>
          <w:tcPr>
            <w:tcW w:type="dxa" w:w="2459"/>
            <w:shd w:fill="F1F6F7"/>
            <w:tcBorders>
              <w:bottom w:val="single" w:sz="4" w:color="D7E1E9"/>
            </w:tcBorders>
            <w:vAlign w:val="center"/>
          </w:tcPr>
          <w:p>
            <w:pPr>
              <w:spacing w:after="20"/>
            </w:pPr>
            <w:r>
              <w:rPr>
                <w:rFonts w:ascii="Times New Roman" w:hAnsi="Times New Roman"/>
                <w:sz w:val="16"/>
              </w:rPr>
              <w:t>Complete negative</w:t>
            </w:r>
          </w:p>
        </w:tc>
      </w:tr>
      <w:tr>
        <w:tc>
          <w:tcPr>
            <w:tcW w:type="dxa" w:w="2459"/>
            <w:tcBorders>
              <w:bottom w:val="single" w:sz="4" w:color="D7E1E9"/>
            </w:tcBorders>
            <w:vAlign w:val="center"/>
          </w:tcPr>
          <w:p>
            <w:pPr>
              <w:spacing w:after="20"/>
            </w:pPr>
            <w:r>
              <w:rPr>
                <w:rFonts w:ascii="Times New Roman" w:hAnsi="Times New Roman"/>
                <w:sz w:val="16"/>
              </w:rPr>
              <w:t>Yes</w:t>
            </w:r>
          </w:p>
        </w:tc>
        <w:tc>
          <w:tcPr>
            <w:tcW w:type="dxa" w:w="2459"/>
            <w:tcBorders>
              <w:bottom w:val="single" w:sz="4" w:color="D7E1E9"/>
            </w:tcBorders>
            <w:vAlign w:val="center"/>
          </w:tcPr>
          <w:p>
            <w:pPr>
              <w:spacing w:after="20"/>
            </w:pPr>
            <w:r>
              <w:rPr>
                <w:rFonts w:ascii="Times New Roman" w:hAnsi="Times New Roman"/>
                <w:sz w:val="16"/>
              </w:rPr>
              <w:t>No positive; at least one 98/99/97</w:t>
            </w:r>
          </w:p>
        </w:tc>
        <w:tc>
          <w:tcPr>
            <w:tcW w:type="dxa" w:w="2459"/>
            <w:tcBorders>
              <w:bottom w:val="single" w:sz="4" w:color="D7E1E9"/>
            </w:tcBorders>
            <w:vAlign w:val="center"/>
          </w:tcPr>
          <w:p>
            <w:pPr>
              <w:spacing w:after="20"/>
            </w:pPr>
            <w:r>
              <w:rPr>
                <w:rFonts w:ascii="Times New Roman" w:hAnsi="Times New Roman"/>
                <w:sz w:val="16"/>
              </w:rPr>
              <w:t>Missing</w:t>
            </w:r>
          </w:p>
        </w:tc>
        <w:tc>
          <w:tcPr>
            <w:tcW w:type="dxa" w:w="2459"/>
            <w:tcBorders>
              <w:bottom w:val="single" w:sz="4" w:color="D7E1E9"/>
            </w:tcBorders>
            <w:vAlign w:val="center"/>
          </w:tcPr>
          <w:p>
            <w:pPr>
              <w:spacing w:after="20"/>
            </w:pPr>
            <w:r>
              <w:rPr>
                <w:rFonts w:ascii="Times New Roman" w:hAnsi="Times New Roman"/>
                <w:sz w:val="16"/>
              </w:rPr>
              <w:t>Follow missing-outcome rule</w:t>
            </w:r>
          </w:p>
        </w:tc>
      </w:tr>
      <w:tr>
        <w:tc>
          <w:tcPr>
            <w:tcW w:type="dxa" w:w="2459"/>
            <w:shd w:fill="F1F6F7"/>
            <w:tcBorders>
              <w:bottom w:val="single" w:sz="4" w:color="D7E1E9"/>
            </w:tcBorders>
            <w:vAlign w:val="center"/>
          </w:tcPr>
          <w:p>
            <w:pPr>
              <w:spacing w:after="20"/>
            </w:pPr>
            <w:r>
              <w:rPr>
                <w:rFonts w:ascii="Times New Roman" w:hAnsi="Times New Roman"/>
                <w:sz w:val="16"/>
              </w:rPr>
              <w:t>Yes</w:t>
            </w:r>
          </w:p>
        </w:tc>
        <w:tc>
          <w:tcPr>
            <w:tcW w:type="dxa" w:w="2459"/>
            <w:shd w:fill="F1F6F7"/>
            <w:tcBorders>
              <w:bottom w:val="single" w:sz="4" w:color="D7E1E9"/>
            </w:tcBorders>
            <w:vAlign w:val="center"/>
          </w:tcPr>
          <w:p>
            <w:pPr>
              <w:spacing w:after="20"/>
            </w:pPr>
            <w:r>
              <w:rPr>
                <w:rFonts w:ascii="Times New Roman" w:hAnsi="Times New Roman"/>
                <w:sz w:val="16"/>
              </w:rPr>
              <w:t>All 95</w:t>
            </w:r>
          </w:p>
        </w:tc>
        <w:tc>
          <w:tcPr>
            <w:tcW w:type="dxa" w:w="2459"/>
            <w:shd w:fill="F1F6F7"/>
            <w:tcBorders>
              <w:bottom w:val="single" w:sz="4" w:color="D7E1E9"/>
            </w:tcBorders>
            <w:vAlign w:val="center"/>
          </w:tcPr>
          <w:p>
            <w:pPr>
              <w:spacing w:after="20"/>
            </w:pPr>
            <w:r>
              <w:rPr>
                <w:rFonts w:ascii="Times New Roman" w:hAnsi="Times New Roman"/>
                <w:sz w:val="16"/>
              </w:rPr>
              <w:t>Missing / check</w:t>
            </w:r>
          </w:p>
        </w:tc>
        <w:tc>
          <w:tcPr>
            <w:tcW w:type="dxa" w:w="2459"/>
            <w:shd w:fill="F1F6F7"/>
            <w:tcBorders>
              <w:bottom w:val="single" w:sz="4" w:color="D7E1E9"/>
            </w:tcBorders>
            <w:vAlign w:val="center"/>
          </w:tcPr>
          <w:p>
            <w:pPr>
              <w:spacing w:after="20"/>
            </w:pPr>
            <w:r>
              <w:rPr>
                <w:rFonts w:ascii="Times New Roman" w:hAnsi="Times New Roman"/>
                <w:sz w:val="16"/>
              </w:rPr>
              <w:t>No applicable item: expert/pilot review</w:t>
            </w:r>
          </w:p>
        </w:tc>
      </w:tr>
      <w:tr>
        <w:tc>
          <w:tcPr>
            <w:tcW w:type="dxa" w:w="2459"/>
            <w:tcBorders>
              <w:bottom w:val="single" w:sz="4" w:color="D7E1E9"/>
            </w:tcBorders>
            <w:vAlign w:val="center"/>
          </w:tcPr>
          <w:p>
            <w:pPr>
              <w:spacing w:after="20"/>
            </w:pPr>
            <w:r>
              <w:rPr>
                <w:rFonts w:ascii="Times New Roman" w:hAnsi="Times New Roman"/>
                <w:sz w:val="16"/>
              </w:rPr>
              <w:t>Unknown/declined</w:t>
            </w:r>
          </w:p>
        </w:tc>
        <w:tc>
          <w:tcPr>
            <w:tcW w:type="dxa" w:w="2459"/>
            <w:tcBorders>
              <w:bottom w:val="single" w:sz="4" w:color="D7E1E9"/>
            </w:tcBorders>
            <w:vAlign w:val="center"/>
          </w:tcPr>
          <w:p>
            <w:pPr>
              <w:spacing w:after="20"/>
            </w:pPr>
            <w:r>
              <w:rPr>
                <w:rFonts w:ascii="Times New Roman" w:hAnsi="Times New Roman"/>
                <w:sz w:val="16"/>
              </w:rPr>
              <w:t>Not asked</w:t>
            </w:r>
          </w:p>
        </w:tc>
        <w:tc>
          <w:tcPr>
            <w:tcW w:type="dxa" w:w="2459"/>
            <w:tcBorders>
              <w:bottom w:val="single" w:sz="4" w:color="D7E1E9"/>
            </w:tcBorders>
            <w:vAlign w:val="center"/>
          </w:tcPr>
          <w:p>
            <w:pPr>
              <w:spacing w:after="20"/>
            </w:pPr>
            <w:r>
              <w:rPr>
                <w:rFonts w:ascii="Times New Roman" w:hAnsi="Times New Roman"/>
                <w:sz w:val="16"/>
              </w:rPr>
              <w:t>Missing</w:t>
            </w:r>
          </w:p>
        </w:tc>
        <w:tc>
          <w:tcPr>
            <w:tcW w:type="dxa" w:w="2459"/>
            <w:tcBorders>
              <w:bottom w:val="single" w:sz="4" w:color="D7E1E9"/>
            </w:tcBorders>
            <w:vAlign w:val="center"/>
          </w:tcPr>
          <w:p>
            <w:pPr>
              <w:spacing w:after="20"/>
            </w:pPr>
            <w:r>
              <w:rPr>
                <w:rFonts w:ascii="Times New Roman" w:hAnsi="Times New Roman"/>
                <w:sz w:val="16"/>
              </w:rPr>
              <w:t>Stop</w:t>
            </w:r>
          </w:p>
        </w:tc>
      </w:tr>
    </w:tbl>
    <w:p>
      <w:pPr>
        <w:spacing w:after="20"/>
      </w:pPr>
    </w:p>
    <w:p>
      <w:pPr>
        <w:pStyle w:val="Heading1"/>
      </w:pPr>
      <w:r>
        <w:t>Pre-field expert decisions and limitations</w:t>
      </w:r>
    </w:p>
    <w:p>
      <w:r>
        <w:t>Privacy: No participant name, phone, license number, employer name, bus plate or exact GPS. Record random case ID, broad site, interviewer code, date, language, duration and disposition only. Keep consent separate from responses.</w:t>
      </w:r>
    </w:p>
    <w:p>
      <w:r>
        <w:t>Eligibility: A1 Yes, A2 Yes, A3 main/relief, A4 valid, A5 &gt;= six months, A6 Yes; then ask D1. D1 Yes required for main overtaking-eligible analytical population.</w:t>
      </w:r>
    </w:p>
    <w:p>
      <w:r>
        <w:t>Non-leading: Use identical question wording and neutral cards. Do not label an illustration “wrong answer” or explain what the driver ought to report.</w:t>
      </w:r>
    </w:p>
    <w:p>
      <w:r>
        <w:t>Missing codes: 95 no relevant opportunity/inapplicability, 96 skip, 97 incomplete/data issue, 98 cannot recall/judge/estimate, 99 refusal; none is a legitimate numeric measurement.</w:t>
      </w:r>
    </w:p>
    <w:p>
      <w:r>
        <w:t>Primary outcome: Y=1 when D1 Yes AND any UO1–UO5 category 1–4. Y=0 only if D1 Yes AND all applicable UO are 0, with at least one applicable 0, and all nonzero responses are justified 95. If any UO missing/98/99 and there is no positive, Y remains missing.</w:t>
      </w:r>
    </w:p>
    <w:p>
      <w:r>
        <w:t>No-opportunity guard: A 95 requires interviewer-confirmed condition-specific reason. Example UO2: respondent did not overtake on a two-way undivided road, not simply that no unsafe gap occurred. Do not recode 95 as 0.</w:t>
      </w:r>
    </w:p>
    <w:p>
      <w:r>
        <w:t>Cross-sectional limitation: S1 covers any 12-month collision and S2 a 3-month overtaking near-crash; both examined only as exploratory RO1 outcomes, not predictors of primary Y. Same-respondent reporting and recall periods prevent causal/temporal claims.</w:t>
      </w:r>
    </w:p>
    <w:p>
      <w:r>
        <w:t>Model preparation: Outcome questions and safety outcomes must never appear as features for Y prediction. Select a parsimonious prespecified Bayesian model; ML preprocessing and tuning must stay inside training folds; do not encode missing codes as numbers.</w:t>
      </w:r>
    </w:p>
    <w:p>
      <w:r>
        <w:t>Field status: For proposal defense/expert and cognitive review. Approval and pilot are required before participant recruitment and real data collection.</w:t>
      </w:r>
    </w:p>
    <w:p>
      <w:r>
        <w:t>Critical unresolved issue for expert review: wording and opportunity logic for UO1–UO5, especially UO4 where recognition of applicable signs is uncertain; visual-card neutrality; possible social-desirability underreporting; case count and class prevalence; questionnaire completion time; whether S1 all-crash history and S2 overtaking-specific near-crash history are distinct enough for descriptive interpretation. Do not claim a validated psychometric scale or evidence of causal effects.</w:t>
      </w:r>
    </w:p>
    <w:sectPr w:rsidR="00FC693F" w:rsidRPr="0006063C" w:rsidSect="00034616">
      <w:headerReference w:type="default" r:id="rId9"/>
      <w:footerReference w:type="default" r:id="rId10"/>
      <w:pgSz w:w="11909" w:h="16834"/>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Times New Roman" w:hAnsi="Times New Roman"/>
        <w:color w:val="0C7D77"/>
        <w:sz w:val="14"/>
      </w:rPr>
      <w:t>TRANSPORTATION ENGINEERING  /  MS THESIS PROPOSAL  /  EXPERT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Times New Roman" w:hAnsi="Times New Roman" w:eastAsia="Times New Roman"/>
      <w:color w:val="1128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eastAsia="Times New Roman"/>
      <w:b/>
      <w:bCs/>
      <w:color w:val="112844"/>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eastAsia="Times New Roman"/>
      <w:b/>
      <w:bCs/>
      <w:color w:val="0C7D7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20"/>
      <w:contextualSpacing/>
    </w:pPr>
    <w:rPr>
      <w:rFonts w:asciiTheme="majorHAnsi" w:eastAsiaTheme="majorEastAsia" w:hAnsiTheme="majorHAnsi" w:cstheme="majorBidi" w:ascii="Times New Roman" w:hAnsi="Times New Roman" w:eastAsia="Times New Roman"/>
      <w:b/>
      <w:color w:val="11284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