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Calibri" w:hAnsi="Calibri"/>
          <w:b/>
          <w:color w:val="000000"/>
          <w:sz w:val="40"/>
        </w:rPr>
        <w:t>Network Architecture — Secure Messenger</w:t>
      </w:r>
    </w:p>
    <w:p>
      <w:pPr>
        <w:spacing w:before="360" w:after="120"/>
      </w:pPr>
      <w:r>
        <w:rPr>
          <w:rFonts w:ascii="Calibri" w:hAnsi="Calibri"/>
          <w:b/>
          <w:color w:val="000000"/>
          <w:sz w:val="28"/>
        </w:rPr>
        <w:t>1. System Architecture Diagram</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Web Browser       │──── HTTPS (443)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Web Crypto API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TLS Gateway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C++ CLI Client    │──HTTPS──│  theburkenator.com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libcurl + OpenSSL │  (443)  │  Let's Encrypt certificate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TLS 1.2 / 1.3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HTTP port 80</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(internal / private network)</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Ubuntu VM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FastAPI (uvicorn :80)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POST /auth/register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POST /auth/login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POST /auth/logout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PUT  /auth/password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GET/POST /messages/*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GET  /users/{username}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 GET  /app/*  (static)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SQLite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secure_messenger.db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HTTPS (443)</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background thread,</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per-message send</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Alchemy / Infura RPC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Sepolia HTTPS endpoint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JSON-RPC over HTTPS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Ethereum Sepolia Testnet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MessageDigest contract    │</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 xml:space="preserve">                                  │  0xc8ABe2E8fB438F9120...   │</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 xml:space="preserve">                                  └───────────────────────────┘</w:t>
      </w:r>
    </w:p>
    <w:p>
      <w:pPr>
        <w:spacing w:before="0" w:after="160"/>
      </w:pPr>
    </w:p>
    <w:p>
      <w:pPr>
        <w:spacing w:before="360" w:after="120"/>
      </w:pPr>
      <w:r>
        <w:rPr>
          <w:rFonts w:ascii="Calibri" w:hAnsi="Calibri"/>
          <w:b/>
          <w:color w:val="000000"/>
          <w:sz w:val="28"/>
        </w:rPr>
        <w:t>2. Component Descriptions</w:t>
      </w:r>
    </w:p>
    <w:p>
      <w:pPr>
        <w:spacing w:before="240" w:after="80"/>
      </w:pPr>
      <w:r>
        <w:rPr>
          <w:rFonts w:ascii="Calibri" w:hAnsi="Calibri"/>
          <w:b/>
          <w:color w:val="000000"/>
          <w:sz w:val="24"/>
        </w:rPr>
        <w:t>Web Browser Client</w:t>
      </w:r>
    </w:p>
    <w:p>
      <w:pPr>
        <w:spacing w:before="0" w:after="120"/>
      </w:pPr>
      <w:r>
        <w:rPr>
          <w:rFonts w:ascii="Calibri" w:hAnsi="Calibri"/>
          <w:b w:val="0"/>
          <w:color w:val="000000"/>
          <w:sz w:val="22"/>
        </w:rPr>
        <w:t xml:space="preserve">A static HTML/CSS/JavaScript application served by FastAPI at </w:t>
      </w:r>
      <w:r>
        <w:rPr>
          <w:rFonts w:ascii="Courier New" w:hAnsi="Courier New"/>
          <w:color w:val="1E1E1E"/>
          <w:sz w:val="20"/>
        </w:rPr>
        <w:t>/app</w:t>
      </w:r>
      <w:r>
        <w:rPr>
          <w:rFonts w:ascii="Calibri" w:hAnsi="Calibri"/>
          <w:b w:val="0"/>
          <w:color w:val="000000"/>
          <w:sz w:val="22"/>
        </w:rPr>
        <w:t xml:space="preserve">. All cryptographic operations (key generation, HPKE encryption/decryption) execute entirely inside the browser using the </w:t>
      </w:r>
      <w:r>
        <w:rPr>
          <w:rFonts w:ascii="Calibri" w:hAnsi="Calibri"/>
          <w:b/>
          <w:color w:val="000000"/>
          <w:sz w:val="22"/>
        </w:rPr>
        <w:t>Web Crypto API</w:t>
      </w:r>
      <w:r>
        <w:rPr>
          <w:rFonts w:ascii="Calibri" w:hAnsi="Calibri"/>
          <w:b w:val="0"/>
          <w:color w:val="000000"/>
          <w:sz w:val="22"/>
        </w:rPr>
        <w:t xml:space="preserve"> — plaintext never leaves the browser. The private key is stored as a non-extractable </w:t>
      </w:r>
      <w:r>
        <w:rPr>
          <w:rFonts w:ascii="Courier New" w:hAnsi="Courier New"/>
          <w:color w:val="1E1E1E"/>
          <w:sz w:val="20"/>
        </w:rPr>
        <w:t>CryptoKey</w:t>
      </w:r>
      <w:r>
        <w:rPr>
          <w:rFonts w:ascii="Calibri" w:hAnsi="Calibri"/>
          <w:b w:val="0"/>
          <w:color w:val="000000"/>
          <w:sz w:val="22"/>
        </w:rPr>
        <w:t xml:space="preserve"> in IndexedDB. The JWT access token is stored in </w:t>
      </w:r>
      <w:r>
        <w:rPr>
          <w:rFonts w:ascii="Courier New" w:hAnsi="Courier New"/>
          <w:color w:val="1E1E1E"/>
          <w:sz w:val="20"/>
        </w:rPr>
        <w:t>localStorage</w:t>
      </w:r>
      <w:r>
        <w:rPr>
          <w:rFonts w:ascii="Calibri" w:hAnsi="Calibri"/>
          <w:b w:val="0"/>
          <w:color w:val="000000"/>
          <w:sz w:val="22"/>
        </w:rPr>
        <w:t>.</w:t>
      </w:r>
    </w:p>
    <w:p>
      <w:pPr>
        <w:spacing w:before="0" w:after="120"/>
      </w:pPr>
      <w:r>
        <w:rPr>
          <w:rFonts w:ascii="Calibri" w:hAnsi="Calibri"/>
          <w:b w:val="0"/>
          <w:color w:val="000000"/>
          <w:sz w:val="22"/>
        </w:rPr>
        <w:t>Minimum browser requirements for X25519 support: Chrome 113+, Edge 113+, Safari 17+, Firefox 130+.</w:t>
      </w:r>
    </w:p>
    <w:p>
      <w:pPr>
        <w:spacing w:before="240" w:after="80"/>
      </w:pPr>
      <w:r>
        <w:rPr>
          <w:rFonts w:ascii="Calibri" w:hAnsi="Calibri"/>
          <w:b/>
          <w:color w:val="000000"/>
          <w:sz w:val="24"/>
        </w:rPr>
        <w:t>C++ CLI Client</w:t>
      </w:r>
    </w:p>
    <w:p>
      <w:pPr>
        <w:spacing w:before="0" w:after="120"/>
      </w:pPr>
      <w:r>
        <w:rPr>
          <w:rFonts w:ascii="Calibri" w:hAnsi="Calibri"/>
          <w:b w:val="0"/>
          <w:color w:val="000000"/>
          <w:sz w:val="22"/>
        </w:rPr>
        <w:t>A command-line application (</w:t>
      </w:r>
      <w:r>
        <w:rPr>
          <w:rFonts w:ascii="Courier New" w:hAnsi="Courier New"/>
          <w:color w:val="1E1E1E"/>
          <w:sz w:val="20"/>
        </w:rPr>
        <w:t>cpp-client/build/secure_messenger</w:t>
      </w:r>
      <w:r>
        <w:rPr>
          <w:rFonts w:ascii="Calibri" w:hAnsi="Calibri"/>
          <w:b w:val="0"/>
          <w:color w:val="000000"/>
          <w:sz w:val="22"/>
        </w:rPr>
        <w:t xml:space="preserve">) built with CMake. Uses </w:t>
      </w:r>
      <w:r>
        <w:rPr>
          <w:rFonts w:ascii="Calibri" w:hAnsi="Calibri"/>
          <w:b/>
          <w:color w:val="000000"/>
          <w:sz w:val="22"/>
        </w:rPr>
        <w:t>libcurl</w:t>
      </w:r>
      <w:r>
        <w:rPr>
          <w:rFonts w:ascii="Calibri" w:hAnsi="Calibri"/>
          <w:b w:val="0"/>
          <w:color w:val="000000"/>
          <w:sz w:val="22"/>
        </w:rPr>
        <w:t xml:space="preserve"> for HTTPS transport (with TLS verification enabled by default) and </w:t>
      </w:r>
      <w:r>
        <w:rPr>
          <w:rFonts w:ascii="Calibri" w:hAnsi="Calibri"/>
          <w:b/>
          <w:color w:val="000000"/>
          <w:sz w:val="22"/>
        </w:rPr>
        <w:t>libsodium</w:t>
      </w:r>
      <w:r>
        <w:rPr>
          <w:rFonts w:ascii="Calibri" w:hAnsi="Calibri"/>
          <w:b w:val="0"/>
          <w:color w:val="000000"/>
          <w:sz w:val="22"/>
        </w:rPr>
        <w:t xml:space="preserve"> for cryptography (Curve25519 key generation, ChaCha20-Poly1305-IETF encryption). Keys are held in process memory only; the CLI prints the base64-encoded private key at generation time for external backup.</w:t>
      </w:r>
    </w:p>
    <w:p>
      <w:pPr>
        <w:spacing w:before="240" w:after="80"/>
      </w:pPr>
      <w:r>
        <w:rPr>
          <w:rFonts w:ascii="Calibri" w:hAnsi="Calibri"/>
          <w:b/>
          <w:color w:val="000000"/>
          <w:sz w:val="24"/>
        </w:rPr>
        <w:t>FastAPI Backend</w:t>
      </w:r>
    </w:p>
    <w:p>
      <w:pPr>
        <w:spacing w:before="0" w:after="120"/>
      </w:pPr>
      <w:r>
        <w:rPr>
          <w:rFonts w:ascii="Calibri" w:hAnsi="Calibri"/>
          <w:b w:val="0"/>
          <w:color w:val="000000"/>
          <w:sz w:val="22"/>
        </w:rPr>
        <w:t xml:space="preserve">A Python 3.11+ ASGI application served by </w:t>
      </w:r>
      <w:r>
        <w:rPr>
          <w:rFonts w:ascii="Calibri" w:hAnsi="Calibri"/>
          <w:b/>
          <w:color w:val="000000"/>
          <w:sz w:val="22"/>
        </w:rPr>
        <w:t>uvicorn</w:t>
      </w:r>
      <w:r>
        <w:rPr>
          <w:rFonts w:ascii="Calibri" w:hAnsi="Calibri"/>
          <w:b w:val="0"/>
          <w:color w:val="000000"/>
          <w:sz w:val="22"/>
        </w:rPr>
        <w:t xml:space="preserve"> on port 80. Handles authentication, message routing, access control, and blockchain anchoring. Request/response bodies are validated by </w:t>
      </w:r>
      <w:r>
        <w:rPr>
          <w:rFonts w:ascii="Calibri" w:hAnsi="Calibri"/>
          <w:b/>
          <w:color w:val="000000"/>
          <w:sz w:val="22"/>
        </w:rPr>
        <w:t>Pydantic</w:t>
      </w:r>
      <w:r>
        <w:rPr>
          <w:rFonts w:ascii="Calibri" w:hAnsi="Calibri"/>
          <w:b w:val="0"/>
          <w:color w:val="000000"/>
          <w:sz w:val="22"/>
        </w:rPr>
        <w:t xml:space="preserve"> schemas. All endpoints that handle messages enforce JWT authentication via the </w:t>
      </w:r>
      <w:r>
        <w:rPr>
          <w:rFonts w:ascii="Courier New" w:hAnsi="Courier New"/>
          <w:color w:val="1E1E1E"/>
          <w:sz w:val="20"/>
        </w:rPr>
        <w:t>get_current_user</w:t>
      </w:r>
      <w:r>
        <w:rPr>
          <w:rFonts w:ascii="Calibri" w:hAnsi="Calibri"/>
          <w:b w:val="0"/>
          <w:color w:val="000000"/>
          <w:sz w:val="22"/>
        </w:rPr>
        <w:t xml:space="preserve"> dependency, which verifies the token signature, expiry, and type claim, then reloads the user from the database on every request.</w:t>
      </w:r>
    </w:p>
    <w:p>
      <w:pPr>
        <w:spacing w:before="0" w:after="120"/>
      </w:pPr>
      <w:r>
        <w:rPr>
          <w:rFonts w:ascii="Calibri" w:hAnsi="Calibri"/>
          <w:b w:val="0"/>
          <w:color w:val="000000"/>
          <w:sz w:val="22"/>
        </w:rPr>
        <w:t>The blockchain anchoring call (</w:t>
      </w:r>
      <w:r>
        <w:rPr>
          <w:rFonts w:ascii="Courier New" w:hAnsi="Courier New"/>
          <w:color w:val="1E1E1E"/>
          <w:sz w:val="20"/>
        </w:rPr>
        <w:t>record_message_digest</w:t>
      </w:r>
      <w:r>
        <w:rPr>
          <w:rFonts w:ascii="Calibri" w:hAnsi="Calibri"/>
          <w:b w:val="0"/>
          <w:color w:val="000000"/>
          <w:sz w:val="22"/>
        </w:rPr>
        <w:t xml:space="preserve">) runs in a </w:t>
      </w:r>
      <w:r>
        <w:rPr>
          <w:rFonts w:ascii="Calibri" w:hAnsi="Calibri"/>
          <w:b/>
          <w:color w:val="000000"/>
          <w:sz w:val="22"/>
        </w:rPr>
        <w:t>daemon thread</w:t>
      </w:r>
      <w:r>
        <w:rPr>
          <w:rFonts w:ascii="Calibri" w:hAnsi="Calibri"/>
          <w:b w:val="0"/>
          <w:color w:val="000000"/>
          <w:sz w:val="22"/>
        </w:rPr>
        <w:t xml:space="preserve"> after the HTTP response is returned, so Sepolia's ~15–30 s block confirmation time does not delay the client.</w:t>
      </w:r>
    </w:p>
    <w:p>
      <w:pPr>
        <w:spacing w:before="240" w:after="80"/>
      </w:pPr>
      <w:r>
        <w:rPr>
          <w:rFonts w:ascii="Calibri" w:hAnsi="Calibri"/>
          <w:b/>
          <w:color w:val="000000"/>
          <w:sz w:val="24"/>
        </w:rPr>
        <w:t>SQLite Database</w:t>
      </w:r>
    </w:p>
    <w:p>
      <w:pPr>
        <w:spacing w:before="0" w:after="120"/>
      </w:pPr>
      <w:r>
        <w:rPr>
          <w:rFonts w:ascii="Calibri" w:hAnsi="Calibri"/>
          <w:b w:val="0"/>
          <w:color w:val="000000"/>
          <w:sz w:val="22"/>
        </w:rPr>
        <w:t>A single-file database (</w:t>
      </w:r>
      <w:r>
        <w:rPr>
          <w:rFonts w:ascii="Courier New" w:hAnsi="Courier New"/>
          <w:color w:val="1E1E1E"/>
          <w:sz w:val="20"/>
        </w:rPr>
        <w:t>secure_messenger.db</w:t>
      </w:r>
      <w:r>
        <w:rPr>
          <w:rFonts w:ascii="Calibri" w:hAnsi="Calibri"/>
          <w:b w:val="0"/>
          <w:color w:val="000000"/>
          <w:sz w:val="22"/>
        </w:rPr>
        <w:t xml:space="preserve">) co-located on the VM. Managed via </w:t>
      </w:r>
      <w:r>
        <w:rPr>
          <w:rFonts w:ascii="Calibri" w:hAnsi="Calibri"/>
          <w:b/>
          <w:color w:val="000000"/>
          <w:sz w:val="22"/>
        </w:rPr>
        <w:t>SQLAlchemy 2.0</w:t>
      </w:r>
      <w:r>
        <w:rPr>
          <w:rFonts w:ascii="Calibri" w:hAnsi="Calibri"/>
          <w:b w:val="0"/>
          <w:color w:val="000000"/>
          <w:sz w:val="22"/>
        </w:rPr>
        <w:t xml:space="preserve"> ORM. All queries use parameterised statements, preventing SQL injection. The database stores users, messages (ciphertext only), message access records, and a local blockchain audit chain. The file path is hardcoded in </w:t>
      </w:r>
      <w:r>
        <w:rPr>
          <w:rFonts w:ascii="Courier New" w:hAnsi="Courier New"/>
          <w:color w:val="1E1E1E"/>
          <w:sz w:val="20"/>
        </w:rPr>
        <w:t>backend/database.py</w:t>
      </w:r>
      <w:r>
        <w:rPr>
          <w:rFonts w:ascii="Calibri" w:hAnsi="Calibri"/>
          <w:b w:val="0"/>
          <w:color w:val="000000"/>
          <w:sz w:val="22"/>
        </w:rPr>
        <w:t>.</w:t>
      </w:r>
    </w:p>
    <w:p>
      <w:pPr>
        <w:spacing w:before="240" w:after="80"/>
      </w:pPr>
      <w:r>
        <w:rPr>
          <w:rFonts w:ascii="Calibri" w:hAnsi="Calibri"/>
          <w:b/>
          <w:color w:val="000000"/>
          <w:sz w:val="24"/>
        </w:rPr>
        <w:t>Sepolia Smart Contract (`MessageDigest`)</w:t>
      </w:r>
    </w:p>
    <w:p>
      <w:pPr>
        <w:spacing w:before="0" w:after="120"/>
      </w:pPr>
      <w:r>
        <w:rPr>
          <w:rFonts w:ascii="Calibri" w:hAnsi="Calibri"/>
          <w:b w:val="0"/>
          <w:color w:val="000000"/>
          <w:sz w:val="22"/>
        </w:rPr>
        <w:t xml:space="preserve">A Solidity 0.8.20 contract deployed at </w:t>
      </w:r>
      <w:r>
        <w:rPr>
          <w:rFonts w:ascii="Courier New" w:hAnsi="Courier New"/>
          <w:color w:val="1E1E1E"/>
          <w:sz w:val="20"/>
        </w:rPr>
        <w:t>0xc8ABe2E8fB438F9120ED63c22ed9074F586586f6</w:t>
      </w:r>
      <w:r>
        <w:rPr>
          <w:rFonts w:ascii="Calibri" w:hAnsi="Calibri"/>
          <w:b w:val="0"/>
          <w:color w:val="000000"/>
          <w:sz w:val="22"/>
        </w:rPr>
        <w:t xml:space="preserve"> on the Ethereum Sepolia testnet. Provides an append-only, permissioned hash registry: only the deployer wallet can call </w:t>
      </w:r>
      <w:r>
        <w:rPr>
          <w:rFonts w:ascii="Courier New" w:hAnsi="Courier New"/>
          <w:color w:val="1E1E1E"/>
          <w:sz w:val="20"/>
        </w:rPr>
        <w:t>recordHash</w:t>
      </w:r>
      <w:r>
        <w:rPr>
          <w:rFonts w:ascii="Calibri" w:hAnsi="Calibri"/>
          <w:b w:val="0"/>
          <w:color w:val="000000"/>
          <w:sz w:val="22"/>
        </w:rPr>
        <w:t>; reads are public. Once a keccak256 hash is recorded, it cannot be altered or deleted — independent tamper evidence for the SQLite message log.</w:t>
      </w:r>
    </w:p>
    <w:p>
      <w:pPr>
        <w:spacing w:before="240" w:after="80"/>
      </w:pPr>
      <w:r>
        <w:rPr>
          <w:rFonts w:ascii="Calibri" w:hAnsi="Calibri"/>
          <w:b/>
          <w:color w:val="000000"/>
          <w:sz w:val="24"/>
        </w:rPr>
        <w:t>TLS Gateway</w:t>
      </w:r>
    </w:p>
    <w:p>
      <w:pPr>
        <w:spacing w:before="0" w:after="120"/>
      </w:pPr>
      <w:r>
        <w:rPr>
          <w:rFonts w:ascii="Calibri" w:hAnsi="Calibri"/>
          <w:b w:val="0"/>
          <w:color w:val="000000"/>
          <w:sz w:val="22"/>
        </w:rPr>
        <w:t xml:space="preserve">A reverse proxy at </w:t>
      </w:r>
      <w:r>
        <w:rPr>
          <w:rFonts w:ascii="Courier New" w:hAnsi="Courier New"/>
          <w:color w:val="1E1E1E"/>
          <w:sz w:val="20"/>
        </w:rPr>
        <w:t>theburkenator.com</w:t>
      </w:r>
      <w:r>
        <w:rPr>
          <w:rFonts w:ascii="Calibri" w:hAnsi="Calibri"/>
          <w:b w:val="0"/>
          <w:color w:val="000000"/>
          <w:sz w:val="22"/>
        </w:rPr>
        <w:t xml:space="preserve"> that terminates TLS connections from the public internet and forwards requests to the VM over HTTP on port 80 via the private network. Issues a </w:t>
      </w:r>
      <w:r>
        <w:rPr>
          <w:rFonts w:ascii="Calibri" w:hAnsi="Calibri"/>
          <w:b/>
          <w:color w:val="000000"/>
          <w:sz w:val="22"/>
        </w:rPr>
        <w:t>Let's Encrypt</w:t>
      </w:r>
      <w:r>
        <w:rPr>
          <w:rFonts w:ascii="Calibri" w:hAnsi="Calibri"/>
          <w:b w:val="0"/>
          <w:color w:val="000000"/>
          <w:sz w:val="22"/>
        </w:rPr>
        <w:t xml:space="preserve"> certificate renewed automatically. The VM is not directly exposed to the public internet on port 80; all external traffic passes through the gateway.</w:t>
      </w:r>
    </w:p>
    <w:p>
      <w:pPr>
        <w:spacing w:before="360" w:after="120"/>
      </w:pPr>
      <w:r>
        <w:rPr>
          <w:rFonts w:ascii="Calibri" w:hAnsi="Calibri"/>
          <w:b/>
          <w:color w:val="000000"/>
          <w:sz w:val="28"/>
        </w:rPr>
        <w:t>3. Network Connections</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1344"/>
        <w:gridCol w:w="1344"/>
        <w:gridCol w:w="1344"/>
        <w:gridCol w:w="1344"/>
        <w:gridCol w:w="1344"/>
        <w:gridCol w:w="1344"/>
        <w:gridCol w:w="1344"/>
      </w:tblGrid>
      <w:tr>
        <w:tc>
          <w:tcPr>
            <w:tcW w:type="dxa" w:w="1344"/>
            <w:shd w:val="clear" w:color="auto" w:fill="F0F0F0"/>
            <w:vAlign w:val="center"/>
          </w:tcPr>
          <w:p>
            <w:pPr>
              <w:jc w:val="left"/>
            </w:pPr>
            <w:r>
              <w:rPr>
                <w:rFonts w:ascii="Calibri" w:hAnsi="Calibri"/>
                <w:b/>
                <w:color w:val="000000"/>
                <w:sz w:val="20"/>
              </w:rPr>
              <w:t>#</w:t>
            </w:r>
          </w:p>
        </w:tc>
        <w:tc>
          <w:tcPr>
            <w:tcW w:type="dxa" w:w="1344"/>
            <w:shd w:val="clear" w:color="auto" w:fill="F0F0F0"/>
            <w:vAlign w:val="center"/>
          </w:tcPr>
          <w:p>
            <w:pPr>
              <w:jc w:val="left"/>
            </w:pPr>
            <w:r>
              <w:rPr>
                <w:rFonts w:ascii="Calibri" w:hAnsi="Calibri"/>
                <w:b/>
                <w:color w:val="000000"/>
                <w:sz w:val="20"/>
              </w:rPr>
              <w:t>Source</w:t>
            </w:r>
          </w:p>
        </w:tc>
        <w:tc>
          <w:tcPr>
            <w:tcW w:type="dxa" w:w="1344"/>
            <w:shd w:val="clear" w:color="auto" w:fill="F0F0F0"/>
            <w:vAlign w:val="center"/>
          </w:tcPr>
          <w:p>
            <w:pPr>
              <w:jc w:val="left"/>
            </w:pPr>
            <w:r>
              <w:rPr>
                <w:rFonts w:ascii="Calibri" w:hAnsi="Calibri"/>
                <w:b/>
                <w:color w:val="000000"/>
                <w:sz w:val="20"/>
              </w:rPr>
              <w:t>Destination</w:t>
            </w:r>
          </w:p>
        </w:tc>
        <w:tc>
          <w:tcPr>
            <w:tcW w:type="dxa" w:w="1344"/>
            <w:shd w:val="clear" w:color="auto" w:fill="F0F0F0"/>
            <w:vAlign w:val="center"/>
          </w:tcPr>
          <w:p>
            <w:pPr>
              <w:jc w:val="left"/>
            </w:pPr>
            <w:r>
              <w:rPr>
                <w:rFonts w:ascii="Calibri" w:hAnsi="Calibri"/>
                <w:b/>
                <w:color w:val="000000"/>
                <w:sz w:val="20"/>
              </w:rPr>
              <w:t>Protocol</w:t>
            </w:r>
          </w:p>
        </w:tc>
        <w:tc>
          <w:tcPr>
            <w:tcW w:type="dxa" w:w="1344"/>
            <w:shd w:val="clear" w:color="auto" w:fill="F0F0F0"/>
            <w:vAlign w:val="center"/>
          </w:tcPr>
          <w:p>
            <w:pPr>
              <w:jc w:val="left"/>
            </w:pPr>
            <w:r>
              <w:rPr>
                <w:rFonts w:ascii="Calibri" w:hAnsi="Calibri"/>
                <w:b/>
                <w:color w:val="000000"/>
                <w:sz w:val="20"/>
              </w:rPr>
              <w:t>Port</w:t>
            </w:r>
          </w:p>
        </w:tc>
        <w:tc>
          <w:tcPr>
            <w:tcW w:type="dxa" w:w="1344"/>
            <w:shd w:val="clear" w:color="auto" w:fill="F0F0F0"/>
            <w:vAlign w:val="center"/>
          </w:tcPr>
          <w:p>
            <w:pPr>
              <w:jc w:val="left"/>
            </w:pPr>
            <w:r>
              <w:rPr>
                <w:rFonts w:ascii="Calibri" w:hAnsi="Calibri"/>
                <w:b/>
                <w:color w:val="000000"/>
                <w:sz w:val="20"/>
              </w:rPr>
              <w:t>Encrypted</w:t>
            </w:r>
          </w:p>
        </w:tc>
        <w:tc>
          <w:tcPr>
            <w:tcW w:type="dxa" w:w="1344"/>
            <w:shd w:val="clear" w:color="auto" w:fill="F0F0F0"/>
            <w:vAlign w:val="center"/>
          </w:tcPr>
          <w:p>
            <w:pPr>
              <w:jc w:val="left"/>
            </w:pPr>
            <w:r>
              <w:rPr>
                <w:rFonts w:ascii="Calibri" w:hAnsi="Calibri"/>
                <w:b/>
                <w:color w:val="000000"/>
                <w:sz w:val="20"/>
              </w:rPr>
              <w:t>Notes</w:t>
            </w:r>
          </w:p>
        </w:tc>
      </w:tr>
      <w:tr>
        <w:tc>
          <w:tcPr>
            <w:tcW w:type="dxa" w:w="1344"/>
            <w:shd w:val="clear" w:color="auto" w:fill="FAFAFA"/>
            <w:vAlign w:val="center"/>
          </w:tcPr>
          <w:p>
            <w:pPr>
              <w:jc w:val="left"/>
            </w:pPr>
            <w:r>
              <w:rPr>
                <w:rFonts w:ascii="Calibri" w:hAnsi="Calibri"/>
                <w:b w:val="0"/>
                <w:color w:val="000000"/>
                <w:sz w:val="20"/>
              </w:rPr>
              <w:t>1</w:t>
            </w:r>
          </w:p>
        </w:tc>
        <w:tc>
          <w:tcPr>
            <w:tcW w:type="dxa" w:w="1344"/>
            <w:shd w:val="clear" w:color="auto" w:fill="FAFAFA"/>
            <w:vAlign w:val="center"/>
          </w:tcPr>
          <w:p>
            <w:pPr>
              <w:jc w:val="left"/>
            </w:pPr>
            <w:r>
              <w:rPr>
                <w:rFonts w:ascii="Calibri" w:hAnsi="Calibri"/>
                <w:b w:val="0"/>
                <w:color w:val="000000"/>
                <w:sz w:val="20"/>
              </w:rPr>
              <w:t>Browser / C++ client</w:t>
            </w:r>
          </w:p>
        </w:tc>
        <w:tc>
          <w:tcPr>
            <w:tcW w:type="dxa" w:w="1344"/>
            <w:shd w:val="clear" w:color="auto" w:fill="FAFAFA"/>
            <w:vAlign w:val="center"/>
          </w:tcPr>
          <w:p>
            <w:pPr>
              <w:jc w:val="left"/>
            </w:pPr>
            <w:r>
              <w:rPr>
                <w:rFonts w:ascii="Calibri" w:hAnsi="Calibri"/>
                <w:b w:val="0"/>
                <w:color w:val="000000"/>
                <w:sz w:val="20"/>
              </w:rPr>
              <w:t>TLS gateway</w:t>
            </w:r>
          </w:p>
        </w:tc>
        <w:tc>
          <w:tcPr>
            <w:tcW w:type="dxa" w:w="1344"/>
            <w:shd w:val="clear" w:color="auto" w:fill="FAFAFA"/>
            <w:vAlign w:val="center"/>
          </w:tcPr>
          <w:p>
            <w:pPr>
              <w:jc w:val="left"/>
            </w:pPr>
            <w:r>
              <w:rPr>
                <w:rFonts w:ascii="Calibri" w:hAnsi="Calibri"/>
                <w:b w:val="0"/>
                <w:color w:val="000000"/>
                <w:sz w:val="20"/>
              </w:rPr>
              <w:t>HTTPS</w:t>
            </w:r>
          </w:p>
        </w:tc>
        <w:tc>
          <w:tcPr>
            <w:tcW w:type="dxa" w:w="1344"/>
            <w:shd w:val="clear" w:color="auto" w:fill="FAFAFA"/>
            <w:vAlign w:val="center"/>
          </w:tcPr>
          <w:p>
            <w:pPr>
              <w:jc w:val="left"/>
            </w:pPr>
            <w:r>
              <w:rPr>
                <w:rFonts w:ascii="Calibri" w:hAnsi="Calibri"/>
                <w:b w:val="0"/>
                <w:color w:val="000000"/>
                <w:sz w:val="20"/>
              </w:rPr>
              <w:t>443</w:t>
            </w:r>
          </w:p>
        </w:tc>
        <w:tc>
          <w:tcPr>
            <w:tcW w:type="dxa" w:w="1344"/>
            <w:shd w:val="clear" w:color="auto" w:fill="FAFAFA"/>
            <w:vAlign w:val="center"/>
          </w:tcPr>
          <w:p>
            <w:pPr>
              <w:jc w:val="left"/>
            </w:pPr>
            <w:r>
              <w:rPr>
                <w:rFonts w:ascii="Calibri" w:hAnsi="Calibri"/>
                <w:b w:val="0"/>
                <w:color w:val="000000"/>
                <w:sz w:val="20"/>
              </w:rPr>
              <w:t>Yes — TLS 1.2+</w:t>
            </w:r>
          </w:p>
        </w:tc>
        <w:tc>
          <w:tcPr>
            <w:tcW w:type="dxa" w:w="1344"/>
            <w:shd w:val="clear" w:color="auto" w:fill="FAFAFA"/>
            <w:vAlign w:val="center"/>
          </w:tcPr>
          <w:p>
            <w:pPr>
              <w:jc w:val="left"/>
            </w:pPr>
            <w:r>
              <w:rPr>
                <w:rFonts w:ascii="Calibri" w:hAnsi="Calibri"/>
                <w:b w:val="0"/>
                <w:color w:val="000000"/>
                <w:sz w:val="20"/>
              </w:rPr>
              <w:t>All client traffic</w:t>
            </w:r>
          </w:p>
        </w:tc>
      </w:tr>
      <w:tr>
        <w:tc>
          <w:tcPr>
            <w:tcW w:type="dxa" w:w="1344"/>
            <w:shd w:val="clear" w:color="auto" w:fill="FFFFFF"/>
            <w:vAlign w:val="center"/>
          </w:tcPr>
          <w:p>
            <w:pPr>
              <w:jc w:val="left"/>
            </w:pPr>
            <w:r>
              <w:rPr>
                <w:rFonts w:ascii="Calibri" w:hAnsi="Calibri"/>
                <w:b w:val="0"/>
                <w:color w:val="000000"/>
                <w:sz w:val="20"/>
              </w:rPr>
              <w:t>2</w:t>
            </w:r>
          </w:p>
        </w:tc>
        <w:tc>
          <w:tcPr>
            <w:tcW w:type="dxa" w:w="1344"/>
            <w:shd w:val="clear" w:color="auto" w:fill="FFFFFF"/>
            <w:vAlign w:val="center"/>
          </w:tcPr>
          <w:p>
            <w:pPr>
              <w:jc w:val="left"/>
            </w:pPr>
            <w:r>
              <w:rPr>
                <w:rFonts w:ascii="Calibri" w:hAnsi="Calibri"/>
                <w:b w:val="0"/>
                <w:color w:val="000000"/>
                <w:sz w:val="20"/>
              </w:rPr>
              <w:t>TLS gateway</w:t>
            </w:r>
          </w:p>
        </w:tc>
        <w:tc>
          <w:tcPr>
            <w:tcW w:type="dxa" w:w="1344"/>
            <w:shd w:val="clear" w:color="auto" w:fill="FFFFFF"/>
            <w:vAlign w:val="center"/>
          </w:tcPr>
          <w:p>
            <w:pPr>
              <w:jc w:val="left"/>
            </w:pPr>
            <w:r>
              <w:rPr>
                <w:rFonts w:ascii="Calibri" w:hAnsi="Calibri"/>
                <w:b w:val="0"/>
                <w:color w:val="000000"/>
                <w:sz w:val="20"/>
              </w:rPr>
              <w:t>Ubuntu VM</w:t>
            </w:r>
          </w:p>
        </w:tc>
        <w:tc>
          <w:tcPr>
            <w:tcW w:type="dxa" w:w="1344"/>
            <w:shd w:val="clear" w:color="auto" w:fill="FFFFFF"/>
            <w:vAlign w:val="center"/>
          </w:tcPr>
          <w:p>
            <w:pPr>
              <w:jc w:val="left"/>
            </w:pPr>
            <w:r>
              <w:rPr>
                <w:rFonts w:ascii="Calibri" w:hAnsi="Calibri"/>
                <w:b w:val="0"/>
                <w:color w:val="000000"/>
                <w:sz w:val="20"/>
              </w:rPr>
              <w:t>HTTP</w:t>
            </w:r>
          </w:p>
        </w:tc>
        <w:tc>
          <w:tcPr>
            <w:tcW w:type="dxa" w:w="1344"/>
            <w:shd w:val="clear" w:color="auto" w:fill="FFFFFF"/>
            <w:vAlign w:val="center"/>
          </w:tcPr>
          <w:p>
            <w:pPr>
              <w:jc w:val="left"/>
            </w:pPr>
            <w:r>
              <w:rPr>
                <w:rFonts w:ascii="Calibri" w:hAnsi="Calibri"/>
                <w:b w:val="0"/>
                <w:color w:val="000000"/>
                <w:sz w:val="20"/>
              </w:rPr>
              <w:t>80</w:t>
            </w:r>
          </w:p>
        </w:tc>
        <w:tc>
          <w:tcPr>
            <w:tcW w:type="dxa" w:w="1344"/>
            <w:shd w:val="clear" w:color="auto" w:fill="FFFFFF"/>
            <w:vAlign w:val="center"/>
          </w:tcPr>
          <w:p>
            <w:pPr>
              <w:jc w:val="left"/>
            </w:pPr>
            <w:r>
              <w:rPr>
                <w:rFonts w:ascii="Calibri" w:hAnsi="Calibri"/>
                <w:b w:val="0"/>
                <w:color w:val="000000"/>
                <w:sz w:val="20"/>
              </w:rPr>
              <w:t>No — private network</w:t>
            </w:r>
          </w:p>
        </w:tc>
        <w:tc>
          <w:tcPr>
            <w:tcW w:type="dxa" w:w="1344"/>
            <w:shd w:val="clear" w:color="auto" w:fill="FFFFFF"/>
            <w:vAlign w:val="center"/>
          </w:tcPr>
          <w:p>
            <w:pPr>
              <w:jc w:val="left"/>
            </w:pPr>
            <w:r>
              <w:rPr>
                <w:rFonts w:ascii="Calibri" w:hAnsi="Calibri"/>
                <w:b w:val="0"/>
                <w:color w:val="000000"/>
                <w:sz w:val="20"/>
              </w:rPr>
              <w:t>SSL terminated at gateway</w:t>
            </w:r>
          </w:p>
        </w:tc>
      </w:tr>
      <w:tr>
        <w:tc>
          <w:tcPr>
            <w:tcW w:type="dxa" w:w="1344"/>
            <w:shd w:val="clear" w:color="auto" w:fill="FAFAFA"/>
            <w:vAlign w:val="center"/>
          </w:tcPr>
          <w:p>
            <w:pPr>
              <w:jc w:val="left"/>
            </w:pPr>
            <w:r>
              <w:rPr>
                <w:rFonts w:ascii="Calibri" w:hAnsi="Calibri"/>
                <w:b w:val="0"/>
                <w:color w:val="000000"/>
                <w:sz w:val="20"/>
              </w:rPr>
              <w:t>3</w:t>
            </w:r>
          </w:p>
        </w:tc>
        <w:tc>
          <w:tcPr>
            <w:tcW w:type="dxa" w:w="1344"/>
            <w:shd w:val="clear" w:color="auto" w:fill="FAFAFA"/>
            <w:vAlign w:val="center"/>
          </w:tcPr>
          <w:p>
            <w:pPr>
              <w:jc w:val="left"/>
            </w:pPr>
            <w:r>
              <w:rPr>
                <w:rFonts w:ascii="Calibri" w:hAnsi="Calibri"/>
                <w:b w:val="0"/>
                <w:color w:val="000000"/>
                <w:sz w:val="20"/>
              </w:rPr>
              <w:t>FastAPI (VM)</w:t>
            </w:r>
          </w:p>
        </w:tc>
        <w:tc>
          <w:tcPr>
            <w:tcW w:type="dxa" w:w="1344"/>
            <w:shd w:val="clear" w:color="auto" w:fill="FAFAFA"/>
            <w:vAlign w:val="center"/>
          </w:tcPr>
          <w:p>
            <w:pPr>
              <w:jc w:val="left"/>
            </w:pPr>
            <w:r>
              <w:rPr>
                <w:rFonts w:ascii="Calibri" w:hAnsi="Calibri"/>
                <w:b w:val="0"/>
                <w:color w:val="000000"/>
                <w:sz w:val="20"/>
              </w:rPr>
              <w:t>Alchemy / Infura RPC</w:t>
            </w:r>
          </w:p>
        </w:tc>
        <w:tc>
          <w:tcPr>
            <w:tcW w:type="dxa" w:w="1344"/>
            <w:shd w:val="clear" w:color="auto" w:fill="FAFAFA"/>
            <w:vAlign w:val="center"/>
          </w:tcPr>
          <w:p>
            <w:pPr>
              <w:jc w:val="left"/>
            </w:pPr>
            <w:r>
              <w:rPr>
                <w:rFonts w:ascii="Calibri" w:hAnsi="Calibri"/>
                <w:b w:val="0"/>
                <w:color w:val="000000"/>
                <w:sz w:val="20"/>
              </w:rPr>
              <w:t>HTTPS</w:t>
            </w:r>
          </w:p>
        </w:tc>
        <w:tc>
          <w:tcPr>
            <w:tcW w:type="dxa" w:w="1344"/>
            <w:shd w:val="clear" w:color="auto" w:fill="FAFAFA"/>
            <w:vAlign w:val="center"/>
          </w:tcPr>
          <w:p>
            <w:pPr>
              <w:jc w:val="left"/>
            </w:pPr>
            <w:r>
              <w:rPr>
                <w:rFonts w:ascii="Calibri" w:hAnsi="Calibri"/>
                <w:b w:val="0"/>
                <w:color w:val="000000"/>
                <w:sz w:val="20"/>
              </w:rPr>
              <w:t>443</w:t>
            </w:r>
          </w:p>
        </w:tc>
        <w:tc>
          <w:tcPr>
            <w:tcW w:type="dxa" w:w="1344"/>
            <w:shd w:val="clear" w:color="auto" w:fill="FAFAFA"/>
            <w:vAlign w:val="center"/>
          </w:tcPr>
          <w:p>
            <w:pPr>
              <w:jc w:val="left"/>
            </w:pPr>
            <w:r>
              <w:rPr>
                <w:rFonts w:ascii="Calibri" w:hAnsi="Calibri"/>
                <w:b w:val="0"/>
                <w:color w:val="000000"/>
                <w:sz w:val="20"/>
              </w:rPr>
              <w:t>Yes — TLS</w:t>
            </w:r>
          </w:p>
        </w:tc>
        <w:tc>
          <w:tcPr>
            <w:tcW w:type="dxa" w:w="1344"/>
            <w:shd w:val="clear" w:color="auto" w:fill="FAFAFA"/>
            <w:vAlign w:val="center"/>
          </w:tcPr>
          <w:p>
            <w:pPr>
              <w:jc w:val="left"/>
            </w:pPr>
            <w:r>
              <w:rPr>
                <w:rFonts w:ascii="Calibri" w:hAnsi="Calibri"/>
                <w:b w:val="0"/>
                <w:color w:val="000000"/>
                <w:sz w:val="20"/>
              </w:rPr>
              <w:t>Sepolia RPC calls</w:t>
            </w:r>
          </w:p>
        </w:tc>
      </w:tr>
      <w:tr>
        <w:tc>
          <w:tcPr>
            <w:tcW w:type="dxa" w:w="1344"/>
            <w:shd w:val="clear" w:color="auto" w:fill="FFFFFF"/>
            <w:vAlign w:val="center"/>
          </w:tcPr>
          <w:p>
            <w:pPr>
              <w:jc w:val="left"/>
            </w:pPr>
            <w:r>
              <w:rPr>
                <w:rFonts w:ascii="Calibri" w:hAnsi="Calibri"/>
                <w:b w:val="0"/>
                <w:color w:val="000000"/>
                <w:sz w:val="20"/>
              </w:rPr>
              <w:t>4</w:t>
            </w:r>
          </w:p>
        </w:tc>
        <w:tc>
          <w:tcPr>
            <w:tcW w:type="dxa" w:w="1344"/>
            <w:shd w:val="clear" w:color="auto" w:fill="FFFFFF"/>
            <w:vAlign w:val="center"/>
          </w:tcPr>
          <w:p>
            <w:pPr>
              <w:jc w:val="left"/>
            </w:pPr>
            <w:r>
              <w:rPr>
                <w:rFonts w:ascii="Calibri" w:hAnsi="Calibri"/>
                <w:b w:val="0"/>
                <w:color w:val="000000"/>
                <w:sz w:val="20"/>
              </w:rPr>
              <w:t>Alchemy / Infura</w:t>
            </w:r>
          </w:p>
        </w:tc>
        <w:tc>
          <w:tcPr>
            <w:tcW w:type="dxa" w:w="1344"/>
            <w:shd w:val="clear" w:color="auto" w:fill="FFFFFF"/>
            <w:vAlign w:val="center"/>
          </w:tcPr>
          <w:p>
            <w:pPr>
              <w:jc w:val="left"/>
            </w:pPr>
            <w:r>
              <w:rPr>
                <w:rFonts w:ascii="Calibri" w:hAnsi="Calibri"/>
                <w:b w:val="0"/>
                <w:color w:val="000000"/>
                <w:sz w:val="20"/>
              </w:rPr>
              <w:t>Ethereum Sepolia nodes</w:t>
            </w:r>
          </w:p>
        </w:tc>
        <w:tc>
          <w:tcPr>
            <w:tcW w:type="dxa" w:w="1344"/>
            <w:shd w:val="clear" w:color="auto" w:fill="FFFFFF"/>
            <w:vAlign w:val="center"/>
          </w:tcPr>
          <w:p>
            <w:pPr>
              <w:jc w:val="left"/>
            </w:pPr>
            <w:r>
              <w:rPr>
                <w:rFonts w:ascii="Calibri" w:hAnsi="Calibri"/>
                <w:b w:val="0"/>
                <w:color w:val="000000"/>
                <w:sz w:val="20"/>
              </w:rPr>
              <w:t>JSON-RPC / P2P</w:t>
            </w:r>
          </w:p>
        </w:tc>
        <w:tc>
          <w:tcPr>
            <w:tcW w:type="dxa" w:w="1344"/>
            <w:shd w:val="clear" w:color="auto" w:fill="FFFFFF"/>
            <w:vAlign w:val="center"/>
          </w:tcPr>
          <w:p>
            <w:pPr>
              <w:jc w:val="left"/>
            </w:pPr>
            <w:r>
              <w:rPr>
                <w:rFonts w:ascii="Calibri" w:hAnsi="Calibri"/>
                <w:b w:val="0"/>
                <w:color w:val="000000"/>
                <w:sz w:val="20"/>
              </w:rPr>
              <w:t>443 / varied</w:t>
            </w:r>
          </w:p>
        </w:tc>
        <w:tc>
          <w:tcPr>
            <w:tcW w:type="dxa" w:w="1344"/>
            <w:shd w:val="clear" w:color="auto" w:fill="FFFFFF"/>
            <w:vAlign w:val="center"/>
          </w:tcPr>
          <w:p>
            <w:pPr>
              <w:jc w:val="left"/>
            </w:pPr>
            <w:r>
              <w:rPr>
                <w:rFonts w:ascii="Calibri" w:hAnsi="Calibri"/>
                <w:b w:val="0"/>
                <w:color w:val="000000"/>
                <w:sz w:val="20"/>
              </w:rPr>
              <w:t>Yes</w:t>
            </w:r>
          </w:p>
        </w:tc>
        <w:tc>
          <w:tcPr>
            <w:tcW w:type="dxa" w:w="1344"/>
            <w:shd w:val="clear" w:color="auto" w:fill="FFFFFF"/>
            <w:vAlign w:val="center"/>
          </w:tcPr>
          <w:p>
            <w:pPr>
              <w:jc w:val="left"/>
            </w:pPr>
            <w:r>
              <w:rPr>
                <w:rFonts w:ascii="Calibri" w:hAnsi="Calibri"/>
                <w:b w:val="0"/>
                <w:color w:val="000000"/>
                <w:sz w:val="20"/>
              </w:rPr>
              <w:t>Managed by RPC provider</w:t>
            </w:r>
          </w:p>
        </w:tc>
      </w:tr>
    </w:tbl>
    <w:p>
      <w:pPr>
        <w:spacing w:after="160"/>
      </w:pPr>
    </w:p>
    <w:p>
      <w:pPr>
        <w:spacing w:before="360" w:after="120"/>
      </w:pPr>
      <w:r>
        <w:rPr>
          <w:rFonts w:ascii="Calibri" w:hAnsi="Calibri"/>
          <w:b/>
          <w:color w:val="000000"/>
          <w:sz w:val="28"/>
        </w:rPr>
        <w:t>4. SSL/TLS Configuration</w:t>
      </w:r>
    </w:p>
    <w:p>
      <w:pPr>
        <w:spacing w:before="0" w:after="120"/>
      </w:pPr>
      <w:r>
        <w:rPr>
          <w:rFonts w:ascii="Calibri" w:hAnsi="Calibri"/>
          <w:b/>
          <w:color w:val="000000"/>
          <w:sz w:val="22"/>
        </w:rPr>
        <w:t>Certificate authority:</w:t>
      </w:r>
      <w:r>
        <w:rPr>
          <w:rFonts w:ascii="Calibri" w:hAnsi="Calibri"/>
          <w:b w:val="0"/>
          <w:color w:val="000000"/>
          <w:sz w:val="22"/>
        </w:rPr>
        <w:t xml:space="preserve"> Let's Encrypt, issued to </w:t>
      </w:r>
      <w:r>
        <w:rPr>
          <w:rFonts w:ascii="Courier New" w:hAnsi="Courier New"/>
          <w:color w:val="1E1E1E"/>
          <w:sz w:val="20"/>
        </w:rPr>
        <w:t>theburkenator.com</w:t>
      </w:r>
      <w:r>
        <w:rPr>
          <w:rFonts w:ascii="Calibri" w:hAnsi="Calibri"/>
          <w:b w:val="0"/>
          <w:color w:val="000000"/>
          <w:sz w:val="22"/>
        </w:rPr>
        <w:t>. Renewed automatically by the gateway.</w:t>
      </w:r>
    </w:p>
    <w:p>
      <w:pPr>
        <w:spacing w:before="0" w:after="120"/>
      </w:pPr>
      <w:r>
        <w:rPr>
          <w:rFonts w:ascii="Calibri" w:hAnsi="Calibri"/>
          <w:b/>
          <w:color w:val="000000"/>
          <w:sz w:val="22"/>
        </w:rPr>
        <w:t>Protocol versions:</w:t>
      </w:r>
      <w:r>
        <w:rPr>
          <w:rFonts w:ascii="Calibri" w:hAnsi="Calibri"/>
          <w:b w:val="0"/>
          <w:color w:val="000000"/>
          <w:sz w:val="22"/>
        </w:rPr>
        <w:t xml:space="preserve"> TLS 1.2 and TLS 1.3. Older versions (TLS 1.0, 1.1) are disabled at the gateway.</w:t>
      </w:r>
    </w:p>
    <w:p>
      <w:pPr>
        <w:spacing w:before="0" w:after="120"/>
      </w:pPr>
      <w:r>
        <w:rPr>
          <w:rFonts w:ascii="Calibri" w:hAnsi="Calibri"/>
          <w:b/>
          <w:color w:val="000000"/>
          <w:sz w:val="22"/>
        </w:rPr>
        <w:t>SSL termination:</w:t>
      </w:r>
      <w:r>
        <w:rPr>
          <w:rFonts w:ascii="Calibri" w:hAnsi="Calibri"/>
          <w:b w:val="0"/>
          <w:color w:val="000000"/>
          <w:sz w:val="22"/>
        </w:rPr>
        <w:t xml:space="preserve"> Termination occurs at the TLS gateway. The connection between the gateway and the VM is unencrypted HTTP on port 80 over a private network. This is the standard reverse-proxy deployment model; the plaintext segment is not exposed to the public internet.</w:t>
      </w:r>
    </w:p>
    <w:p>
      <w:pPr>
        <w:spacing w:before="0" w:after="120"/>
      </w:pPr>
      <w:r>
        <w:rPr>
          <w:rFonts w:ascii="Calibri" w:hAnsi="Calibri"/>
          <w:b/>
          <w:color w:val="000000"/>
          <w:sz w:val="22"/>
        </w:rPr>
        <w:t>Client certificate verification (C++ client):</w:t>
      </w:r>
      <w:r>
        <w:rPr>
          <w:rFonts w:ascii="Calibri" w:hAnsi="Calibri"/>
          <w:b w:val="0"/>
          <w:color w:val="000000"/>
          <w:sz w:val="22"/>
        </w:rPr>
        <w:t xml:space="preserve"> libcurl verifies the server's certificate against the system CA bundle by default (</w:t>
      </w:r>
      <w:r>
        <w:rPr>
          <w:rFonts w:ascii="Courier New" w:hAnsi="Courier New"/>
          <w:color w:val="1E1E1E"/>
          <w:sz w:val="20"/>
        </w:rPr>
        <w:t>CURLOPT_SSL_VERIFYPEER = 1</w:t>
      </w:r>
      <w:r>
        <w:rPr>
          <w:rFonts w:ascii="Calibri" w:hAnsi="Calibri"/>
          <w:b w:val="0"/>
          <w:color w:val="000000"/>
          <w:sz w:val="22"/>
        </w:rPr>
        <w:t xml:space="preserve">, </w:t>
      </w:r>
      <w:r>
        <w:rPr>
          <w:rFonts w:ascii="Courier New" w:hAnsi="Courier New"/>
          <w:color w:val="1E1E1E"/>
          <w:sz w:val="20"/>
        </w:rPr>
        <w:t>CURLOPT_SSL_VERIFYHOST = 2</w:t>
      </w:r>
      <w:r>
        <w:rPr>
          <w:rFonts w:ascii="Calibri" w:hAnsi="Calibri"/>
          <w:b w:val="0"/>
          <w:color w:val="000000"/>
          <w:sz w:val="22"/>
        </w:rPr>
        <w:t>). Certificate verification was explicitly re-enabled in a prior fix after it was found to be disabled.</w:t>
      </w:r>
    </w:p>
    <w:p>
      <w:pPr>
        <w:spacing w:before="0" w:after="120"/>
      </w:pPr>
      <w:r>
        <w:rPr>
          <w:rFonts w:ascii="Calibri" w:hAnsi="Calibri"/>
          <w:b/>
          <w:color w:val="000000"/>
          <w:sz w:val="22"/>
        </w:rPr>
        <w:t>HTTPS for RPC:</w:t>
      </w:r>
      <w:r>
        <w:rPr>
          <w:rFonts w:ascii="Calibri" w:hAnsi="Calibri"/>
          <w:b w:val="0"/>
          <w:color w:val="000000"/>
          <w:sz w:val="22"/>
        </w:rPr>
        <w:t xml:space="preserve"> All outbound calls from FastAPI to the Alchemy/Infura endpoint use </w:t>
      </w:r>
      <w:r>
        <w:rPr>
          <w:rFonts w:ascii="Courier New" w:hAnsi="Courier New"/>
          <w:color w:val="1E1E1E"/>
          <w:sz w:val="20"/>
        </w:rPr>
        <w:t>Web3.HTTPProvider</w:t>
      </w:r>
      <w:r>
        <w:rPr>
          <w:rFonts w:ascii="Calibri" w:hAnsi="Calibri"/>
          <w:b w:val="0"/>
          <w:color w:val="000000"/>
          <w:sz w:val="22"/>
        </w:rPr>
        <w:t xml:space="preserve"> with a standard </w:t>
      </w:r>
      <w:r>
        <w:rPr>
          <w:rFonts w:ascii="Courier New" w:hAnsi="Courier New"/>
          <w:color w:val="1E1E1E"/>
          <w:sz w:val="20"/>
        </w:rPr>
        <w:t>https://</w:t>
      </w:r>
      <w:r>
        <w:rPr>
          <w:rFonts w:ascii="Calibri" w:hAnsi="Calibri"/>
          <w:b w:val="0"/>
          <w:color w:val="000000"/>
          <w:sz w:val="22"/>
        </w:rPr>
        <w:t xml:space="preserve"> URL, relying on Python's </w:t>
      </w:r>
      <w:r>
        <w:rPr>
          <w:rFonts w:ascii="Courier New" w:hAnsi="Courier New"/>
          <w:color w:val="1E1E1E"/>
          <w:sz w:val="20"/>
        </w:rPr>
        <w:t>urllib3</w:t>
      </w:r>
      <w:r>
        <w:rPr>
          <w:rFonts w:ascii="Calibri" w:hAnsi="Calibri"/>
          <w:b w:val="0"/>
          <w:color w:val="000000"/>
          <w:sz w:val="22"/>
        </w:rPr>
        <w:t xml:space="preserve"> and the system CA bundle for certificate validation.</w:t>
      </w:r>
    </w:p>
    <w:p>
      <w:pPr>
        <w:spacing w:before="360" w:after="120"/>
      </w:pPr>
      <w:r>
        <w:rPr>
          <w:rFonts w:ascii="Calibri" w:hAnsi="Calibri"/>
          <w:b/>
          <w:color w:val="000000"/>
          <w:sz w:val="28"/>
        </w:rPr>
        <w:t>5. External Service Connections</w:t>
      </w:r>
    </w:p>
    <w:p>
      <w:pPr>
        <w:spacing w:before="240" w:after="80"/>
      </w:pPr>
      <w:r>
        <w:rPr>
          <w:rFonts w:ascii="Calibri" w:hAnsi="Calibri"/>
          <w:b/>
          <w:color w:val="000000"/>
          <w:sz w:val="24"/>
        </w:rPr>
        <w:t>Alchemy / Infura (Sepolia RPC)</w:t>
      </w:r>
    </w:p>
    <w:p>
      <w:pPr>
        <w:spacing w:before="20" w:after="40"/>
        <w:ind w:left="340" w:hanging="283"/>
      </w:pPr>
      <w:r>
        <w:rPr>
          <w:rFonts w:ascii="Calibri" w:hAnsi="Calibri"/>
          <w:color w:val="000000"/>
          <w:sz w:val="22"/>
        </w:rPr>
        <w:t xml:space="preserve">•  </w:t>
      </w:r>
      <w:r>
        <w:rPr>
          <w:rFonts w:ascii="Calibri" w:hAnsi="Calibri"/>
          <w:b/>
          <w:color w:val="000000"/>
          <w:sz w:val="22"/>
        </w:rPr>
        <w:t>URL:</w:t>
      </w:r>
      <w:r>
        <w:rPr>
          <w:rFonts w:ascii="Calibri" w:hAnsi="Calibri"/>
          <w:b w:val="0"/>
          <w:color w:val="000000"/>
          <w:sz w:val="22"/>
        </w:rPr>
        <w:t xml:space="preserve"> configured via the </w:t>
      </w:r>
      <w:r>
        <w:rPr>
          <w:rFonts w:ascii="Courier New" w:hAnsi="Courier New"/>
          <w:color w:val="1E1E1E"/>
          <w:sz w:val="20"/>
        </w:rPr>
        <w:t>SEPOLIA_RPC_URL</w:t>
      </w:r>
      <w:r>
        <w:rPr>
          <w:rFonts w:ascii="Calibri" w:hAnsi="Calibri"/>
          <w:b w:val="0"/>
          <w:color w:val="000000"/>
          <w:sz w:val="22"/>
        </w:rPr>
        <w:t xml:space="preserve"> environment variable (e.g. </w:t>
      </w:r>
      <w:r>
        <w:rPr>
          <w:rFonts w:ascii="Courier New" w:hAnsi="Courier New"/>
          <w:color w:val="1E1E1E"/>
          <w:sz w:val="20"/>
        </w:rPr>
        <w:t>https://eth-sepolia.g.alchemy.com/v2/&lt;api-key&gt;</w:t>
      </w:r>
      <w:r>
        <w:rPr>
          <w:rFonts w:ascii="Calibri" w:hAnsi="Calibri"/>
          <w:b w:val="0"/>
          <w:color w:val="000000"/>
          <w:sz w:val="22"/>
        </w:rPr>
        <w:t>)</w:t>
      </w:r>
    </w:p>
    <w:p>
      <w:pPr>
        <w:spacing w:before="20" w:after="40"/>
        <w:ind w:left="340" w:hanging="283"/>
      </w:pPr>
      <w:r>
        <w:rPr>
          <w:rFonts w:ascii="Calibri" w:hAnsi="Calibri"/>
          <w:color w:val="000000"/>
          <w:sz w:val="22"/>
        </w:rPr>
        <w:t xml:space="preserve">•  </w:t>
      </w:r>
      <w:r>
        <w:rPr>
          <w:rFonts w:ascii="Calibri" w:hAnsi="Calibri"/>
          <w:b/>
          <w:color w:val="000000"/>
          <w:sz w:val="22"/>
        </w:rPr>
        <w:t>Used for:</w:t>
      </w:r>
      <w:r>
        <w:rPr>
          <w:rFonts w:ascii="Calibri" w:hAnsi="Calibri"/>
          <w:b w:val="0"/>
          <w:color w:val="000000"/>
          <w:sz w:val="22"/>
        </w:rPr>
        <w:t xml:space="preserve"> submitting </w:t>
      </w:r>
      <w:r>
        <w:rPr>
          <w:rFonts w:ascii="Courier New" w:hAnsi="Courier New"/>
          <w:color w:val="1E1E1E"/>
          <w:sz w:val="20"/>
        </w:rPr>
        <w:t>recordHash</w:t>
      </w:r>
      <w:r>
        <w:rPr>
          <w:rFonts w:ascii="Calibri" w:hAnsi="Calibri"/>
          <w:b w:val="0"/>
          <w:color w:val="000000"/>
          <w:sz w:val="22"/>
        </w:rPr>
        <w:t xml:space="preserve"> transactions and querying </w:t>
      </w:r>
      <w:r>
        <w:rPr>
          <w:rFonts w:ascii="Courier New" w:hAnsi="Courier New"/>
          <w:color w:val="1E1E1E"/>
          <w:sz w:val="20"/>
        </w:rPr>
        <w:t>getIndexByHash</w:t>
      </w:r>
      <w:r>
        <w:rPr>
          <w:rFonts w:ascii="Calibri" w:hAnsi="Calibri"/>
          <w:b w:val="0"/>
          <w:color w:val="000000"/>
          <w:sz w:val="22"/>
        </w:rPr>
        <w:t xml:space="preserve"> / </w:t>
      </w:r>
      <w:r>
        <w:rPr>
          <w:rFonts w:ascii="Courier New" w:hAnsi="Courier New"/>
          <w:color w:val="1E1E1E"/>
          <w:sz w:val="20"/>
        </w:rPr>
        <w:t>getDigest</w:t>
      </w:r>
    </w:p>
    <w:p>
      <w:pPr>
        <w:spacing w:before="20" w:after="40"/>
        <w:ind w:left="340" w:hanging="283"/>
      </w:pPr>
      <w:r>
        <w:rPr>
          <w:rFonts w:ascii="Calibri" w:hAnsi="Calibri"/>
          <w:color w:val="000000"/>
          <w:sz w:val="22"/>
        </w:rPr>
        <w:t xml:space="preserve">•  </w:t>
      </w:r>
      <w:r>
        <w:rPr>
          <w:rFonts w:ascii="Calibri" w:hAnsi="Calibri"/>
          <w:b/>
          <w:color w:val="000000"/>
          <w:sz w:val="22"/>
        </w:rPr>
        <w:t>Call frequency:</w:t>
      </w:r>
      <w:r>
        <w:rPr>
          <w:rFonts w:ascii="Calibri" w:hAnsi="Calibri"/>
          <w:b w:val="0"/>
          <w:color w:val="000000"/>
          <w:sz w:val="22"/>
        </w:rPr>
        <w:t xml:space="preserve"> one HTTPS call per message sent (in a background thread); one call per blockchain-proof lookup</w:t>
      </w:r>
    </w:p>
    <w:p>
      <w:pPr>
        <w:spacing w:before="20" w:after="40"/>
        <w:ind w:left="340" w:hanging="283"/>
      </w:pPr>
      <w:r>
        <w:rPr>
          <w:rFonts w:ascii="Calibri" w:hAnsi="Calibri"/>
          <w:color w:val="000000"/>
          <w:sz w:val="22"/>
        </w:rPr>
        <w:t xml:space="preserve">•  </w:t>
      </w:r>
      <w:r>
        <w:rPr>
          <w:rFonts w:ascii="Calibri" w:hAnsi="Calibri"/>
          <w:b/>
          <w:color w:val="000000"/>
          <w:sz w:val="22"/>
        </w:rPr>
        <w:t>Failure behaviour:</w:t>
      </w:r>
      <w:r>
        <w:rPr>
          <w:rFonts w:ascii="Calibri" w:hAnsi="Calibri"/>
          <w:b w:val="0"/>
          <w:color w:val="000000"/>
          <w:sz w:val="22"/>
        </w:rPr>
        <w:t xml:space="preserve"> if the RPC endpoint is unreachable or the transaction reverts, the error is logged and the HTTP response to the client is unaffected — the SQLite integrity hash is still recorded</w:t>
      </w:r>
    </w:p>
    <w:p>
      <w:pPr>
        <w:spacing w:before="240" w:after="80"/>
      </w:pPr>
      <w:r>
        <w:rPr>
          <w:rFonts w:ascii="Calibri" w:hAnsi="Calibri"/>
          <w:b/>
          <w:color w:val="000000"/>
          <w:sz w:val="24"/>
        </w:rPr>
        <w:t>Ethereum Sepolia Testnet</w:t>
      </w:r>
    </w:p>
    <w:p>
      <w:pPr>
        <w:spacing w:before="20" w:after="40"/>
        <w:ind w:left="340" w:hanging="283"/>
      </w:pPr>
      <w:r>
        <w:rPr>
          <w:rFonts w:ascii="Calibri" w:hAnsi="Calibri"/>
          <w:color w:val="000000"/>
          <w:sz w:val="22"/>
        </w:rPr>
        <w:t xml:space="preserve">•  </w:t>
      </w:r>
      <w:r>
        <w:rPr>
          <w:rFonts w:ascii="Calibri" w:hAnsi="Calibri"/>
          <w:b/>
          <w:color w:val="000000"/>
          <w:sz w:val="22"/>
        </w:rPr>
        <w:t>Network:</w:t>
      </w:r>
      <w:r>
        <w:rPr>
          <w:rFonts w:ascii="Calibri" w:hAnsi="Calibri"/>
          <w:b w:val="0"/>
          <w:color w:val="000000"/>
          <w:sz w:val="22"/>
        </w:rPr>
        <w:t xml:space="preserve"> Ethereum Sepolia (chain ID 11155111)</w:t>
      </w:r>
    </w:p>
    <w:p>
      <w:pPr>
        <w:spacing w:before="20" w:after="40"/>
        <w:ind w:left="340" w:hanging="283"/>
      </w:pPr>
      <w:r>
        <w:rPr>
          <w:rFonts w:ascii="Calibri" w:hAnsi="Calibri"/>
          <w:color w:val="000000"/>
          <w:sz w:val="22"/>
        </w:rPr>
        <w:t xml:space="preserve">•  </w:t>
      </w:r>
      <w:r>
        <w:rPr>
          <w:rFonts w:ascii="Calibri" w:hAnsi="Calibri"/>
          <w:b/>
          <w:color w:val="000000"/>
          <w:sz w:val="22"/>
        </w:rPr>
        <w:t>Contract address:</w:t>
      </w:r>
      <w:r>
        <w:rPr>
          <w:rFonts w:ascii="Calibri" w:hAnsi="Calibri"/>
          <w:b w:val="0"/>
          <w:color w:val="000000"/>
          <w:sz w:val="22"/>
        </w:rPr>
        <w:t xml:space="preserve"> </w:t>
      </w:r>
      <w:r>
        <w:rPr>
          <w:rFonts w:ascii="Courier New" w:hAnsi="Courier New"/>
          <w:color w:val="1E1E1E"/>
          <w:sz w:val="20"/>
        </w:rPr>
        <w:t>0xc8ABe2E8fB438F9120ED63c22ed9074F586586f6</w:t>
      </w:r>
    </w:p>
    <w:p>
      <w:pPr>
        <w:spacing w:before="20" w:after="40"/>
        <w:ind w:left="340" w:hanging="283"/>
      </w:pPr>
      <w:r>
        <w:rPr>
          <w:rFonts w:ascii="Calibri" w:hAnsi="Calibri"/>
          <w:color w:val="000000"/>
          <w:sz w:val="22"/>
        </w:rPr>
        <w:t xml:space="preserve">•  </w:t>
      </w:r>
      <w:r>
        <w:rPr>
          <w:rFonts w:ascii="Calibri" w:hAnsi="Calibri"/>
          <w:b/>
          <w:color w:val="000000"/>
          <w:sz w:val="22"/>
        </w:rPr>
        <w:t>Deployer wallet:</w:t>
      </w:r>
      <w:r>
        <w:rPr>
          <w:rFonts w:ascii="Calibri" w:hAnsi="Calibri"/>
          <w:b w:val="0"/>
          <w:color w:val="000000"/>
          <w:sz w:val="22"/>
        </w:rPr>
        <w:t xml:space="preserve"> address controlled by </w:t>
      </w:r>
      <w:r>
        <w:rPr>
          <w:rFonts w:ascii="Courier New" w:hAnsi="Courier New"/>
          <w:color w:val="1E1E1E"/>
          <w:sz w:val="20"/>
        </w:rPr>
        <w:t>DEPLOYER_PRIVATE_KEY</w:t>
      </w:r>
      <w:r>
        <w:rPr>
          <w:rFonts w:ascii="Calibri" w:hAnsi="Calibri"/>
          <w:b w:val="0"/>
          <w:color w:val="000000"/>
          <w:sz w:val="22"/>
        </w:rPr>
        <w:t xml:space="preserve">; the only account authorised to call </w:t>
      </w:r>
      <w:r>
        <w:rPr>
          <w:rFonts w:ascii="Courier New" w:hAnsi="Courier New"/>
          <w:color w:val="1E1E1E"/>
          <w:sz w:val="20"/>
        </w:rPr>
        <w:t>recordHash</w:t>
      </w:r>
    </w:p>
    <w:p>
      <w:pPr>
        <w:spacing w:before="20" w:after="40"/>
        <w:ind w:left="340" w:hanging="283"/>
      </w:pPr>
      <w:r>
        <w:rPr>
          <w:rFonts w:ascii="Calibri" w:hAnsi="Calibri"/>
          <w:color w:val="000000"/>
          <w:sz w:val="22"/>
        </w:rPr>
        <w:t xml:space="preserve">•  </w:t>
      </w:r>
      <w:r>
        <w:rPr>
          <w:rFonts w:ascii="Calibri" w:hAnsi="Calibri"/>
          <w:b/>
          <w:color w:val="000000"/>
          <w:sz w:val="22"/>
        </w:rPr>
        <w:t>Transaction cost:</w:t>
      </w:r>
      <w:r>
        <w:rPr>
          <w:rFonts w:ascii="Calibri" w:hAnsi="Calibri"/>
          <w:b w:val="0"/>
          <w:color w:val="000000"/>
          <w:sz w:val="22"/>
        </w:rPr>
        <w:t xml:space="preserve"> paid in Sepolia ETH (test ether, no real value)</w:t>
      </w:r>
    </w:p>
    <w:p>
      <w:pPr>
        <w:spacing w:before="20" w:after="40"/>
        <w:ind w:left="340" w:hanging="283"/>
      </w:pPr>
      <w:r>
        <w:rPr>
          <w:rFonts w:ascii="Calibri" w:hAnsi="Calibri"/>
          <w:color w:val="000000"/>
          <w:sz w:val="22"/>
        </w:rPr>
        <w:t xml:space="preserve">•  </w:t>
      </w:r>
      <w:r>
        <w:rPr>
          <w:rFonts w:ascii="Calibri" w:hAnsi="Calibri"/>
          <w:b/>
          <w:color w:val="000000"/>
          <w:sz w:val="22"/>
        </w:rPr>
        <w:t>Block confirmation time:</w:t>
      </w:r>
      <w:r>
        <w:rPr>
          <w:rFonts w:ascii="Calibri" w:hAnsi="Calibri"/>
          <w:b w:val="0"/>
          <w:color w:val="000000"/>
          <w:sz w:val="22"/>
        </w:rPr>
        <w:t xml:space="preserve"> approximately 15–30 seconds</w:t>
      </w:r>
    </w:p>
    <w:p>
      <w:pPr>
        <w:spacing w:before="360" w:after="120"/>
      </w:pPr>
      <w:r>
        <w:rPr>
          <w:rFonts w:ascii="Calibri" w:hAnsi="Calibri"/>
          <w:b/>
          <w:color w:val="000000"/>
          <w:sz w:val="28"/>
        </w:rPr>
        <w:t>6. Security Controls per Layer</w:t>
      </w:r>
    </w:p>
    <w:p>
      <w:pPr>
        <w:spacing w:before="240" w:after="80"/>
      </w:pPr>
      <w:r>
        <w:rPr>
          <w:rFonts w:ascii="Calibri" w:hAnsi="Calibri"/>
          <w:b/>
          <w:color w:val="000000"/>
          <w:sz w:val="24"/>
        </w:rPr>
        <w:t>Input Validation</w:t>
      </w:r>
    </w:p>
    <w:p>
      <w:pPr>
        <w:spacing w:before="0" w:after="120"/>
      </w:pPr>
      <w:r>
        <w:rPr>
          <w:rFonts w:ascii="Calibri" w:hAnsi="Calibri"/>
          <w:b w:val="0"/>
          <w:color w:val="000000"/>
          <w:sz w:val="22"/>
        </w:rPr>
        <w:t xml:space="preserve">All API request bodies are defined as </w:t>
      </w:r>
      <w:r>
        <w:rPr>
          <w:rFonts w:ascii="Calibri" w:hAnsi="Calibri"/>
          <w:b/>
          <w:color w:val="000000"/>
          <w:sz w:val="22"/>
        </w:rPr>
        <w:t>Pydantic</w:t>
      </w:r>
      <w:r>
        <w:rPr>
          <w:rFonts w:ascii="Calibri" w:hAnsi="Calibri"/>
          <w:b w:val="0"/>
          <w:color w:val="000000"/>
          <w:sz w:val="22"/>
        </w:rPr>
        <w:t xml:space="preserve"> models in </w:t>
      </w:r>
      <w:r>
        <w:rPr>
          <w:rFonts w:ascii="Courier New" w:hAnsi="Courier New"/>
          <w:color w:val="1E1E1E"/>
          <w:sz w:val="20"/>
        </w:rPr>
        <w:t>backend/schemas.py</w:t>
      </w:r>
      <w:r>
        <w:rPr>
          <w:rFonts w:ascii="Calibri" w:hAnsi="Calibri"/>
          <w:b w:val="0"/>
          <w:color w:val="000000"/>
          <w:sz w:val="22"/>
        </w:rPr>
        <w:t>. Pydantic enforces field types, length constraints, and custom validators (e.g. base64 format checks, nonce length) before any handler code runs. Invalid requests are rejected with HTTP 422 before reaching the database.</w:t>
      </w:r>
    </w:p>
    <w:p>
      <w:pPr>
        <w:spacing w:before="240" w:after="80"/>
      </w:pPr>
      <w:r>
        <w:rPr>
          <w:rFonts w:ascii="Calibri" w:hAnsi="Calibri"/>
          <w:b/>
          <w:color w:val="000000"/>
          <w:sz w:val="24"/>
        </w:rPr>
        <w:t>Authentication</w:t>
      </w:r>
    </w:p>
    <w:tbl>
      <w:tblPr>
        <w:tblStyle w:val="TableGrid"/>
        <w:tblW w:type="auto" w:w="0"/>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703"/>
        <w:gridCol w:w="4703"/>
      </w:tblGrid>
      <w:tr>
        <w:tc>
          <w:tcPr>
            <w:tcW w:type="dxa" w:w="4703"/>
            <w:shd w:val="clear" w:color="auto" w:fill="F0F0F0"/>
            <w:vAlign w:val="center"/>
          </w:tcPr>
          <w:p>
            <w:pPr>
              <w:jc w:val="left"/>
            </w:pPr>
            <w:r>
              <w:rPr>
                <w:rFonts w:ascii="Calibri" w:hAnsi="Calibri"/>
                <w:b/>
                <w:color w:val="000000"/>
                <w:sz w:val="20"/>
              </w:rPr>
              <w:t>Mechanism</w:t>
            </w:r>
          </w:p>
        </w:tc>
        <w:tc>
          <w:tcPr>
            <w:tcW w:type="dxa" w:w="4703"/>
            <w:shd w:val="clear" w:color="auto" w:fill="F0F0F0"/>
            <w:vAlign w:val="center"/>
          </w:tcPr>
          <w:p>
            <w:pPr>
              <w:jc w:val="left"/>
            </w:pPr>
            <w:r>
              <w:rPr>
                <w:rFonts w:ascii="Calibri" w:hAnsi="Calibri"/>
                <w:b/>
                <w:color w:val="000000"/>
                <w:sz w:val="20"/>
              </w:rPr>
              <w:t>Detail</w:t>
            </w:r>
          </w:p>
        </w:tc>
      </w:tr>
      <w:tr>
        <w:tc>
          <w:tcPr>
            <w:tcW w:type="dxa" w:w="4703"/>
            <w:shd w:val="clear" w:color="auto" w:fill="FAFAFA"/>
            <w:vAlign w:val="center"/>
          </w:tcPr>
          <w:p>
            <w:pPr>
              <w:jc w:val="left"/>
            </w:pPr>
            <w:r>
              <w:rPr>
                <w:rFonts w:ascii="Calibri" w:hAnsi="Calibri"/>
                <w:b w:val="0"/>
                <w:color w:val="000000"/>
                <w:sz w:val="20"/>
              </w:rPr>
              <w:t>Token type</w:t>
            </w:r>
          </w:p>
        </w:tc>
        <w:tc>
          <w:tcPr>
            <w:tcW w:type="dxa" w:w="4703"/>
            <w:shd w:val="clear" w:color="auto" w:fill="FAFAFA"/>
            <w:vAlign w:val="center"/>
          </w:tcPr>
          <w:p>
            <w:pPr>
              <w:jc w:val="left"/>
            </w:pPr>
            <w:r>
              <w:rPr>
                <w:rFonts w:ascii="Calibri" w:hAnsi="Calibri"/>
                <w:b w:val="0"/>
                <w:color w:val="000000"/>
                <w:sz w:val="20"/>
              </w:rPr>
              <w:t>HS256-signed JWT</w:t>
            </w:r>
          </w:p>
        </w:tc>
      </w:tr>
      <w:tr>
        <w:tc>
          <w:tcPr>
            <w:tcW w:type="dxa" w:w="4703"/>
            <w:shd w:val="clear" w:color="auto" w:fill="FFFFFF"/>
            <w:vAlign w:val="center"/>
          </w:tcPr>
          <w:p>
            <w:pPr>
              <w:jc w:val="left"/>
            </w:pPr>
            <w:r>
              <w:rPr>
                <w:rFonts w:ascii="Calibri" w:hAnsi="Calibri"/>
                <w:b w:val="0"/>
                <w:color w:val="000000"/>
                <w:sz w:val="20"/>
              </w:rPr>
              <w:t>Claims</w:t>
            </w:r>
          </w:p>
        </w:tc>
        <w:tc>
          <w:tcPr>
            <w:tcW w:type="dxa" w:w="4703"/>
            <w:shd w:val="clear" w:color="auto" w:fill="FFFFFF"/>
            <w:vAlign w:val="center"/>
          </w:tcPr>
          <w:p>
            <w:pPr>
              <w:jc w:val="left"/>
            </w:pPr>
            <w:r>
              <w:rPr>
                <w:rFonts w:ascii="Courier New" w:hAnsi="Courier New"/>
                <w:color w:val="1E1E1E"/>
                <w:sz w:val="18"/>
              </w:rPr>
              <w:t>sub</w:t>
            </w:r>
            <w:r>
              <w:rPr>
                <w:rFonts w:ascii="Calibri" w:hAnsi="Calibri"/>
                <w:b w:val="0"/>
                <w:color w:val="000000"/>
                <w:sz w:val="20"/>
              </w:rPr>
              <w:t xml:space="preserve"> (user ID), </w:t>
            </w:r>
            <w:r>
              <w:rPr>
                <w:rFonts w:ascii="Courier New" w:hAnsi="Courier New"/>
                <w:color w:val="1E1E1E"/>
                <w:sz w:val="18"/>
              </w:rPr>
              <w:t>username</w:t>
            </w:r>
            <w:r>
              <w:rPr>
                <w:rFonts w:ascii="Calibri" w:hAnsi="Calibri"/>
                <w:b w:val="0"/>
                <w:color w:val="000000"/>
                <w:sz w:val="20"/>
              </w:rPr>
              <w:t xml:space="preserve">, </w:t>
            </w:r>
            <w:r>
              <w:rPr>
                <w:rFonts w:ascii="Courier New" w:hAnsi="Courier New"/>
                <w:color w:val="1E1E1E"/>
                <w:sz w:val="18"/>
              </w:rPr>
              <w:t>iat</w:t>
            </w:r>
            <w:r>
              <w:rPr>
                <w:rFonts w:ascii="Calibri" w:hAnsi="Calibri"/>
                <w:b w:val="0"/>
                <w:color w:val="000000"/>
                <w:sz w:val="20"/>
              </w:rPr>
              <w:t xml:space="preserve">, </w:t>
            </w:r>
            <w:r>
              <w:rPr>
                <w:rFonts w:ascii="Courier New" w:hAnsi="Courier New"/>
                <w:color w:val="1E1E1E"/>
                <w:sz w:val="18"/>
              </w:rPr>
              <w:t>exp</w:t>
            </w:r>
            <w:r>
              <w:rPr>
                <w:rFonts w:ascii="Calibri" w:hAnsi="Calibri"/>
                <w:b w:val="0"/>
                <w:color w:val="000000"/>
                <w:sz w:val="20"/>
              </w:rPr>
              <w:t xml:space="preserve">, </w:t>
            </w:r>
            <w:r>
              <w:rPr>
                <w:rFonts w:ascii="Courier New" w:hAnsi="Courier New"/>
                <w:color w:val="1E1E1E"/>
                <w:sz w:val="18"/>
              </w:rPr>
              <w:t>type: "access"</w:t>
            </w:r>
          </w:p>
        </w:tc>
      </w:tr>
      <w:tr>
        <w:tc>
          <w:tcPr>
            <w:tcW w:type="dxa" w:w="4703"/>
            <w:shd w:val="clear" w:color="auto" w:fill="FAFAFA"/>
            <w:vAlign w:val="center"/>
          </w:tcPr>
          <w:p>
            <w:pPr>
              <w:jc w:val="left"/>
            </w:pPr>
            <w:r>
              <w:rPr>
                <w:rFonts w:ascii="Calibri" w:hAnsi="Calibri"/>
                <w:b w:val="0"/>
                <w:color w:val="000000"/>
                <w:sz w:val="20"/>
              </w:rPr>
              <w:t>Lifetime</w:t>
            </w:r>
          </w:p>
        </w:tc>
        <w:tc>
          <w:tcPr>
            <w:tcW w:type="dxa" w:w="4703"/>
            <w:shd w:val="clear" w:color="auto" w:fill="FAFAFA"/>
            <w:vAlign w:val="center"/>
          </w:tcPr>
          <w:p>
            <w:pPr>
              <w:jc w:val="left"/>
            </w:pPr>
            <w:r>
              <w:rPr>
                <w:rFonts w:ascii="Calibri" w:hAnsi="Calibri"/>
                <w:b w:val="0"/>
                <w:color w:val="000000"/>
                <w:sz w:val="20"/>
              </w:rPr>
              <w:t xml:space="preserve">Configurable via </w:t>
            </w:r>
            <w:r>
              <w:rPr>
                <w:rFonts w:ascii="Courier New" w:hAnsi="Courier New"/>
                <w:color w:val="1E1E1E"/>
                <w:sz w:val="18"/>
              </w:rPr>
              <w:t>ACCESS_TOKEN_EXPIRE_MINUTES</w:t>
            </w:r>
            <w:r>
              <w:rPr>
                <w:rFonts w:ascii="Calibri" w:hAnsi="Calibri"/>
                <w:b w:val="0"/>
                <w:color w:val="000000"/>
                <w:sz w:val="20"/>
              </w:rPr>
              <w:t xml:space="preserve"> (default: 30 min)</w:t>
            </w:r>
          </w:p>
        </w:tc>
      </w:tr>
      <w:tr>
        <w:tc>
          <w:tcPr>
            <w:tcW w:type="dxa" w:w="4703"/>
            <w:shd w:val="clear" w:color="auto" w:fill="FFFFFF"/>
            <w:vAlign w:val="center"/>
          </w:tcPr>
          <w:p>
            <w:pPr>
              <w:jc w:val="left"/>
            </w:pPr>
            <w:r>
              <w:rPr>
                <w:rFonts w:ascii="Calibri" w:hAnsi="Calibri"/>
                <w:b w:val="0"/>
                <w:color w:val="000000"/>
                <w:sz w:val="20"/>
              </w:rPr>
              <w:t>Refresh tokens</w:t>
            </w:r>
          </w:p>
        </w:tc>
        <w:tc>
          <w:tcPr>
            <w:tcW w:type="dxa" w:w="4703"/>
            <w:shd w:val="clear" w:color="auto" w:fill="FFFFFF"/>
            <w:vAlign w:val="center"/>
          </w:tcPr>
          <w:p>
            <w:pPr>
              <w:jc w:val="left"/>
            </w:pPr>
            <w:r>
              <w:rPr>
                <w:rFonts w:ascii="Calibri" w:hAnsi="Calibri"/>
                <w:b w:val="0"/>
                <w:color w:val="000000"/>
                <w:sz w:val="20"/>
              </w:rPr>
              <w:t>Opaque random strings; only the SHA-256 hash is stored in the DB — a database leak cannot be replayed directly</w:t>
            </w:r>
          </w:p>
        </w:tc>
      </w:tr>
      <w:tr>
        <w:tc>
          <w:tcPr>
            <w:tcW w:type="dxa" w:w="4703"/>
            <w:shd w:val="clear" w:color="auto" w:fill="FAFAFA"/>
            <w:vAlign w:val="center"/>
          </w:tcPr>
          <w:p>
            <w:pPr>
              <w:jc w:val="left"/>
            </w:pPr>
            <w:r>
              <w:rPr>
                <w:rFonts w:ascii="Calibri" w:hAnsi="Calibri"/>
                <w:b w:val="0"/>
                <w:color w:val="000000"/>
                <w:sz w:val="20"/>
              </w:rPr>
              <w:t>Token-type guard</w:t>
            </w:r>
          </w:p>
        </w:tc>
        <w:tc>
          <w:tcPr>
            <w:tcW w:type="dxa" w:w="4703"/>
            <w:shd w:val="clear" w:color="auto" w:fill="FAFAFA"/>
            <w:vAlign w:val="center"/>
          </w:tcPr>
          <w:p>
            <w:pPr>
              <w:jc w:val="left"/>
            </w:pPr>
            <w:r>
              <w:rPr>
                <w:rFonts w:ascii="Courier New" w:hAnsi="Courier New"/>
                <w:color w:val="1E1E1E"/>
                <w:sz w:val="18"/>
              </w:rPr>
              <w:t>_decode_access_token</w:t>
            </w:r>
            <w:r>
              <w:rPr>
                <w:rFonts w:ascii="Calibri" w:hAnsi="Calibri"/>
                <w:b w:val="0"/>
                <w:color w:val="000000"/>
                <w:sz w:val="20"/>
              </w:rPr>
              <w:t xml:space="preserve"> rejects any token whose </w:t>
            </w:r>
            <w:r>
              <w:rPr>
                <w:rFonts w:ascii="Courier New" w:hAnsi="Courier New"/>
                <w:color w:val="1E1E1E"/>
                <w:sz w:val="18"/>
              </w:rPr>
              <w:t>type</w:t>
            </w:r>
            <w:r>
              <w:rPr>
                <w:rFonts w:ascii="Calibri" w:hAnsi="Calibri"/>
                <w:b w:val="0"/>
                <w:color w:val="000000"/>
                <w:sz w:val="20"/>
              </w:rPr>
              <w:t xml:space="preserve"> claim is not </w:t>
            </w:r>
            <w:r>
              <w:rPr>
                <w:rFonts w:ascii="Courier New" w:hAnsi="Courier New"/>
                <w:color w:val="1E1E1E"/>
                <w:sz w:val="18"/>
              </w:rPr>
              <w:t>"access"</w:t>
            </w:r>
            <w:r>
              <w:rPr>
                <w:rFonts w:ascii="Calibri" w:hAnsi="Calibri"/>
                <w:b w:val="0"/>
                <w:color w:val="000000"/>
                <w:sz w:val="20"/>
              </w:rPr>
              <w:t>, preventing refresh tokens from being used on protected endpoints</w:t>
            </w:r>
          </w:p>
        </w:tc>
      </w:tr>
      <w:tr>
        <w:tc>
          <w:tcPr>
            <w:tcW w:type="dxa" w:w="4703"/>
            <w:shd w:val="clear" w:color="auto" w:fill="FFFFFF"/>
            <w:vAlign w:val="center"/>
          </w:tcPr>
          <w:p>
            <w:pPr>
              <w:jc w:val="left"/>
            </w:pPr>
            <w:r>
              <w:rPr>
                <w:rFonts w:ascii="Calibri" w:hAnsi="Calibri"/>
                <w:b w:val="0"/>
                <w:color w:val="000000"/>
                <w:sz w:val="20"/>
              </w:rPr>
              <w:t>Session invalidation</w:t>
            </w:r>
          </w:p>
        </w:tc>
        <w:tc>
          <w:tcPr>
            <w:tcW w:type="dxa" w:w="4703"/>
            <w:shd w:val="clear" w:color="auto" w:fill="FFFFFF"/>
            <w:vAlign w:val="center"/>
          </w:tcPr>
          <w:p>
            <w:pPr>
              <w:jc w:val="left"/>
            </w:pPr>
            <w:r>
              <w:rPr>
                <w:rFonts w:ascii="Calibri" w:hAnsi="Calibri"/>
                <w:b w:val="0"/>
                <w:color w:val="000000"/>
                <w:sz w:val="20"/>
              </w:rPr>
              <w:t>Password change deletes all active sessions for that user, forcing re-login on all devices</w:t>
            </w:r>
          </w:p>
        </w:tc>
      </w:tr>
      <w:tr>
        <w:tc>
          <w:tcPr>
            <w:tcW w:type="dxa" w:w="4703"/>
            <w:shd w:val="clear" w:color="auto" w:fill="FAFAFA"/>
            <w:vAlign w:val="center"/>
          </w:tcPr>
          <w:p>
            <w:pPr>
              <w:jc w:val="left"/>
            </w:pPr>
            <w:r>
              <w:rPr>
                <w:rFonts w:ascii="Calibri" w:hAnsi="Calibri"/>
                <w:b w:val="0"/>
                <w:color w:val="000000"/>
                <w:sz w:val="20"/>
              </w:rPr>
              <w:t>Timing attack mitigation</w:t>
            </w:r>
          </w:p>
        </w:tc>
        <w:tc>
          <w:tcPr>
            <w:tcW w:type="dxa" w:w="4703"/>
            <w:shd w:val="clear" w:color="auto" w:fill="FAFAFA"/>
            <w:vAlign w:val="center"/>
          </w:tcPr>
          <w:p>
            <w:pPr>
              <w:jc w:val="left"/>
            </w:pPr>
            <w:r>
              <w:rPr>
                <w:rFonts w:ascii="Courier New" w:hAnsi="Courier New"/>
                <w:color w:val="1E1E1E"/>
                <w:sz w:val="18"/>
              </w:rPr>
              <w:t>DUMMY_HASH</w:t>
            </w:r>
            <w:r>
              <w:rPr>
                <w:rFonts w:ascii="Calibri" w:hAnsi="Calibri"/>
                <w:b w:val="0"/>
                <w:color w:val="000000"/>
                <w:sz w:val="20"/>
              </w:rPr>
              <w:t xml:space="preserve"> used when a username is not found, keeping both failure paths at the same ~300 ms — prevents username enumeration via response timing</w:t>
            </w:r>
          </w:p>
        </w:tc>
      </w:tr>
    </w:tbl>
    <w:p>
      <w:pPr>
        <w:spacing w:after="160"/>
      </w:pPr>
    </w:p>
    <w:p>
      <w:pPr>
        <w:spacing w:before="240" w:after="80"/>
      </w:pPr>
      <w:r>
        <w:rPr>
          <w:rFonts w:ascii="Calibri" w:hAnsi="Calibri"/>
          <w:b/>
          <w:color w:val="000000"/>
          <w:sz w:val="24"/>
        </w:rPr>
        <w:t>CORS</w:t>
      </w:r>
    </w:p>
    <w:p>
      <w:pPr>
        <w:spacing w:before="0" w:after="120"/>
      </w:pPr>
      <w:r>
        <w:rPr>
          <w:rFonts w:ascii="Calibri" w:hAnsi="Calibri"/>
          <w:b w:val="0"/>
          <w:color w:val="000000"/>
          <w:sz w:val="22"/>
        </w:rPr>
        <w:t>CORS is currently configured with a wildcard:</w:t>
      </w:r>
    </w:p>
    <w:p>
      <w:pPr>
        <w:spacing w:before="0" w:after="0"/>
        <w:ind w:left="227" w:right="227"/>
        <w:shd w:val="clear" w:color="auto" w:fill="F3F3F3"/>
        <w:pBdr>
          <w:left w:val="single" w:sz="4" w:space="0" w:color="CCCCCC"/>
          <w:right w:val="single" w:sz="4" w:space="0" w:color="CCCCCC"/>
          <w:top w:val="single" w:sz="4" w:space="0" w:color="CCCCCC"/>
        </w:pBdr>
      </w:pPr>
      <w:r>
        <w:rPr>
          <w:rFonts w:ascii="Courier New" w:hAnsi="Courier New"/>
          <w:color w:val="191919"/>
          <w:sz w:val="17"/>
        </w:rPr>
        <w:t>allow_origins=["*"]</w:t>
      </w:r>
    </w:p>
    <w:p>
      <w:pPr>
        <w:spacing w:before="0" w:after="0"/>
        <w:ind w:left="227" w:right="227"/>
        <w:shd w:val="clear" w:color="auto" w:fill="F3F3F3"/>
        <w:pBdr>
          <w:left w:val="single" w:sz="4" w:space="0" w:color="CCCCCC"/>
          <w:right w:val="single" w:sz="4" w:space="0" w:color="CCCCCC"/>
        </w:pBdr>
      </w:pPr>
      <w:r>
        <w:rPr>
          <w:rFonts w:ascii="Courier New" w:hAnsi="Courier New"/>
          <w:color w:val="191919"/>
          <w:sz w:val="17"/>
        </w:rPr>
        <w:t>allow_methods=["*"]</w:t>
      </w:r>
    </w:p>
    <w:p>
      <w:pPr>
        <w:spacing w:before="0" w:after="0"/>
        <w:ind w:left="227" w:right="227"/>
        <w:shd w:val="clear" w:color="auto" w:fill="F3F3F3"/>
        <w:pBdr>
          <w:left w:val="single" w:sz="4" w:space="0" w:color="CCCCCC"/>
          <w:right w:val="single" w:sz="4" w:space="0" w:color="CCCCCC"/>
          <w:bottom w:val="single" w:sz="4" w:space="0" w:color="CCCCCC"/>
        </w:pBdr>
      </w:pPr>
      <w:r>
        <w:rPr>
          <w:rFonts w:ascii="Courier New" w:hAnsi="Courier New"/>
          <w:color w:val="191919"/>
          <w:sz w:val="17"/>
        </w:rPr>
        <w:t>allow_headers=["*"]</w:t>
      </w:r>
    </w:p>
    <w:p>
      <w:pPr>
        <w:spacing w:before="0" w:after="160"/>
      </w:pPr>
    </w:p>
    <w:p>
      <w:pPr>
        <w:spacing w:before="0" w:after="120"/>
      </w:pPr>
      <w:r>
        <w:rPr>
          <w:rFonts w:ascii="Calibri" w:hAnsi="Calibri"/>
          <w:b w:val="0"/>
          <w:color w:val="000000"/>
          <w:sz w:val="22"/>
        </w:rPr>
        <w:t xml:space="preserve">This is marked with a </w:t>
      </w:r>
      <w:r>
        <w:rPr>
          <w:rFonts w:ascii="Courier New" w:hAnsi="Courier New"/>
          <w:color w:val="1E1E1E"/>
          <w:sz w:val="20"/>
        </w:rPr>
        <w:t># TODO: restrict to frontend origin in production</w:t>
      </w:r>
      <w:r>
        <w:rPr>
          <w:rFonts w:ascii="Calibri" w:hAnsi="Calibri"/>
          <w:b w:val="0"/>
          <w:color w:val="000000"/>
          <w:sz w:val="22"/>
        </w:rPr>
        <w:t xml:space="preserve"> comment in </w:t>
      </w:r>
      <w:r>
        <w:rPr>
          <w:rFonts w:ascii="Courier New" w:hAnsi="Courier New"/>
          <w:color w:val="1E1E1E"/>
          <w:sz w:val="20"/>
        </w:rPr>
        <w:t>backend/main.py</w:t>
      </w:r>
      <w:r>
        <w:rPr>
          <w:rFonts w:ascii="Calibri" w:hAnsi="Calibri"/>
          <w:b w:val="0"/>
          <w:color w:val="000000"/>
          <w:sz w:val="22"/>
        </w:rPr>
        <w:t>. As a known limitation, this allows any origin to make credentialed API requests. The practical risk is limited because all sensitive operations require a valid JWT, which an attacker-controlled origin cannot obtain without the user's credentials.</w:t>
      </w:r>
    </w:p>
    <w:p>
      <w:pPr>
        <w:spacing w:before="240" w:after="80"/>
      </w:pPr>
      <w:r>
        <w:rPr>
          <w:rFonts w:ascii="Calibri" w:hAnsi="Calibri"/>
          <w:b/>
          <w:color w:val="000000"/>
          <w:sz w:val="24"/>
        </w:rPr>
        <w:t>Rate Limiting</w:t>
      </w:r>
    </w:p>
    <w:p>
      <w:pPr>
        <w:spacing w:before="0" w:after="120"/>
      </w:pPr>
      <w:r>
        <w:rPr>
          <w:rFonts w:ascii="Calibri" w:hAnsi="Calibri"/>
          <w:b/>
          <w:color w:val="000000"/>
          <w:sz w:val="22"/>
        </w:rPr>
        <w:t>None implemented.</w:t>
      </w:r>
      <w:r>
        <w:rPr>
          <w:rFonts w:ascii="Calibri" w:hAnsi="Calibri"/>
          <w:b w:val="0"/>
          <w:color w:val="000000"/>
          <w:sz w:val="22"/>
        </w:rPr>
        <w:t xml:space="preserve"> There is no rate limiting on any endpoint, including </w:t>
      </w:r>
      <w:r>
        <w:rPr>
          <w:rFonts w:ascii="Courier New" w:hAnsi="Courier New"/>
          <w:color w:val="1E1E1E"/>
          <w:sz w:val="20"/>
        </w:rPr>
        <w:t>/auth/login</w:t>
      </w:r>
      <w:r>
        <w:rPr>
          <w:rFonts w:ascii="Calibri" w:hAnsi="Calibri"/>
          <w:b w:val="0"/>
          <w:color w:val="000000"/>
          <w:sz w:val="22"/>
        </w:rPr>
        <w:t xml:space="preserve"> and </w:t>
      </w:r>
      <w:r>
        <w:rPr>
          <w:rFonts w:ascii="Courier New" w:hAnsi="Courier New"/>
          <w:color w:val="1E1E1E"/>
          <w:sz w:val="20"/>
        </w:rPr>
        <w:t>/auth/register</w:t>
      </w:r>
      <w:r>
        <w:rPr>
          <w:rFonts w:ascii="Calibri" w:hAnsi="Calibri"/>
          <w:b w:val="0"/>
          <w:color w:val="000000"/>
          <w:sz w:val="22"/>
        </w:rPr>
        <w:t>. A brute-force or credential-stuffing attack against the login endpoint is not prevented at the application layer. The Argon2id hash (~300 ms per attempt) provides a natural throttle at the cost of server CPU, but this is not a substitute for request-rate controls. This is a known limitation.</w:t>
      </w:r>
    </w:p>
    <w:p>
      <w:pPr>
        <w:spacing w:before="240" w:after="80"/>
      </w:pPr>
      <w:r>
        <w:rPr>
          <w:rFonts w:ascii="Calibri" w:hAnsi="Calibri"/>
          <w:b/>
          <w:color w:val="000000"/>
          <w:sz w:val="24"/>
        </w:rPr>
        <w:t>SQL Injection</w:t>
      </w:r>
    </w:p>
    <w:p>
      <w:pPr>
        <w:spacing w:before="0" w:after="120"/>
      </w:pPr>
      <w:r>
        <w:rPr>
          <w:rFonts w:ascii="Calibri" w:hAnsi="Calibri"/>
          <w:b w:val="0"/>
          <w:color w:val="000000"/>
          <w:sz w:val="22"/>
        </w:rPr>
        <w:t xml:space="preserve">All database queries use </w:t>
      </w:r>
      <w:r>
        <w:rPr>
          <w:rFonts w:ascii="Calibri" w:hAnsi="Calibri"/>
          <w:b/>
          <w:color w:val="000000"/>
          <w:sz w:val="22"/>
        </w:rPr>
        <w:t>SQLAlchemy ORM</w:t>
      </w:r>
      <w:r>
        <w:rPr>
          <w:rFonts w:ascii="Calibri" w:hAnsi="Calibri"/>
          <w:b w:val="0"/>
          <w:color w:val="000000"/>
          <w:sz w:val="22"/>
        </w:rPr>
        <w:t xml:space="preserve"> parameterised statements. Raw SQL is not used anywhere in the codebase. SQLAlchemy's query builder passes all user-supplied values as bound parameters, not interpolated strings.</w:t>
      </w:r>
    </w:p>
    <w:p>
      <w:pPr>
        <w:spacing w:before="240" w:after="80"/>
      </w:pPr>
      <w:r>
        <w:rPr>
          <w:rFonts w:ascii="Calibri" w:hAnsi="Calibri"/>
          <w:b/>
          <w:color w:val="000000"/>
          <w:sz w:val="24"/>
        </w:rPr>
        <w:t>IDOR Prevention</w:t>
      </w:r>
    </w:p>
    <w:p>
      <w:pPr>
        <w:spacing w:before="0" w:after="120"/>
      </w:pPr>
      <w:r>
        <w:rPr>
          <w:rFonts w:ascii="Calibri" w:hAnsi="Calibri"/>
          <w:b w:val="0"/>
          <w:color w:val="000000"/>
          <w:sz w:val="22"/>
        </w:rPr>
        <w:t xml:space="preserve">The messages router returns </w:t>
      </w:r>
      <w:r>
        <w:rPr>
          <w:rFonts w:ascii="Calibri" w:hAnsi="Calibri"/>
          <w:b/>
          <w:color w:val="000000"/>
          <w:sz w:val="22"/>
        </w:rPr>
        <w:t>HTTP 404</w:t>
      </w:r>
      <w:r>
        <w:rPr>
          <w:rFonts w:ascii="Calibri" w:hAnsi="Calibri"/>
          <w:b w:val="0"/>
          <w:color w:val="000000"/>
          <w:sz w:val="22"/>
        </w:rPr>
        <w:t xml:space="preserve"> (not 403) when a user requests a message they do not have access to. Returning 403 would confirm the message exists to an unauthorised requester; 404 leaks nothing. The same pattern applies to the message download and blockchain-proof endpoints.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